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3E3C2" w14:textId="13E6B3F5" w:rsidR="001C779E" w:rsidRDefault="001C779E" w:rsidP="00787C09">
      <w:pPr>
        <w:pStyle w:val="Nadpis1"/>
        <w:numPr>
          <w:ilvl w:val="0"/>
          <w:numId w:val="0"/>
        </w:numPr>
      </w:pPr>
      <w:bookmarkStart w:id="0" w:name="_Hlk168912344"/>
      <w:r w:rsidRPr="00787C09">
        <w:t xml:space="preserve">Příloha č.3 </w:t>
      </w:r>
      <w:r w:rsidR="00396E70">
        <w:t>– Všeobecné obchodní podmínky</w:t>
      </w:r>
    </w:p>
    <w:p w14:paraId="1BA074FF" w14:textId="67B6E108" w:rsidR="007E6426" w:rsidRDefault="007E6426" w:rsidP="00396E70">
      <w:pPr>
        <w:pStyle w:val="Vysvtlivky-text-odrky"/>
        <w:numPr>
          <w:ilvl w:val="0"/>
          <w:numId w:val="0"/>
        </w:numPr>
      </w:pPr>
    </w:p>
    <w:p w14:paraId="151031FA"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xml:space="preserve">Všeobecné obchodní podmínky </w:t>
      </w:r>
      <w:proofErr w:type="spellStart"/>
      <w:r w:rsidRPr="007C0855">
        <w:rPr>
          <w:rFonts w:ascii="Arial" w:hAnsi="Arial" w:cs="Arial"/>
          <w:color w:val="000000"/>
          <w:sz w:val="16"/>
          <w:szCs w:val="16"/>
        </w:rPr>
        <w:t>Aricoma</w:t>
      </w:r>
      <w:proofErr w:type="spellEnd"/>
      <w:r w:rsidRPr="007C0855">
        <w:rPr>
          <w:rFonts w:ascii="Arial" w:hAnsi="Arial" w:cs="Arial"/>
          <w:color w:val="000000"/>
          <w:sz w:val="16"/>
          <w:szCs w:val="16"/>
        </w:rPr>
        <w:t xml:space="preserve"> Systems a.s. Hornopolní 34, 702 00 Ostrava, IČO: 04308697, DIČ: CZ04308697, spisová značka: B 11012, Krajský soud v Ostravě</w:t>
      </w:r>
    </w:p>
    <w:p w14:paraId="295A1246"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 Základní ustanovení</w:t>
      </w:r>
    </w:p>
    <w:p w14:paraId="7F7BC1B8"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xml:space="preserve">1.1. Tyto Všeobecné obchodní podmínky </w:t>
      </w:r>
      <w:proofErr w:type="spellStart"/>
      <w:r w:rsidRPr="007C0855">
        <w:rPr>
          <w:rFonts w:ascii="Arial" w:hAnsi="Arial" w:cs="Arial"/>
          <w:color w:val="000000"/>
          <w:sz w:val="16"/>
          <w:szCs w:val="16"/>
        </w:rPr>
        <w:t>Aricoma</w:t>
      </w:r>
      <w:proofErr w:type="spellEnd"/>
      <w:r w:rsidRPr="007C0855">
        <w:rPr>
          <w:rFonts w:ascii="Arial" w:hAnsi="Arial" w:cs="Arial"/>
          <w:color w:val="000000"/>
          <w:sz w:val="16"/>
          <w:szCs w:val="16"/>
        </w:rPr>
        <w:t xml:space="preserve"> Systems a.s. (dále jen „Všeobecné podmínky“) upravují vztahy při dodávkách zboží a služeb, tj. </w:t>
      </w:r>
      <w:proofErr w:type="gramStart"/>
      <w:r w:rsidRPr="007C0855">
        <w:rPr>
          <w:rFonts w:ascii="Arial" w:hAnsi="Arial" w:cs="Arial"/>
          <w:color w:val="000000"/>
          <w:sz w:val="16"/>
          <w:szCs w:val="16"/>
        </w:rPr>
        <w:t>hardware - HW</w:t>
      </w:r>
      <w:proofErr w:type="gramEnd"/>
      <w:r w:rsidRPr="007C0855">
        <w:rPr>
          <w:rFonts w:ascii="Arial" w:hAnsi="Arial" w:cs="Arial"/>
          <w:color w:val="000000"/>
          <w:sz w:val="16"/>
          <w:szCs w:val="16"/>
        </w:rPr>
        <w:t xml:space="preserve">, software - SW, spotřební materiál, pomocný materiál, náhradní díly, dokumentace apod. (dále jen „předmětu plnění“) společností </w:t>
      </w:r>
      <w:proofErr w:type="spellStart"/>
      <w:r w:rsidRPr="007C0855">
        <w:rPr>
          <w:rFonts w:ascii="Arial" w:hAnsi="Arial" w:cs="Arial"/>
          <w:color w:val="000000"/>
          <w:sz w:val="16"/>
          <w:szCs w:val="16"/>
        </w:rPr>
        <w:t>Aricoma</w:t>
      </w:r>
      <w:proofErr w:type="spellEnd"/>
      <w:r w:rsidRPr="007C0855">
        <w:rPr>
          <w:rFonts w:ascii="Arial" w:hAnsi="Arial" w:cs="Arial"/>
          <w:color w:val="000000"/>
          <w:sz w:val="16"/>
          <w:szCs w:val="16"/>
        </w:rPr>
        <w:t xml:space="preserve"> Systems a.s., (dále jen „dodavatel“) odběratelům a jsou závazné pro veškerý takový obchodní styk s dodavatelem.</w:t>
      </w:r>
    </w:p>
    <w:p w14:paraId="49C3BC2F"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Odchylná písemná ujednání účastníků mají přednost před ustanoveními těchto Všeobecných podmínek.</w:t>
      </w:r>
    </w:p>
    <w:p w14:paraId="75173927"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1.2. Signováním právně závazných aktů směřujících k založení závazkového vztahu mezi dodavatelem a odběratelem ve věci dodávky předmětu plnění dodavatelem akceptují účastníci, že jejich vzájemný závazkový vztah se bude řídit režimem občanského zákoníku. Založení sjednávaného závazkového vztahu je vždy podmíněno přijetím objednávky odběratele dodavatelem.</w:t>
      </w:r>
    </w:p>
    <w:p w14:paraId="16F88475"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xml:space="preserve">V případě, kdy je prodej zboží (resp. realizace předmětu plnění) uskutečněn za použití prostředků komunikace na dálku (zejména elektronický obchod na </w:t>
      </w:r>
      <w:proofErr w:type="gramStart"/>
      <w:r w:rsidRPr="007C0855">
        <w:rPr>
          <w:rFonts w:ascii="Arial" w:hAnsi="Arial" w:cs="Arial"/>
          <w:color w:val="000000"/>
          <w:sz w:val="16"/>
          <w:szCs w:val="16"/>
        </w:rPr>
        <w:t>Internetu</w:t>
      </w:r>
      <w:proofErr w:type="gramEnd"/>
      <w:r w:rsidRPr="007C0855">
        <w:rPr>
          <w:rFonts w:ascii="Arial" w:hAnsi="Arial" w:cs="Arial"/>
          <w:color w:val="000000"/>
          <w:sz w:val="16"/>
          <w:szCs w:val="16"/>
        </w:rPr>
        <w:t>), odesláním objednávky spotřebitel potvrzuje, že byl seznámen s těmito Všeobecnými podmínkami, vyjadřuje svůj souhlas s jejich zněním a vůli řídit se jimi při obchodním styku s dodavatelem.</w:t>
      </w:r>
    </w:p>
    <w:p w14:paraId="56FE3692"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Pro případ, že by některé ustanovení těchto Všeobecných podmínek bylo v rozporu s právními předpisy zakotvujícími ochranu práv spotřebitele, pak se takové ustanovení těchto Všeobecných podmínek pro právní vztah mezi dodavatelem a spotřebitelem nepoužije a bude aplikován příslušný právní předpis.</w:t>
      </w:r>
    </w:p>
    <w:p w14:paraId="71807679"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1.3. Definice základních pojmů.</w:t>
      </w:r>
    </w:p>
    <w:p w14:paraId="684DEE53"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Spotřebitel je každý člověk, který mimo rámec své podnikatelské činnosti nebo mimo rámec samostatného výkonu svého povolání uzavírá smlouvu s podnikatelem nebo s ním jinak jedná (viz § 419 občanského zákoníku).</w:t>
      </w:r>
    </w:p>
    <w:p w14:paraId="10BCD56D"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Plátce je odběratel, který uzavírá závazkový vztah s dodavatelem, ale pořizuje předmět plnění s tím, že jej bude používat příjemce/zákazník. Příjemce/zákazník je jako uživatel předmětu plnění odběratelem písemně zplnomocněn k převzetí předmětu plnění a ke všem dalším jednáním v souvislosti s jeho používáním.</w:t>
      </w:r>
    </w:p>
    <w:p w14:paraId="37545FF5"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Prodejce je prodávající pracovník pověřený zastupováním dodavatele při obchodním jednání.</w:t>
      </w:r>
    </w:p>
    <w:p w14:paraId="3AF21E09"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2. Cena předmětu plnění</w:t>
      </w:r>
    </w:p>
    <w:p w14:paraId="7577058D"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2.1. Přehledové katalogy a ceníky vydávané dodavatelem, jakož i ústní a telefonické informace či informace poskytované prostřednictvím internetových www serverů o cenách předmětu plnění jsou informativní, ze strany dodavatele nezávazné a odběratelem nevymahatelné. Dodavatel si vyhrazuje právo změnit technické parametry, popř. i ceny předmětu plnění bez předchozího písemného oznámení. Dodavatel nezodpovídá za chyby vzniklé při tisku obchodních a technických materiálů.</w:t>
      </w:r>
    </w:p>
    <w:p w14:paraId="721CDA98"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2.2. Pro upřesnění ceny a specifikace předmětu plnění je odběratel oprávněn si vyžádat závaznou cenovou nabídku (dále jen „nabídka“), jejíž platnost je 7 kalendářních dnů ode dne vystavení, není-li uvedeno jinak.</w:t>
      </w:r>
    </w:p>
    <w:p w14:paraId="57FAFA78"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2.3. Ceny předmětu plnění uváděné v cenové nabídce nezahrnují žádné související služby, pokud není výslovně uvedeno jinak. Požadavek na poskytnutí souvisejících služeb je třeba výslovně uvést v objednávce.</w:t>
      </w:r>
    </w:p>
    <w:p w14:paraId="5267B42B"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2.4. Dodavatel předpokládá obvyklé použití předmětu plnění. Jakékoliv specifické požadavky na předmět plnění (např. operační systém, se kterým má být předmět plnění provozován, způsob jeho připojení apod.) je třeba výslovně uvést v objednávce.</w:t>
      </w:r>
    </w:p>
    <w:p w14:paraId="6F77C902"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3. Uzavření smlouvy</w:t>
      </w:r>
    </w:p>
    <w:p w14:paraId="61674770"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xml:space="preserve">3.1. Jednotlivé obchodní případy se uzavírají na základě písemných objednávek odběratele, zaslaných poštou nebo elektronickou formou (prostřednictvím e-mailu, datové schránky nebo internetových www serverů), ve výjimečných případech též na základě ústní anebo telefonické objednávky. Vystavení objednávky obvykle předchází cenová nabídka dodavatele učiněná na základě poptávky odběratele. Pokud není písemně uvedeno jinak, platí pro závazkový vztah mezi dodavatelem a odběratelem tyto Všeobecné podmínky. Příslušné části Všeobecných podmínek platí až do doby úplného vypořádání práv a závazků mezi dodavatelem a odběratelem. Pro </w:t>
      </w:r>
      <w:r w:rsidRPr="007C0855">
        <w:rPr>
          <w:rFonts w:ascii="Arial" w:hAnsi="Arial" w:cs="Arial"/>
          <w:color w:val="000000"/>
          <w:sz w:val="16"/>
          <w:szCs w:val="16"/>
        </w:rPr>
        <w:lastRenderedPageBreak/>
        <w:t>cenovou kalkulaci předmětu plnění platí ceny, uvedené v platné písemné nabídce dodavatele, nebo ceny platné v okamžiku přijetí objednávky.</w:t>
      </w:r>
    </w:p>
    <w:p w14:paraId="522C7B50"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3.2. Objednávka musí obsahovat tyto základní náležitosti:</w:t>
      </w:r>
    </w:p>
    <w:p w14:paraId="0F838DEC"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obchodní firmu (resp. název) a sídlo odběratele včetně telefonického a elektronického spojení; je-li odběratel fyzickou osobou, pak uvádí jméno a příjmení, bydliště a místo podnikání</w:t>
      </w:r>
    </w:p>
    <w:p w14:paraId="44E852C1"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osobu, oprávněnou v dané věci jednat jménem odběratele, IČO a DIČ odběratele (je-li registrován jako plátce DPH);</w:t>
      </w:r>
    </w:p>
    <w:p w14:paraId="1FBB7C8C"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jednoznačné určení předmětu plnění a jeho množství (včetně poskytnutí souvisejících služeb či plnění), dodací podmínky (místo a termín), odpovědnou osobu pro převzetí předmětu plnění a případné další specifické požadavky na předmět plnění;</w:t>
      </w:r>
    </w:p>
    <w:p w14:paraId="76A5D6CE"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veškeré informace, takto získané o zákaznících, jsou uchovávány v souladu s platnými zákony České republiky, nařízením Evropského parlamentu a Rady (EU) 2016/679, obecné nařízení o ochraně osobních údajů (GDPR). Informace o zpracování osobních údajů dodavatelem jsou zveřejněny na internetové adrese https://www.aricoma.com/cs/o-nas/dalsi-firemni-informace#gdpr.</w:t>
      </w:r>
    </w:p>
    <w:p w14:paraId="532E95C5"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3.3. Po obdržení objednávky odběratele zašle dodavatel odběrateli Potvrzení objednávky, a to písemně, datovou schránkou či e-mailem. Dodavatel je oprávněn přijmout i objednávku doručenou mu po uplynutí lhůty platnosti nabídky. Potvrzení objednávky je dodavatel povinen odeslat odběrateli nejpozději do 2 pracovních dnů ode dne doručení objednávky. V případě, že základní údaje (rozsah a charakteristika předmětu plnění, dodací a platební podmínky) v potvrzení objednávky vystavené dodavatelem souhlasí s textem objednávky odběratele, potvrzuje dodavatel předáním, resp. odesláním potvrzení objednávky svoji vůli přijmout objednávku odběratele jako závaznou a tímto okamžikem vzniká závazkový vztah.</w:t>
      </w:r>
    </w:p>
    <w:p w14:paraId="3D348700"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3.4. V případě, že některý z požadavků uvedených v objednávce odběratele nemůže dodavatel splnit, zašle odběrateli znovu nabídku s uvedením možných variant objednávky a vyžádá si stanovisko odběratele. V případě, že v objednávce odběratele jde o nestandardní předmět plnění, vyžádá si dodavatel před přijetím objednávky složení zálohy ve sjednané výši na základě vystavené zálohové faktury ve smyslu článku 8.2. těchto podmínek. Dodací lhůta, uvedená v potvrzení objednávky, začíná běžet po uhrazení zálohy objednatelem.</w:t>
      </w:r>
    </w:p>
    <w:p w14:paraId="232BDC13"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3.5. Ustanovení článku 3.3. čtvrtá věta, není pro dodavatele závazné v případě, že výrobce přestane vyrábět a dodávat produkt, který je obsahem předmětu plnění, nahradí ho novou verzí, popř. výrazným způsobem změní cenu produktu. V takovém případě tuto skutečnost dodavatel neprodleně sdělí odběrateli a po dohodě s ním zašle aktualizované potvrzení objednávky.</w:t>
      </w:r>
    </w:p>
    <w:p w14:paraId="64A68CE8"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3.6. V případě větších dodávek předmětu plnění, či specifických podmínek, za nichž má být plnění uskutečněno, resp. požaduje-li to některý z účastníků, mohou účastníci uzavřít zvláštní smlouvu na předmět plnění s odkazem na znění těchto Všeobecných podmínek.</w:t>
      </w:r>
    </w:p>
    <w:p w14:paraId="64788F79"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4. Dodací podmínky</w:t>
      </w:r>
    </w:p>
    <w:p w14:paraId="00250414"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4.1. Dodávky předmětu plnění budou dle dostupnosti produktů a provozních možností dodavatele realizovány v co nejkratším termínu, obvykle do 1-21 dnů, v případě speciálních produktů a rozsáhlejších dodávek do 3-8 týdnů.</w:t>
      </w:r>
    </w:p>
    <w:p w14:paraId="271A350E"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4.2. Předpokládaný termín plnění je uveden v potvrzení objednávky. Dodavatel může ve výjimečných případech termín plnění prodloužit, musí však neprodleně na tuto změnu upozornit odběratele.</w:t>
      </w:r>
    </w:p>
    <w:p w14:paraId="33721FFF"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4.3. Za splnění termínu plnění se považuje dodání předmětu plnění odběrateli ve výdejním místě dodavatele, nebo předání pověřeným pracovníkem dodavatele (při použití vlastní dopravy dodavatele) v místě plnění anebo předání předmětu plnění prvnímu tuzemskému dopravci.</w:t>
      </w:r>
    </w:p>
    <w:p w14:paraId="3C424D8F"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4.4. Je-li sjednán osobní odběr odběratelem anebo jedná-li se o předmět plnění, vyžadující instalaci u odběratele, je za splnění termínu plnění považováno též sdělení odběrateli, že předmět plnění je připraven k expedici. Odklad převzetí předmětu plnění či jeho instalace u odběratele nemá poté vliv na splnění termínu plnění.</w:t>
      </w:r>
    </w:p>
    <w:p w14:paraId="56A62B35"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4.5. Není-li sjednáno jinak, je místem plnění příslušné výdejní místo dodavatele. Pokud odběratel požaduje jiné místo plnění, je tímto místem sídlo odběratele anebo místo plnění, uvedené na objednávce a rovněž na potvrzení objednávky.</w:t>
      </w:r>
    </w:p>
    <w:p w14:paraId="3FD47C4D"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4.6. Náklady spojené s dodáním do jiného místa plnění, než je výdejní místo dodavatele, nese odběratel. Požaduje-li odběratel dopravu předmětu plnění, dodavatel podle charakteru předmětu plnění a údajů na objednávce a potvrzení objednávky zvolí adekvátní způsob dopravy (poštovní přepravu, přepravní službu anebo vlastní dopravu dodavatele). Je-li předmět plnění přepravován podle přepravních pokynů odběratele, přechází na odběratele riziko ztráty, poškození či zničení okamžikem předání předmětu plnění poštovní přepravě či prvnímu dopravci za účelem dopravy předmětu plnění odběrateli.</w:t>
      </w:r>
    </w:p>
    <w:p w14:paraId="55B16CF7"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4.7. Nepřevezme-li odběratel předmět plnění z důvodů ležících na jeho straně (např. není i přes předem dohodnutý termín přítomna odběratelem určená osoba), nese odběratel náklady spojené s opakovaným dodáním v plné výši.</w:t>
      </w:r>
    </w:p>
    <w:p w14:paraId="12AE1527"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lastRenderedPageBreak/>
        <w:t>4.8. Odběratel je povinen předmět plnění převzít a neprodleně zkontrolovat soulad množství a typu předmětu plnění s dodacím listem nebo výdejkou, popř. zjevná poškození přepravních obalů či produktů.</w:t>
      </w:r>
    </w:p>
    <w:p w14:paraId="3B6E2F57"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4.9. Zjistí-li odběratel rozpor s dodacím listem, nebo výdejkou, popř. zjevné poškození obalů či produktů, je povinen tuto skutečnost neprodleně sdělit dodavateli anebo doručiteli zásilky a písemně ji uvést na dodacím listu, nebo výdejce dodavatele, popř. dodacím listu spediční služby.</w:t>
      </w:r>
    </w:p>
    <w:p w14:paraId="0D1B02F6"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4.10. Při zjištění rozdílu v množství a druhu předmětu plnění či jeho zjevném poškození, je odběratel povinen tuto vadu neprodleně reklamovat u dodavatele, nejpozději však do 2 pracovních dnů od předání. Na pozdější reklamace tohoto typu nemusí dodavatel brát zřetel.</w:t>
      </w:r>
    </w:p>
    <w:p w14:paraId="604D4F7D"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4.11. Odběratel je povinen při převzetí předmětu plnění, jeho prohlídce a následném uvedení do provozu provést rovněž kontrolu sériových čísel předmětu plnění se záznamem uvedeným na dodacím listě, nebo výdejce. Na zjištěný rozdíl je povinen upozornit dodavatele, a to nejpozději do 3 pracovních dnů od převzetí předmětu plnění. Dodavatel poté zajistí opravu a zaslání nového dodacího listu, nebo výdejky do 10 pracovních dní. Neupozorní-li odběratel na rozdíl včas, pak rozdílnost sériového čísla produktu a sériového čísla uvedeného v dodacím listě, nebo výdejce, je důvodem pro odmítnutí reklamace.</w:t>
      </w:r>
    </w:p>
    <w:p w14:paraId="10EF4A20"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4.12. Odběratel je při prodeji informován o místech zpětného sběru použitého elektrozařízení.</w:t>
      </w:r>
    </w:p>
    <w:p w14:paraId="46FB6DB0"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5. Stornování objednávky odběratelem</w:t>
      </w:r>
    </w:p>
    <w:p w14:paraId="36ABDE64"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5.1. Po přijetí objednávky dodavatelem dle článku 3.3. je třeba změnu objednávky či její stornování projednat s příslušným obchodním zástupcem.</w:t>
      </w:r>
    </w:p>
    <w:p w14:paraId="7A7F79EB"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5.2. Dodavatel je oprávněn vyúčtovat odběrateli storno poplatek až do výše 50% ceny předmětu plnění anebo její stornované části na pokrytí nákladů účelně vynaložených v souvislosti se změnou či stornováním objednávky.</w:t>
      </w:r>
    </w:p>
    <w:p w14:paraId="0775132D"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6. Instalace předmětu plnění</w:t>
      </w:r>
    </w:p>
    <w:p w14:paraId="316D60EB"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6.1. Požaduje-li odběratel instalaci předmětu plnění, resp. vyžaduje-li předmět plnění instalaci u odběratele, je tato provedena za úplatu, a to obvykle v okamžiku dodání předmětu plnění anebo v termínu dohodnutém s pověřenou osobou dodavatele. Odběratel se zavazuje do okamžiku instalace předmětu plnění zajistit jeho řádné uložení způsobem odpovídajícím jeho charakteru a hodnotě.</w:t>
      </w:r>
    </w:p>
    <w:p w14:paraId="4C2BDA5B"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6.2. Požaduje-li odběratel instalaci předmětu plnění, je povinen v takovém případě zajistit přístup dodavatelem pověřených osob do objektů, v nichž má být předmět plnění instalován a vytvořit nezbytné podmínky pro instalaci (zejména zajistit odpovídající součinnost, znalost přístupových hesel do počítačové sítě, informace o konfiguraci stávajícího systému, zálohování existujících dat na dotčených zařízeních apod.). Rozsah podmínek vychází z běžných zvyklostí a bude upřesněn pověřenou osobou dodavatele.</w:t>
      </w:r>
    </w:p>
    <w:p w14:paraId="4964BDBC"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6.3. Neposkytne-li odběratel dodavateli požadovanou součinnost, resp. nevytvoří-li podmínky pro úspěšnou instalaci předmětu plnění ve smyslu předchozího článku, je dodavatel oprávněn vyúčtovat odběrateli náklady spojené s marnou instalací dle platného ceníku služeb dodavatele. Zůstane-li i nový pokus dodavatele instalovat předmět plnění u odběratele z důvodů ležících na straně odběratele bezvýsledný, je dodavatel oprávněn provedení instalace předmětu plnění odmítnout. Závazek dodavatele provést instalaci předmětu plnění se považuje za splněný dnem, kdy opakovaný pokus o instalaci předmětu plnění u odběratele zůstal bezvýsledný.</w:t>
      </w:r>
    </w:p>
    <w:p w14:paraId="38CFA59F"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6.4. Instalace u odběratele jsou standardně prováděny v běžnou pracovní dobu tj. Po – Pá mezi 8:00 - 17:00 hod. Je-li z provozních důvodů na straně odběratele nezbytné provádět instalaci mimo tuto dobu, je třeba, aby tento požadavek byl uveden na objednávce, resp. potvrzení objednávky a byl tedy obsažen ve sjednané ceně. Požaduje-li odběratel dodatečně instalaci předmětu plnění mimo standardní pracovní dobu, dohodnou účastníci tohoto závazkového vztahu podmínky této instalace.</w:t>
      </w:r>
    </w:p>
    <w:p w14:paraId="111193D0"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6.5. Instalace předmětu plnění se považuje za ukončenou předvedením, že příslušný produkt pracuje správně dle předané dokumentace, nebo jiným demonstrováním standardního provozního stavu, s výjimkou uvedenou v článku 6.3. O instalaci předmětu plnění u odběratele bude účastníky sepsán předávací protokol.</w:t>
      </w:r>
    </w:p>
    <w:p w14:paraId="6A605E3D"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7. Funkčnost předmětu plnění</w:t>
      </w:r>
    </w:p>
    <w:p w14:paraId="0E0C3589"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7.1. Dodavatel neodpovídá za vhodnost předmětu plnění k určitému účelu použití a za možnost použití ve stávajícím systému odběratele, není-li toto písemně uvedeno v Nabídce, Potvrzení objednávky anebo v jiném písemném ujednání. Ve sporu o rozsah pojmu obvyklé užití platí výklad podaný statutárním orgánem dodavatele.</w:t>
      </w:r>
    </w:p>
    <w:p w14:paraId="056E876A"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7.2. Požaduje-li odběratel instalaci předmětu plnění v rozporu s obvyklým užitím anebo ujednáním, ač na tuto skutečnost byl dodavatelem upozorněn, je dodavatel oprávněn:</w:t>
      </w:r>
    </w:p>
    <w:p w14:paraId="7C4D9B49"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navrhnout realizovatelný způsob instalace předmětu plnění;</w:t>
      </w:r>
    </w:p>
    <w:p w14:paraId="484B3F0C"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lastRenderedPageBreak/>
        <w:t>- navrhnout doplnění předmětu plnění, popř. provést nezbytná systémová opatření ke zprovoznění předmětu plnění (update-upgrade driverů, změna konfigurací apod.);</w:t>
      </w:r>
    </w:p>
    <w:p w14:paraId="09BE8F32"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instalaci předmětu plnění pro nerealizovatelnost odmítnout.</w:t>
      </w:r>
    </w:p>
    <w:p w14:paraId="6E8830DA"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Náklady vynaložené dodavatelem v souvislosti s řešením této situace nese odběratel.</w:t>
      </w:r>
    </w:p>
    <w:p w14:paraId="79C7042B"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7.3. Nemožnost provést instalaci předmětu plnění způsobem, který není předem sjednán a uveden na potvrzení objednávky, nemůže být důvodem pro odstoupení od tohoto závazkového vztahu ze strany odběratele.</w:t>
      </w:r>
    </w:p>
    <w:p w14:paraId="62F7D1E4"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8. Platební podmínky a přechod vlastnických práv</w:t>
      </w:r>
    </w:p>
    <w:p w14:paraId="583C03CC"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8.1. Obvyklé platební podmínky při dodávkách standardního sortimentu dodavatele jsou platba předem, resp. platba v hotovosti při předání předmětu plnění. Jiné platební podmínky je možné sjednat v rámcové, resp. kupní smlouvě, podepsané statutárním zástupcem dodavatele.</w:t>
      </w:r>
    </w:p>
    <w:p w14:paraId="116A9F80"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8.2. V případě, že odběratel objednává nestandardní předmět plnění (např. zakázkové konfigurace PC, nestandardní komponenty, periferie či další zařízení, popř. SW), může být objednávka odběratele přijata a potvrzena až po složení zálohy odběratelem ve výši minimálně 30 % z ceny nestandardního předmětu plnění.</w:t>
      </w:r>
    </w:p>
    <w:p w14:paraId="4275A4AD"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8.3. Požaduje-li odběratel úpravu obvyklých platebních podmínek, je třeba tyto projednat s obchodním zástupcem dodavatele a takto sjednané podmínky uvést v objednávce. Úprava platebních podmínek může mít vliv na výši sjednané ceny předmětu plnění.</w:t>
      </w:r>
    </w:p>
    <w:p w14:paraId="363B5D03"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8.4. V případě, že odběratel není ve lhůtě splatnosti uvedené na faktuře vystavené dodavatelem schopen z jakéhokoliv důvodu provést její úhradu, nebo je v prodlení s úhradou jakékoli jiné platby vůči dodavateli, je povinen neprodleně kontaktovat obchodní oddělení dodavatele a navrhnout změnu platebních podmínek. Nedojde-li k dohodě o změně platebních podmínek, je dodavatel oprávněn účtovat odběrateli smluvní pokutu ve výši 0,1% dlužné částky včetně DPH za každý den prodlení ode dne původní splatnosti závazku až do jeho úplného uhrazení. Smluvní pokuta je splatná na základě její fakturace dodavatelem s tím, že uplatněním smluvní pokuty není dotčeno právo dodavatele na náhradu škody v plné výši.</w:t>
      </w:r>
    </w:p>
    <w:p w14:paraId="1E6BFF9A"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8.5. Povinnost odběratele uhradit svůj závazek vůči dodavateli řádně a včas je splněna datem připsání placené sjednané částky na účet dodavatele uvedený na faktuře.</w:t>
      </w:r>
    </w:p>
    <w:p w14:paraId="303983AC"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8.6. V případě, že odběratel realizuje platbu v hotovosti, vystaví dodavatel odběrateli příjmový pokladní doklad s uvedením čísla zálohové faktury, resp. faktury, ke které se příslušný příjmový pokladní doklad vztahuje. Faktura, resp. zálohová faktura s uvedením platební podmínky „v hotovosti“ je podkladem pro provedení platby, nikoli dokladem o provedení platby v hotovosti.</w:t>
      </w:r>
    </w:p>
    <w:p w14:paraId="297D3753"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8.7. Nebezpečí vzniku škody na předmětu plnění přechází na odběratele okamžikem jeho převzetí, s výjimkou uvedenou v článku 4.6. poslední věta. Až do úplného zaplacení ceny plnění je předmět plnění ve vlastnictví dodavatele, a to i v případě začlenění do systému, který je majetkem odběratele, resp. systému, který odběratel využívá. Do doby přechodu vlastnického práva k předmětu plnění na odběratele, je jakékoli</w:t>
      </w:r>
    </w:p>
    <w:p w14:paraId="43C03CD3"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poskytnutí předmětu plnění do zástavy nebo zřízení zajišťovacího převodu práva či jiného závazkového vztahu k předmětu plnění odběratelem ve prospěch třetí strany, bez souhlasu dodavatele, vyloučeno, rovněž za jakékoliv zcizení předmětu plnění odpovídá odběratel.</w:t>
      </w:r>
    </w:p>
    <w:p w14:paraId="40EA440B"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8.8. Pokud je dodavatel oprávněn pro nezaplacení ceny plnění převzít předmět plnění zpět, přiznává mu odběratel neodvolatelné právo vstupu v obvyklé době do prostor, v nichž je předmět plnění umístěn za účelem odvezení předmětu plnění.</w:t>
      </w:r>
    </w:p>
    <w:p w14:paraId="76412838"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8.9. Nesplní-li odběratel svůj závazek uhradit cenu za předmět plnění včas a v plné výši, je dodavatel oprávněn přerušit poskytování plnění, resp. služeb s předmětem plnění souvisejících (např. záruční servis) až do uhrazení závazku odběratele v plné výši včetně sjednaných úroků (penále), resp. smluvních pokut za opožděnou úhradu.</w:t>
      </w:r>
    </w:p>
    <w:p w14:paraId="3CB0DE76"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9. Záruka</w:t>
      </w:r>
    </w:p>
    <w:p w14:paraId="685320EB"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9.1. Obsah záruky:</w:t>
      </w:r>
    </w:p>
    <w:p w14:paraId="5822BF38"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9.1.1. Dodavatel poskytuje záruku na jednotlivá zboží a na ostatní jednotlivé předměty plnění s výjimkou SW (dále též jen „zboží/dílo“) specifikované ve faktuře nebo v jiném účetním dokladu a současně v příslušném dokladu o dodání zboží/díla, tj. v dodacím listu nebo výdejce nebo ve výrobním listu PC sestavy nebo v servisním protokolu, v nichž jsou uvedena sériová čísla dodaného zboží/díla. Zbožím není software, k software dodavatel pouze převádí uživatelská práva (viz níže). Poskytnutím záruky nejsou dotčena práva spotřebitele jakožto kupujícího, která se ke koupi věci váží podle zvláštních právních předpisů.</w:t>
      </w:r>
    </w:p>
    <w:p w14:paraId="480EBE1B"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lastRenderedPageBreak/>
        <w:t>9.1.2. Délka záruční doby zboží/díla může být pro jednotlivé díly zboží/díla stanovena rozdílně a je vyznačena v dodacím listu nebo výdejce nebo ve výrobním listu PC sestavy nebo v servisním protokolu. V těch právních vztazích, na něž se vztahují zvláštní ustanovení o prodeji zboží v obchodě podle občanského zákoníku, činí při prodeji spotřebního zboží délka zákonné záruční doby na zboží 24 měsíců, nestanoví-li občanský zákoník ve specifických případech výslovně jinak.</w:t>
      </w:r>
    </w:p>
    <w:p w14:paraId="789FE7D3"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9.1.3. U některého zboží/díla lze zakoupit rozšíření délky nebo rozšíření rozsahu záruky, rozšířený obsah a podmínky záruky se pak řídí též příslušnými registračními podmínkami (např. notebooky Toshiba), resp. smluvním ujednáním o rozšíření záruky. Odchylná ustanovení registračních podmínek (dle registrační karty), resp. smluvního ujednání o rozšíření záruky, mají přednost před ustanoveními těchto Všeobecných podmínek, v ostatních ustanoveních platí tyto Všeobecné podmínky.</w:t>
      </w:r>
    </w:p>
    <w:p w14:paraId="298D7793"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9.1.4. Zákonná záruka: Při prodeji zboží, na něž se vztahují zvláštní ustanovení o prodeji zboží v obchodě podle občanského zákoníku, se na prvních 24 měsíců z celkové doby dodavatelem poskytnuté záruky vztahují ustanovení § 2158 až 2174 občanského zákoníku (zvláštní ustanovení o prodeji zboží v obchodě). Po uplynutí zákonné záruky se nároky odběratele řídí obsahem smluvní (tzv. prodloužené) záruky podle těchto Všeobecných podmínek. Na prodej použitého zboží se zákonná záruka nevztahuje.</w:t>
      </w:r>
    </w:p>
    <w:p w14:paraId="333107DD"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Nároky odběratele ze záruky za jakost v případě prodejů zboží, na něž se nevztahují zvláštní ustanovení o prodeji zboží v obchodě podle občanského zákoníku, se řídí obsahem smluvní záruky podle těchto Všeobecných podmínek.</w:t>
      </w:r>
    </w:p>
    <w:p w14:paraId="7B076B5E"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9.1.5. Životnost zboží: Nelze zaměňovat životnost výrobku, tj. dobu, po kterou při správném užívání a ošetřování může výrobek vzhledem ke svým vlastnostem, danému účelu a rozdílnosti v intenzitě jeho využívání vydržet, a záruční dobu, ve které lze reklamovat vady výrobku, tj. takové vady, které mají svůj původ ve výrobě, v použitém materiálu či způsobu zpracování.</w:t>
      </w:r>
    </w:p>
    <w:p w14:paraId="66AEFD4B"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Za rozpor s kupní či jinou smlouvou nelze považovat reklamace takových parametrů, které nejsou pro daný výrobek uvedeny v návodu ani jiné obchodně-technické dokumentaci výrobce či v závazných technických normách.</w:t>
      </w:r>
    </w:p>
    <w:p w14:paraId="623801BB"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9.1.6. Smluvní záruka: Smluvní záruka platí v případě prodejů zboží, na něž se nevztahují zvláštní ustanovení o prodeji zboží v obchodě podle občanského zákoníku a dále platí pro dobu dodavatelem poskytnuté záruky, která přesahuje délku zákonné záruční doby v případě prodejů zboží, na něž se vztahují zvláštní ustanovení o prodeji zboží v obchodě podle občanského zákoníku (tj. pro dobu tzv. prodloužení záruky). Ze smluvní záruky i ze zákonné odpovědnosti za vady vzniká odběrateli pouze právo na bezplatné odstranění vad (práce a materiál), na něž se záruka vztahuje, a které se během záruční doby na zboží/díle vyskytnou při dodržení níže uvedených záručních podmínek; v případě vady neodstranitelné vzniká odběrateli pouze právo na výměnu zboží/díla za zboží/dílo stejných parametrů (nebude-li to pro rychlost inovací již možné nebo ekonomické, pak parametrů lepších). V rámci smluvní záruky bude vada zboží/díla odstraněna opravou, nebude-li to možné či ekonomické, pak výměnou zboží/díla za zboží stejného druhu a stejných nebo lepších parametrů; oprava vadného dílu zboží/díla může být provedena nahrazením tohoto dílu stejným dílem a nebude-li mít výrobce či dodavatel takový díl k dispozici, pak dílem s obdobnými nebo lepšími parametry tak, aby byla obnovena funkčnost opravovaného zboží/díla.</w:t>
      </w:r>
    </w:p>
    <w:p w14:paraId="19A75AD2"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9.1.7. Smluvní záruka se vztahuje na vady, které mají svůj původ ve výrobě, v použitém materiálu či způsobu zpracování, v montáži nebo instalaci zboží/díla provedenými dodavatelem. Dodavatel je povinen plnit své závazky vyplývající ze smluvní záruky pouze tehdy, pokud odběratel není v prodlení s úhradou ceny předmětu plnění.</w:t>
      </w:r>
    </w:p>
    <w:p w14:paraId="4453F5BE"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9.1.8. Zákonná ani smluvní záruka se nevztahuje na opotřebení zboží/díla způsobené jeho obvyklým užíváním a nevztahuje se na vady, pro které byla sjednána nižší cena, dále se nevztahuje na závady způsobené takovým použitím nebo takovou instalací, které jsou v rozporu s návodem k obsluze nebo s podmínkami nakládání se zbožím/dílem uvedenými v těchto Všeobecných podmínkách (viz níže) nebo všeobecnými zásadami, na závady vzniklé nedodržením pokynů pro údržbu, provoz nebo obsluhu výrobku/díla, na závady vzniklé nesprávnou přepravou a nesprávným skladováním, neodborným nebo nepřiměřeným zacházením; vystavením nepříznivým vnějším vlivům, provozem za jiných než výrobcem či dodavatelem stanovených podmínek, resp. za neobvyklých podmínek; fyzickým poškozením, na závady vzniklé neodvratnou událostí (oheň, voda apod.), povětrnostními vlivy, poškozením bleskem nebo elektrostatickým výbojem, nadměrným mechanickým opotřebením, na vady vzniklé použitím nesprávného nebo vadného programového vybavení, použitím jiného než výrobcem zboží/díla výslovně doporučeného spotřebního materiálu (např. jiné než originální pásky do tiskáren) či příslušenství. Záruka se nevztahuje na závady vzniklé uživatelem zanesenými počítačovými viry, instalací softwaru nedodaného dodavatelem, neodbornou instalací softwaru nebo přídavných zařízení. Předmětem záručního plnění není rovněž běžná údržba, čištění a podobné úkony předepsané výrobcem v návodu k obsluze. Zákonná ani smluvní záruka se též nevztahuje na opotřebení součástí zboží, u nichž výrobce limitoval životnost takové součásti, jestliže tato byla překročena, a na</w:t>
      </w:r>
    </w:p>
    <w:p w14:paraId="6407507D"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přirozené opotřebení součástí při výrobcem doporučeném užívání zboží (např. válce, rolny, lampy, gumové součásti, filtry, přirozený pokles kapacity akumulátorů, lampy projektoru apod. Např. uváděná životnost lampy projektoru je maximální a může se lišit podle podmínek, za kterých je projektor používán). U LCD displejů může v průběhu užívání dojít k výpadku zobrazovacích bodů (pixelů), který do rozsahu kvalitativní tolerance uvedené výrobcem je obvyklou vlastností daného výrobku.</w:t>
      </w:r>
    </w:p>
    <w:p w14:paraId="07A7BCC8"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9.1.9. Smluvní záruční doba začíná běžet ode dne převzetí zboží/díla odběratelem. Bude-li zboží v rámci smluvní záruky vyměněno, pak vyměněné zboží/dílo bude mít záruční dobu do zbytku původní smluvní záruční doby reklamovaného zboží/díla, nebude-li výslovně ujednáno jinak.</w:t>
      </w:r>
    </w:p>
    <w:p w14:paraId="4901F150"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9.1.10. Do záruční doby se nepočítá doba od uplatnění oprávněné reklamace až do doby, kdy odběratel po skončení opravy byl povinen zboží/dílo převzít.</w:t>
      </w:r>
    </w:p>
    <w:p w14:paraId="6A936DCA"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lastRenderedPageBreak/>
        <w:t>9.1.11. Smluvní záruka zaniká nedodržením podmínek provozu nebo neprováděním pravidelné běžné uživatelské údržby v souladu s návodem k obsluze, provedením změny na dodaném zboží/díle nebo porušením záruční nálepky, neoprávněným zásahem do zboží/díla osobou, která k provedení zásahu nebyla výslovně dodavatelem zmocněna. Nedodržením záručních podmínek zanikají všechna práva odběratele, vyplývající ze smluvní záruky.</w:t>
      </w:r>
    </w:p>
    <w:p w14:paraId="34E7D585"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9.1.12. Software (programové vybavení): je-li předmětem plnění software, záruka dodavatele se vztahuje výhradně na fyzickou čitelnost médií. Okamžikem odstranění ochranných prvků (fólie, pečeti, otevření obálky apod.) se odběratel (resp. uživatel) stává oprávněným licenčním uživatelem softwarového produktu a akceptuje licenční ujednání nositele autorských práv, resp. výrobce software. Tento předmět plnění nelze vrátit dodavateli. Dodavatel neodpovídá za správnou funkci softwarových produktů (dále též SW), ani tzv. DEMO produktů. Obsah záruky poskytované nositelem autorských práv se řídí licenčním ujednáním k software, které je součástí softwarového produktu. Záruka na softwarové produkty Microsoft je poskytovatelem omezena na 90 dnů od data prodeje ve smyslu licenční smlouvy Microsoft.</w:t>
      </w:r>
    </w:p>
    <w:p w14:paraId="3CF721D0"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9.1.13. V případě záruční vady počítače, která má za následek ztrátu instalovaného SW, zajistí dodavatel zdarma uvedení do stavu, ve kterém byl odběrateli předán, tj. s instalovaným SW, který byl instalován dodavatelem, resp. výrobcem.</w:t>
      </w:r>
    </w:p>
    <w:p w14:paraId="6FD901E0"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9.1.14. Záruka se nevztahuje na případy nefunkčnosti původního výrobcem nebo dodavatelem instalovaného softwarového produktu, způsobené zásahem jiné osoby, resp. jí způsobenými změnami nastavení. Změnou nastavení se rozumí jakákoliv změna systémových nastavení výrobcem či dodavatelem instalovaných softwarových produktů (tzv. OEM software), instalace jiného nebo dodatečného softwarového produktu, případně instalace ovladačů provedené odběratelem nebo třetí stranou.</w:t>
      </w:r>
    </w:p>
    <w:p w14:paraId="7329DBFE"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9.1.15. V případě oprav hardwarových závad nebo úprav předmětu plnění, provedených jako pozáruční nebo jako placené v záruční době (tj. nespadajících do rozsahu záruky), činí smluvní záruka na poskytnutý materiál 3 měsíce a na provedenou práci 3 měsíce, nebude-li dohodnuto jinak. Služby nespadající do rozsahu záruky poskytuje dodavatel na základě smluvního ujednání a za úplatu.</w:t>
      </w:r>
    </w:p>
    <w:p w14:paraId="27E99596"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9.1.16. Na použitý předmět plnění poskytuje dodavatel smluvní záruku v rozsahu specifikovaném v dodacím listu, resp. výdejce.</w:t>
      </w:r>
    </w:p>
    <w:p w14:paraId="471C6E23"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9.1.17. Spotřebitelské smlouvy:</w:t>
      </w:r>
    </w:p>
    <w:p w14:paraId="28BA1BF8"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xml:space="preserve">V případě, kdy prodej zboží (resp. realizace předmětu plnění) je uskutečněn vůči spotřebiteli na základě smlouvy uzavřené prostřednictvím prostředků komunikace na dálku (zejména elektronický obchod na </w:t>
      </w:r>
      <w:proofErr w:type="gramStart"/>
      <w:r w:rsidRPr="007C0855">
        <w:rPr>
          <w:rFonts w:ascii="Arial" w:hAnsi="Arial" w:cs="Arial"/>
          <w:color w:val="000000"/>
          <w:sz w:val="16"/>
          <w:szCs w:val="16"/>
        </w:rPr>
        <w:t>Internetu</w:t>
      </w:r>
      <w:proofErr w:type="gramEnd"/>
      <w:r w:rsidRPr="007C0855">
        <w:rPr>
          <w:rFonts w:ascii="Arial" w:hAnsi="Arial" w:cs="Arial"/>
          <w:color w:val="000000"/>
          <w:sz w:val="16"/>
          <w:szCs w:val="16"/>
        </w:rPr>
        <w:t>), má spotřebitel právo odstoupit od smlouvy ve lhůtě čtrnácti dnů od uzavření smlouvy; pokud mu však byly údaje podle § 1843 až 1845 občanského zákoníku sděleny až po uzavření smlouvy, pak ve lhůtě čtrnácti dnů ode dne, kdy mu byly sděleny. Spotřebitel však nemůže odstoupit od smluv vyjmenovaných v § 1837 občanského zákoníku, kterými jsou zejména smlouvy na dodávku počítačových programů, porušil-li spotřebitel jejich původní obal, smlouvy na dodávku zboží upraveného podle přání spotřebitele nebo pro jeho osobu, smlouvy na dodávku zboží nebo služeb, jejichž cena závisí na výchylkách finančního trhu nezávisle na vůli dodavatele a další smlouvy vyjmenované zákonem.</w:t>
      </w:r>
    </w:p>
    <w:p w14:paraId="06CFB81D"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Oznámení spotřebitele o odstoupení od smlouvy uzavřené na dálku musí být dodavateli doručeno do skončení lhůty pro odstoupení a dodavateli musí být řádně vráceno kompletní zboží (plnění) v původním stavu se všemi doklady a dokumentací, které byly spotřebiteli dodány. Pro rychlé vyřízení věci je nutné vrátit zboží na stejnou adresu dodavatele, která je v dokladech ke zboží uvedena jako místo, z něhož bylo zboží kupujícímu odesláno. Důsledkem odstoupení je povinnost stran vrátit si vše, co podle smlouvy dostaly. Přímé náklady na vrácení zboží nese spotřebitel. Po odstoupení a řádném vrácení zboží spotřebitelem je dodavatel povinen bez zbytečného odkladu vrátit spotřebiteli částku za zboží (plnění) zaplacenou. Smlouvu uzavřenou na dálku se spotřebitelem lze zrušit jen za podmínek stanovených zákonem.</w:t>
      </w:r>
    </w:p>
    <w:p w14:paraId="69D6DACB"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9.2. Záruční podmínky:</w:t>
      </w:r>
    </w:p>
    <w:p w14:paraId="729488AA"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9.2.1. MÍSTO A ZPŮSOB UPLATNĚNÍ REKLAMACE:</w:t>
      </w:r>
    </w:p>
    <w:p w14:paraId="474BE9AD"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Místo a způsob uplatnění reklamace se řídí částí 10 Reklamační řád a částí 11.Odstranění vad předmětu plnění v záruční době těchto Všeobecných podmínek, není-li smlouvou sjednáno jinak.</w:t>
      </w:r>
    </w:p>
    <w:p w14:paraId="46507EDE"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Při uplatnění reklamace je vždy nutno předložit (dále viz část. 10 Reklamační řád):</w:t>
      </w:r>
    </w:p>
    <w:p w14:paraId="191FEF81"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a) Doklady o zakoupení zboží (či dodání díla), kterými jsou faktura nebo jiný účetní doklad a současně dodací doklad se sériovým číslem dodaného zboží/díla, tj. dodací list nebo výdejka nebo výrobní list PC sestavy nebo servisní protokol.</w:t>
      </w:r>
    </w:p>
    <w:p w14:paraId="7933EE11"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b) V případě zásilkového prodeje dále předložit přepravní (poštovní) doklad o převzetí zboží/díla.</w:t>
      </w:r>
    </w:p>
    <w:p w14:paraId="584109F2"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c) Reklamované zboží/dílo, které je kompletní včetně dokumentace, s neporušenými záručními nálepkami a dále při prodeji zboží, na něž se nevztahují zvláštní ustanovení o prodeji zboží v obchodě podle občanského zákoníku, musí být reklamované zboží/dílo předloženo také v obalu, který je původní.</w:t>
      </w:r>
    </w:p>
    <w:p w14:paraId="522767D9"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d) Zároveň je třeba uvést o jakou vadu jde, a jak se projevuje.</w:t>
      </w:r>
    </w:p>
    <w:p w14:paraId="4CC7CEFE"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lastRenderedPageBreak/>
        <w:t>e) V případě zboží/díla se zakoupenou rozšířenou zárukou předložit příslušnou registrační kartu (např. u služeb AC asistent).</w:t>
      </w:r>
    </w:p>
    <w:p w14:paraId="285CB3FA"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9.2.2. PODMÍNKY NAKLÁDÁNÍ SE ZBOŽÍM ČI DÍLEM:</w:t>
      </w:r>
    </w:p>
    <w:p w14:paraId="07713F29"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Zboží/dílo je určeno pro provoz při napájecí síti odpovídající technické normě, v prostředí bez výkyvů teplot a vlhkosti. Je třeba ho řádně udržovat a provozně zatěžovat podle předpisu výrobce či dodavatele (viz návod k obsluze, resp. uživatelská příručka apod.).</w:t>
      </w:r>
    </w:p>
    <w:p w14:paraId="1E90CA5C"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Se zbožím/dílem je nutné nakládat v souladu s návodem k jeho obsluze a dodržovat podmínky provozu a údržby zboží/díla. Se zbožím/dílem je nutné používat pouze takový spotřební materiál a příslušenství, které jsou doporučeny výrobcem zboží/díla (např. tonery, válce, tiskové hlavy, inkoustové cartridge atd.)</w:t>
      </w:r>
    </w:p>
    <w:p w14:paraId="33AFE352"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Jakékoli zásahy do zboží/díla mohou být provedeny pouze dodavatelem nebo jím výslovně zmocněným subjektem.</w:t>
      </w:r>
    </w:p>
    <w:p w14:paraId="7DB08798"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V případě paměťových médií je nutné, aby odběratel (uživatel) v rámci jeho obecné povinnosti prevence škod zajišťoval přiměřenou a obvyklou ochranu dat. Zařízení pro ukládání dat jsou technická zařízení, jejichž poruchovost je objektivním jevem a má stochastický charakter. Dodavatel nepřejímá odpovědnost za data na těchto médiích uložená. Dodavatel doporučuje uživateli preventivně zálohovat uložená data na vhodném zařízení.</w:t>
      </w:r>
    </w:p>
    <w:p w14:paraId="784EC501"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Při předání zboží/díla k opravě se předpokládá, že uživatel zabezpečil vytvoření odpovídající zálohy uložených dat i programů a zabránil jejich možnému zneužití. Dodavatel neodpovídá za případnou ztrátu či poškození dat a programů, které jsou uloženy na zařízeních pro jejich ukládání.</w:t>
      </w:r>
    </w:p>
    <w:p w14:paraId="00E8C20F"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Dodavatel negarantuje plnou slučitelnost prodaných počítačů a počítačových součástí s jinými díly, které pracovníci dodavatele nebo jím pověřené osoby neschválí, ani se SW aplikacemi, jejichž funkčnost nebyla odběratelem výslovně požadována v objednávce.</w:t>
      </w:r>
    </w:p>
    <w:p w14:paraId="7C697550"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Dodavatel negarantuje plnou funkčnost aplikačního SW ve verzích, které nejsou vhodné (nejsou vytvořeny) pro odběratelem objednaný, resp. používaný operační systém. Za případné závady způsobené omezenou funkčností SW aplikací, které nesplňují podmínku specifikovanou v předchozí větě, dodavatel neodpovídá.</w:t>
      </w:r>
    </w:p>
    <w:p w14:paraId="74C68349"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Pokud bude odběratel (uživatel) žádat, aby dodavatel nainstaloval do počítače přídavné zařízení nebo díly, které nejsou předmětem dodávky dodavatele, může být přání odběratele vyhověno, dodavatel však nenese žádnou odpovědnost za změnu povahy zboží, která tímto bude způsobena, ani za závady či škody tímto vzniklé, pokud dodavatel neschválí jejich slučitelnost s daným počítačem.</w:t>
      </w:r>
    </w:p>
    <w:p w14:paraId="7EA76B3F"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9.2.3. PŘI NEOPRÁVNĚNÉ REKLAMACI (nebude-li zjištěna oznámená závada nebo půjde-li o závadu nespadající do záruky) je odběratel povinen před převzetím zařízení uhradit vzniklé náklady na přepravu a náklady na testování podle aktuálního platného ceníku servisního střediska, které provádí záruční opravy daného zařízení.</w:t>
      </w:r>
    </w:p>
    <w:p w14:paraId="77CA4718"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10. Reklamační řád</w:t>
      </w:r>
    </w:p>
    <w:p w14:paraId="261663A0"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10.1. Odběratel je povinen zajistit prohlídku předmětu plnění co nejdříve po okamžiku přechodu nebezpečí škody na předmětu plnění (dále „okamžik přechodu nebezpečí“). Jestliže odběratel předmět plnění neprohlédne anebo nezařídí, aby byl prohlédnut v okamžiku přechodu nebezpečí, může uplatnit nároky z vad zjistitelných při této prohlídce, jen když prokáže, že tyto vady měl předmět plnění již v okamžiku přechodu nebezpečí.</w:t>
      </w:r>
    </w:p>
    <w:p w14:paraId="43F8A700"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10.2. Odběratel je povinen všechny takto zjištěné vady oznámit ihned dodavateli. Vady, které mohly být zjištěny později při vynaložení odborné péče, je odběratel povinen oznámit dodavateli nejpozději do konce záruční doby.</w:t>
      </w:r>
    </w:p>
    <w:p w14:paraId="352B757B"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10.3. Odběratel je povinen uplatňovat reklamaci (vyjma PC systémů a serverů dodavatele) předložením předmětu plnění a písemným oznámením (popř. e-mailem) obsahujícím co nejpodrobnější specifikaci zjištěné vady předmětu plnění nebo může takovou reklamaci uplatnit osobně. Místem reklamace je provozovna dodavatelem k tomu určená, resp. místo, kde byl odběratelem zakoupen předmět plnění (výhradně u předmětů plnění zakoupených pro vlastní potřebu odběratele). Předmět plnění, zakoupený za účelem dalšího prodeje, je možné reklamovat jen v provozovně dodavatelem k tomu určené. Na některá zařízení, která mohou být součástí předmětu plnění, může odběratel uplatnit reklamaci přímo u autorizovaného zástupce výrobce. Pokyny autorizovaného zástupce výrobce jsou přiloženy k předmětu plnění. Místo uplatnění reklamace je pak určeno autorizovaným zástupcem výrobce.</w:t>
      </w:r>
    </w:p>
    <w:p w14:paraId="5F46B84A"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10.4. Při reklamaci předmětu plnění je odběratel povinen prokázat zakoupení předmětu plnění u dodavatele fakturou a současně dodacím listem nebo servisním protokolem nebo výdejkou (s uvedením sériového čísla reklamovaného předmětu plnění), u PC systému a serverů dodavatele je nutno s fakturou předložit výrobní list PC sestavy.</w:t>
      </w:r>
    </w:p>
    <w:p w14:paraId="3718C919"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10.5. V případech reklamace funkce PC systému a serverů dodavatele lze uplatňovat reklamaci u dodavatele telefonicky na telefonních číslech k tomu určených nebo osobně v provozovně dodavatele. Při reklamaci je třeba nahlásit sériové číslo PC systému, resp. serveru (viz výrobní list PC sestavy nebo typový štítek na PC, serveru), a dále co nejpodrobněji popsat charakter závady a uvést kontaktní osobu odběratele (jméno, tel., elektronický kontakt). Dodavatel poté zajistí posouzení reklamace a po dohodě s odběratelem podnikne kroky k odstranění případné vady v souladu s ustanoveními odstavce 11. těchto podmínek.</w:t>
      </w:r>
    </w:p>
    <w:p w14:paraId="4CE7923B"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lastRenderedPageBreak/>
        <w:t>10.6. Z důvodu nebezpečí možného poškození předmětu plnění při přepravě, dodavatel přijímá k reklamaci pouze předmět plnění zabalený nejlépe v originálním obalu (za originální obal lze považovat původní obal od identického kusu předmětu plnění, kde sériové číslo uvedené na obalu /případně odběratelem opravené sériové číslo/ je totožné se sériovým číslem reklamovaného předmětu plnění). Pokud odběratel nedodá předmět plnění v originálním obalu, doporučuje se použití jiného vhodného obalu, který vyhovuje nárokům přepravy daného zboží. V těch právních vztazích, na něž se nevztahují zvláštní ustanovení o prodeji zboží v obchodě podle občanského zákoníku, musí být reklamované zboží předáno k reklamaci v originálním obalu. Dodavatel není povinen přijmout k vyřízení reklamace předmět plnění, nepředá-li jej odběratel se všemi součástmi a příslušenstvím.</w:t>
      </w:r>
    </w:p>
    <w:p w14:paraId="6AE1CC94"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10.7. V případě dodržení ustanovení článků 10.4.-10.6. odběratelem, převezme pověřená osoba dodavatele předmět plnění k vyřízení reklamace. Pokud není možné, aby dodavatelem pověřená osoba rozhodla o uznání reklamace na místě, předá reklamovaný předmět plnění reklamačnímu oddělení dodavatele. O výsledku reklamace je odběratel informován způsobem sjednaným s dodavatelem (telefonicky, elektronicky, písemně), a to zpravidla nejpozději do 1 týdne od převzetí předmětu plnění k vyřízení reklamace. V případě nutnosti posouzení vad zboží autorizovaným zástupcem výrobce zajistí dodavatel posouzení oprávněnosti reklamace zpravidla do 2 týdnů od převzetí předmětu plnění.</w:t>
      </w:r>
    </w:p>
    <w:p w14:paraId="73724039"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11. Odstranění vad předmětu plnění v záruční době</w:t>
      </w:r>
    </w:p>
    <w:p w14:paraId="0116D1A8"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11.1. Dodavatel je oprávněn k zajištění záručního servisu použít třetích osob.</w:t>
      </w:r>
    </w:p>
    <w:p w14:paraId="6375D2C0"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11.2. Záruční servis na dodavatelem dodané kompletní PC systémy se značkou dodavatele (základní jednotka, klávesnice, myš) poskytuje dodavatel standardně dle typu zařízení. Podmínky nadstandardního servisu je nutné sjednat písemně při uzavírání zvláštní servisní smlouvy. Jednotlivé</w:t>
      </w:r>
    </w:p>
    <w:p w14:paraId="3A22FCD9"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typy záručního servisu jsou poskytovány (zahrnuty v kupní ceně) v závislosti na modelu počítače. Typ servisu je uveden v dokladech k zakoupenému předmětu plnění. Dodavatel zajišťuje následující typy záručního servisu HW (vyjma závad zmíněných v odstavci 11.6.):</w:t>
      </w:r>
    </w:p>
    <w:p w14:paraId="6B4AE1C1"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Ekonomický servis (EKONOM): záruční oprava HW závad se provádí po celou dobu záruky v nejbližším servisním středisku dodavatele.</w:t>
      </w:r>
    </w:p>
    <w:p w14:paraId="32C3898C"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Standardní servis (STANDARD): záruční oprava HW závad se provádí v 1. roce v místě instalace a vedle nákladů na práci a náhradní díly jsou dodavatelem hrazeny i náklady na cestovné. Po zbytek záruční doby je záruční oprava prováděna v nejbližším servisním středisku dodavatele.</w:t>
      </w:r>
    </w:p>
    <w:p w14:paraId="12809103"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Speciální servis (SPECIÁL): záruční oprava HW závad se provádí po celou záruční dobu v místě instalace.</w:t>
      </w:r>
    </w:p>
    <w:p w14:paraId="6947C8B3"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Jiné servisní podmínky poskytuje dodavatel odběrateli na základě zvláštní smlouvy. Dodavatel provede na základě objednávky odběratele záruční servis v místě instalace předmětu plnění u odběratele i mimo výše vyjmenované případy. V tomto případě se odběratel zavazuje uhradit v hotovosti dodavateli vícenáklady servisního zásahu formou servisního poplatku za výjezd technika ve výši dané platným ceníkem služeb dodavatele.</w:t>
      </w:r>
    </w:p>
    <w:p w14:paraId="01EB661B"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11.3. Provádění záručního servisu v místě instalace u zákazníka je omezeno teritoriálně na území České republiky.</w:t>
      </w:r>
    </w:p>
    <w:p w14:paraId="3EB8BC93"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11.4. Základní jednotka konkrétního PC systému je definována výčtem dílů vyjmenovaných v odstavci základní jednotka ve výrobním listu dané PC sestavy. Základní jednotka PC systému se zpravidla skládá z těchto dílů: systémová deska (MB), procesor (CPU), chladič CPU, paměť (RAM), CD-ROM, řadič FDD a HDD, grafická karta (VGA), audio (zvuková karta), síťová karta, pevný disk (HDD), floppy mechanika (FDD), napájecí zdroj, skříň PC.</w:t>
      </w:r>
    </w:p>
    <w:p w14:paraId="50273808"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11.5. Výše uvedené podmínky provádění záručního servisu v místě instalace u zákazníka se vztahují na základní jednotku včetně dodavatelem do základní jednotky vestavěných periferií, klávesnici a myš, které společně tvořily předmět plnění dodaný dodavatelem. Podmínky provádění záručního servisu v místě instalace u odběratele se nevztahují např. na SW, monitor, periferie, multimediální balíky (</w:t>
      </w:r>
      <w:proofErr w:type="spellStart"/>
      <w:r w:rsidRPr="007C0855">
        <w:rPr>
          <w:rFonts w:ascii="Arial" w:hAnsi="Arial" w:cs="Arial"/>
          <w:color w:val="000000"/>
          <w:sz w:val="16"/>
          <w:szCs w:val="16"/>
        </w:rPr>
        <w:t>kity</w:t>
      </w:r>
      <w:proofErr w:type="spellEnd"/>
      <w:r w:rsidRPr="007C0855">
        <w:rPr>
          <w:rFonts w:ascii="Arial" w:hAnsi="Arial" w:cs="Arial"/>
          <w:color w:val="000000"/>
          <w:sz w:val="16"/>
          <w:szCs w:val="16"/>
        </w:rPr>
        <w:t>), zapisovací mechaniky CD-R/RW, zálohovací zařízení (např. DAT mechanika, magnetooptická záznamová zařízení apod.) a odběratelem přidaná zařízení.</w:t>
      </w:r>
    </w:p>
    <w:p w14:paraId="0B9D7994"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11.6. U závad, jejichž projevy nelze reprodukovat (závady náhodně se vyskytující), je doba diagnostiky a opravy vady dána dohodou mezi pověřenými osobami dodavatele a odběratele. Není-li možné provést odstranění takové závady u odběratele, odstraní dodavatel takovou závadu po provedení příslušných testů v servisním středisku.</w:t>
      </w:r>
    </w:p>
    <w:p w14:paraId="334DE11B"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11.7. Odběratel se zavazuje vytvořit dodavateli nebo jím pověřenému subjektu podmínky pro zdárné provedení servisního zákroku (umožnit vstup do objektu, přístup k zařízení, přístup do systému, přítomnost svého zástupce apod.), jakož i podmínky pro vyřízení formalit pro provedení opravy reklamované vady nezbytných.</w:t>
      </w:r>
    </w:p>
    <w:p w14:paraId="4DC1A771"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xml:space="preserve">11.8. Dodavatel je oprávněn odstoupit od poskytnuté záruky u předmětu plnění, resp. u jeho jednotlivých částí, zjistí-li, že vyskytnuvší se vada byla způsobena příčinou nespadající do záruky, nebo zjistí-li, že na předmětu plnění, resp. jeho části byl proveden zásah osobou neoprávněnou, tj. jinou osobou než dodavatelem nebo osobou jím pověřenou. Odstoupí-li dodavatel od poskytnuté záruky, resp. zjistí-li, že reklamovaná vada byla nahlášena neoprávněně, je dodavatel oprávněn požadovat na odběrateli uhrazení nákladů, </w:t>
      </w:r>
      <w:r w:rsidRPr="007C0855">
        <w:rPr>
          <w:rFonts w:ascii="Arial" w:hAnsi="Arial" w:cs="Arial"/>
          <w:color w:val="000000"/>
          <w:sz w:val="16"/>
          <w:szCs w:val="16"/>
        </w:rPr>
        <w:lastRenderedPageBreak/>
        <w:t>které dodavateli v souvislosti s tím vznikly, a to ve výši dle aktuálního platného ceníku dodavatele, resp. servisního střediska, které provádí záruční opravy daného zařízení.</w:t>
      </w:r>
    </w:p>
    <w:p w14:paraId="194183B4"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12. Licence</w:t>
      </w:r>
    </w:p>
    <w:p w14:paraId="01664837"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12.1. Autorská práva, jakož i ostatní jiná práva duševního vlastnictví, vztahující se k softwarovým produktům, včetně příruček, manuálů a dalších dokumentů distribuovaných spolu se softwarovými produkty, nadále náleží příslušným subjektům jako jejich nositelům a nejsou tímto závazkovým vztahem dotčena. Odběrateli vzniká pouze nevýhradní právo softwarové produkty užívat.</w:t>
      </w:r>
    </w:p>
    <w:p w14:paraId="4BED25D2"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12.2. Odběratel není oprávněn odstraňovat, měnit, zakrývat nebo jakýmkoli jiným způsobem zasahovat do jakýchkoli autorskoprávních, či jiných označení příslušných subjektů umístěných nebo uložených na softwarových produktech, nebo jakékoliv jejich části, či dokumentaci distribuované spolu se softwarovými produkty.</w:t>
      </w:r>
    </w:p>
    <w:p w14:paraId="63D0B9D6"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13. Odpovědnost</w:t>
      </w:r>
    </w:p>
    <w:p w14:paraId="59763629"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13.1. Dodavatel odpovídá odběrateli za škodu způsobenou mu zaviněným porušením povinností vyplývajících pro dodavatele z tohoto závazkového vztahu. Dodavatel zejména neodpovídá odběrateli za škodu, která mu vznikne v důsledku:</w:t>
      </w:r>
    </w:p>
    <w:p w14:paraId="2708A08F"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údržby předmětu plnění jinou osobou než dodavatelem, či jí pověřeným subjektem;</w:t>
      </w:r>
    </w:p>
    <w:p w14:paraId="11044360"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nesprávného nebo neadekvátního používání předmětu plnění;</w:t>
      </w:r>
    </w:p>
    <w:p w14:paraId="6B9980E8"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užití předmětu plnění v jiném než doporučeném prostředí.</w:t>
      </w:r>
    </w:p>
    <w:p w14:paraId="7AF3259C"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13.2. Účastníci tohoto závazkového vztahu stanovují, že výše předvídatelné škody, která případně může vzniknout porušením povinností dodavatele a také celková výše náhrady škody, představuje částku maximálně do výše ceny předmětu plnění, ohledně něhož došlo ke škodné události, není-li sjednána jiná výše. Dodavatel nenese odpovědnost za ztrátu nebo poškození dat odběratele, případná rekonstrukce ztracených nebo znehodnocených dat jde na vrub odběratele.</w:t>
      </w:r>
    </w:p>
    <w:p w14:paraId="5CF6D013"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Jakékoli nároky na náhradu škody je odběratel oprávněn u dodavatele relevantně uplatnit jen tehdy, pokud po vzniku škodné události učinil veškeré kroky směřující k minimalizaci výše škody a pokud o vzniku škodné události dodavatele bezodkladně vyrozuměl a poskytl mu veškeré vyžádané dokumenty ke vzniku škodné události se vztahující.</w:t>
      </w:r>
    </w:p>
    <w:p w14:paraId="0399533B"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14. Okolnosti vylučující odpovědnost – vyšší moc</w:t>
      </w:r>
    </w:p>
    <w:p w14:paraId="2C1AA83F"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14.1. Účastníci tohoto závazkového vztahu neodpovídají, vedle případů stanovených příslušným zákonem, za porušení závazků způsobené Okolnostmi vylučujícími odpovědnost (vyšší mocí), tj. okolnostmi nastalými nezávisle na vůli účastníků, které nebylo možno ani s vynaložením veškerého možného úsilí odvrátit, resp. jsou objektivně neodvratitelnou náhodou.</w:t>
      </w:r>
    </w:p>
    <w:p w14:paraId="15B53A01"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14.2. Okolnost vylučující odpovědnost – je překážka, která nastala nezávisle na vůli povinné strany a brání jí ve splnění její povinnosti, jestliže nelze rozumně předpokládat, že by povinná strana tuto překážku nebo její následky odvrátila nebo překonala a dále, že by v době vzniku překážku předvídala. Událostmi, které lze také mj. považovat za okolnosti vylučující odpovědnost jsou zejména války, vojenské intervence, občanské nepokoje, teroristické útoky, blokády, povstání, výtržnosti, epidemie, karanténní omezení, živelné pohromy nebo zemětřesení, požáry, vichřice a jiné klimatické jevy, výpadky dodávek elektrické energie nebo rázová přepětí, selhání medií, selhání telekomunikačních služeb, výpadky sítě Internet či jiných elektronických komunikací. Za události vylučující odpovědnost se považují rovněž tzv. hackerské útoky, požadavky povolovacích řízení třetích stran, nedostatečnosti přístupů způsobených třetími stranami nebo selhání strojů zapříčiněných třetími stranami. Odpovědnost nevylučuje překážka, která vznikla teprve v době, kdy povinná strana byla v prodlení s plněním své povinnosti nebo vznikla z jejích hospodářských poměrů. Účinky vylučující odpovědnost jsou omezeny pouze na dobu, dokud trvá překážka, s níž jsou tyto účinky spojeny.</w:t>
      </w:r>
    </w:p>
    <w:p w14:paraId="647EE5EB"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14.3. Smluvní strany se zavazují upozornit druhou smluvní stranu bez zbytečného odkladu na vzniklé Okolnosti vylučující odpovědnost bránící řádnému plnění Smlouvy. Smluvní strany se zavazují k vyvinutí maximálního úsilí k odvrácení a překonání Okolností vylučujících odpovědnost.</w:t>
      </w:r>
    </w:p>
    <w:p w14:paraId="734752FE"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V případě opoždění plnění Zhotovitele způsobeném okolnostmi vylučujícími odpovědnost platí, že tento není v prodlení po dobu trvání takových překážek. Zhotovitel je však povinen Objednatele o výskytu takových překážek Neprodleně informovat. Trvá-li toto opoždění více jak tři (3) dny, posouvají se termíny plnění o dobu opoždění.</w:t>
      </w:r>
    </w:p>
    <w:p w14:paraId="1247C653"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15. Technická a systémová podpora</w:t>
      </w:r>
    </w:p>
    <w:p w14:paraId="66900EEE"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xml:space="preserve">15.1. Dodavatel poskytuje odběrateli </w:t>
      </w:r>
      <w:proofErr w:type="spellStart"/>
      <w:r w:rsidRPr="007C0855">
        <w:rPr>
          <w:rFonts w:ascii="Arial" w:hAnsi="Arial" w:cs="Arial"/>
          <w:color w:val="000000"/>
          <w:sz w:val="16"/>
          <w:szCs w:val="16"/>
        </w:rPr>
        <w:t>technicko-systémovou</w:t>
      </w:r>
      <w:proofErr w:type="spellEnd"/>
      <w:r w:rsidRPr="007C0855">
        <w:rPr>
          <w:rFonts w:ascii="Arial" w:hAnsi="Arial" w:cs="Arial"/>
          <w:color w:val="000000"/>
          <w:sz w:val="16"/>
          <w:szCs w:val="16"/>
        </w:rPr>
        <w:t xml:space="preserve"> podporu předmětu plnění. Tato podpora má dvě úrovně:</w:t>
      </w:r>
    </w:p>
    <w:p w14:paraId="3F99A3D1"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lastRenderedPageBreak/>
        <w:t>Základní podpora – zajišťující provozuschopnost předmětu plnění v rozsahu, který odpovídá užití, pro které byl předmět plnění dodán, resp. dodavatelem instalován. Jedná se např. o odstranění chybových stavů, opravy (nové verze) systémových ovladačů a doplňující informace, které nejsou v dodané dokumentaci a jsou nezbytné k užívání předmětu plnění. Za základní podporu se nepovažuje zejména odstraňování chybových stavů, způsobených nesprávnou obsluhou anebo vzniklých v souvislosti se změnou konfigurace zařízení a použitého operačního systému/prostředí včetně upgradů, pokud tyto neprovádí a nedodává dodavatel. Za základní podporu se dále nepovažuje podpora nasazení systému se softwarovými aplikacemi, které nebyly dodány a instalovány dodavatelem, pokud není výslovně uvedeno jinak.</w:t>
      </w:r>
    </w:p>
    <w:p w14:paraId="042E5D39"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Nadstandardní podpora – řeší stavy předmětu plnění, související se změnami konfigurace, anebo způsobu užití odlišně od stavu, pro který byl předmět plnění dodán. Jedná se např. o změny (rozšiřování) konfigurací/reinstalaci předmětu plnění na jiném místě, ve spojení s jiným zařízením anebo jiným operačním systémem, než který byl původně instalován; dále pak o dodávky systémových ovladačů, konzultace související s obsluhou, školení obsluhy a řešení chybových stavů vzniklých v důsledku změn konfigurace, pokud tyto změny neprovádí a nedodává dodavatel. Nadstandardní podporu poskytuje dodavatel odběrateli na základě objednávky.</w:t>
      </w:r>
    </w:p>
    <w:p w14:paraId="01BB1473"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15.2. Základní podpora poskytovaná v místě dodavatele je po dobu záruky bezplatná, náklady na nadstandardní podporu je dodavatel oprávněn účtovat dle aktuálního ceníku služeb včetně souvisejících nákladů.</w:t>
      </w:r>
    </w:p>
    <w:p w14:paraId="010C30DC"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15.3. Na základě požadavku odběratele mohou být sjednány podmínky poskytování nadstandardní podpory v rámci dodávky předmětu plnění.</w:t>
      </w:r>
    </w:p>
    <w:p w14:paraId="4BBB1A6D"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15.4. Po uplynutí záruční doby je veškerá technická a systémová podpora placenou službou. Účastníci tohoto závazkového vztahu mohou uzavřít samostatnou smlouvu na poskytování pozáručního servisu nebo technické a systémové podpory.</w:t>
      </w:r>
    </w:p>
    <w:p w14:paraId="63F1A267"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15.5. Technická a systémová podpora je zajišťována prostřednictvím Hot-Line, elektronických služeb dodavatele (WWW), telefonických a osobních konzultací, popř. zásahem dodavatelem pověřených osob v místě instalace. Dodavatel je podle svého uvážení oprávněn zvolit postup, dostačující pro zajištění cílového stavu. Dodavatel přitom předpokládá, že odběratelem určená osoba je schopna provádět alespoň základní obsluhu předmětu plnění.</w:t>
      </w:r>
    </w:p>
    <w:p w14:paraId="47F03C35"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xml:space="preserve">16. </w:t>
      </w:r>
      <w:proofErr w:type="spellStart"/>
      <w:r w:rsidRPr="007C0855">
        <w:rPr>
          <w:rFonts w:ascii="Arial" w:hAnsi="Arial" w:cs="Arial"/>
          <w:color w:val="000000"/>
          <w:sz w:val="16"/>
          <w:szCs w:val="16"/>
        </w:rPr>
        <w:t>Compliance</w:t>
      </w:r>
      <w:proofErr w:type="spellEnd"/>
      <w:r w:rsidRPr="007C0855">
        <w:rPr>
          <w:rFonts w:ascii="Arial" w:hAnsi="Arial" w:cs="Arial"/>
          <w:color w:val="000000"/>
          <w:sz w:val="16"/>
          <w:szCs w:val="16"/>
        </w:rPr>
        <w:t xml:space="preserve"> smluvní doložka</w:t>
      </w:r>
    </w:p>
    <w:p w14:paraId="6642A195"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Každá ze smluvních stran prohlašuje:</w:t>
      </w:r>
    </w:p>
    <w:p w14:paraId="253DB349"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16.1. že se nepodílela, nepodílí a nebude podílet na páchání trestné činnosti ve smyslu zákona č. 418/2011 Sb., o trestní odpovědnosti právnických osob a řízení proti nim, v platném znění, zejména:</w:t>
      </w:r>
    </w:p>
    <w:p w14:paraId="4B13CF69"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16.1.1. nebude poskytovat žádné osobě úplatky,</w:t>
      </w:r>
    </w:p>
    <w:p w14:paraId="5208CB75"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16.1.2. nebude od žádné osoby úplatky přijímat,</w:t>
      </w:r>
    </w:p>
    <w:p w14:paraId="367218F4"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16.1.3. nebude navrhovat ani žádat o žádné úplatky, nebude je nabízet, zprostředkovávat ani s nimi jinak nakládat,</w:t>
      </w:r>
    </w:p>
    <w:p w14:paraId="52340D20"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16.1.4. nebude zajišťovat ani využívat k jakémukoli jednání uvedenému v bodech 16.1.1 až 16.1.3. tohoto článku žádné jiné osoby,</w:t>
      </w:r>
    </w:p>
    <w:p w14:paraId="31E85F37"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16.2. že zavedla a bude řádně činit náležitá kontrolní a jiná obdobná opatření nad činností svých zaměstnanců a obchodních zástupců a zajistí, aby v souladu se zásadami uvedenými v tomto článku postupovali i všichni její vedoucí pracovníci,</w:t>
      </w:r>
    </w:p>
    <w:p w14:paraId="3A998B9C"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16.3. že učinila a bude řádně činit nezbytná opatření k zamezení nebo odvrácení případných následků spáchaného trestného činu a v případě, že bude mít podezření, že v plněním smlouvy došlo nebo dochází k trestné činnosti, nebo se o jakémkoli takovém jednání dozví, neprodleně vyrozumí druhou smluvní stranu (kontakty dodavatele jsou uvedeny na stránce https://www.aricoma.com/cs/o-nas/ochrana-oznamovatelu),</w:t>
      </w:r>
    </w:p>
    <w:p w14:paraId="2F8DB637"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16.4. že provedla a bude provádět taková opatření, která měla či má provést podle právních, jakožto i svých vnitřních předpisů,</w:t>
      </w:r>
    </w:p>
    <w:p w14:paraId="6A942DF3"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xml:space="preserve">16.5. že z hlediska prevence trestní odpovědnosti právnických osob učinila a bude činit vše, co po ní lze spravedlivě požadovat, zejm. přijala etický kodex a zásady </w:t>
      </w:r>
      <w:proofErr w:type="spellStart"/>
      <w:r w:rsidRPr="007C0855">
        <w:rPr>
          <w:rFonts w:ascii="Arial" w:hAnsi="Arial" w:cs="Arial"/>
          <w:color w:val="000000"/>
          <w:sz w:val="16"/>
          <w:szCs w:val="16"/>
        </w:rPr>
        <w:t>compliance</w:t>
      </w:r>
      <w:proofErr w:type="spellEnd"/>
      <w:r w:rsidRPr="007C0855">
        <w:rPr>
          <w:rFonts w:ascii="Arial" w:hAnsi="Arial" w:cs="Arial"/>
          <w:color w:val="000000"/>
          <w:sz w:val="16"/>
          <w:szCs w:val="16"/>
        </w:rPr>
        <w:t xml:space="preserve"> programu.</w:t>
      </w:r>
    </w:p>
    <w:p w14:paraId="51B3B88A"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Porušení tohoto článku 16. bude považováno za podstatné porušení Smlouvy a zakládá právo druhé smluvní strany Smlouvu ukončit bez výpovědní doby nebo s 30denní výpovědní dobou, dle jejího uvážení.</w:t>
      </w:r>
    </w:p>
    <w:p w14:paraId="76BB6A3C"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17. Obecná ustanovení</w:t>
      </w:r>
    </w:p>
    <w:p w14:paraId="0EE7736A"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lastRenderedPageBreak/>
        <w:t>17.1. Dodavatel je oprávněn odstoupit od tohoto závazkového vztahu v případě, že odběratel je v prodlení s úhradou finančních částek dle těchto Všeobecných podmínek po dobu delší než 14 dní. Dodavatel je dále oprávněn realizovat výhradu vlastnictví dle těchto Všeobecných podmínek.</w:t>
      </w:r>
    </w:p>
    <w:p w14:paraId="60436779"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17.2. Nastane-li situace předpokládaná v předchozím článku, jsou účastníci tohoto závazkového vztahu povinni vrátit si vše, co si na jeho základě poskytli, a to nejpozději ve lhůtě do 10 dnů ode dne doručení písemného rozhodnutí o odstoupení, resp. rozhodnutí o realizaci výhrady vlastnického práva.</w:t>
      </w:r>
    </w:p>
    <w:p w14:paraId="14E56F1E"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17.3. Práva a povinnosti vyplývající z tohoto závazkového vztahu se řídí českým právním řádem. K řešení případných sporů určují účastníci jako příslušný věcně příslušný soud v Praze.</w:t>
      </w:r>
    </w:p>
    <w:p w14:paraId="40E4836D"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17.4. Text těchto Všeobecných podmínek je odběrateli zpřístupněn nejpozději s dodávkou odběratelem objednaného předmětu plnění. Za zpřístupnění Všeobecných podmínek se považuje i jejich uveřejnění na webových stránkách dodavatele. Odběratel je srozuměn s tím, že závazkový vztah vznikající při poskytování výše uvedených plnění a založený okamžikem akceptace odběratelem vystavené objednávky dodavatelem se řídí těmito Všeobecnými podmínkami.</w:t>
      </w:r>
    </w:p>
    <w:p w14:paraId="1992C8E9"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xml:space="preserve">17.5. Při prodeji zboží limitované skupiny výrobců (Apple, </w:t>
      </w:r>
      <w:proofErr w:type="spellStart"/>
      <w:r w:rsidRPr="007C0855">
        <w:rPr>
          <w:rFonts w:ascii="Arial" w:hAnsi="Arial" w:cs="Arial"/>
          <w:color w:val="000000"/>
          <w:sz w:val="16"/>
          <w:szCs w:val="16"/>
        </w:rPr>
        <w:t>Computer</w:t>
      </w:r>
      <w:proofErr w:type="spellEnd"/>
      <w:r w:rsidRPr="007C0855">
        <w:rPr>
          <w:rFonts w:ascii="Arial" w:hAnsi="Arial" w:cs="Arial"/>
          <w:color w:val="000000"/>
          <w:sz w:val="16"/>
          <w:szCs w:val="16"/>
        </w:rPr>
        <w:t xml:space="preserve"> </w:t>
      </w:r>
      <w:proofErr w:type="spellStart"/>
      <w:r w:rsidRPr="007C0855">
        <w:rPr>
          <w:rFonts w:ascii="Arial" w:hAnsi="Arial" w:cs="Arial"/>
          <w:color w:val="000000"/>
          <w:sz w:val="16"/>
          <w:szCs w:val="16"/>
        </w:rPr>
        <w:t>Associates</w:t>
      </w:r>
      <w:proofErr w:type="spellEnd"/>
      <w:r w:rsidRPr="007C0855">
        <w:rPr>
          <w:rFonts w:ascii="Arial" w:hAnsi="Arial" w:cs="Arial"/>
          <w:color w:val="000000"/>
          <w:sz w:val="16"/>
          <w:szCs w:val="16"/>
        </w:rPr>
        <w:t xml:space="preserve">, Cisco, </w:t>
      </w:r>
      <w:proofErr w:type="spellStart"/>
      <w:r w:rsidRPr="007C0855">
        <w:rPr>
          <w:rFonts w:ascii="Arial" w:hAnsi="Arial" w:cs="Arial"/>
          <w:color w:val="000000"/>
          <w:sz w:val="16"/>
          <w:szCs w:val="16"/>
        </w:rPr>
        <w:t>Citrix</w:t>
      </w:r>
      <w:proofErr w:type="spellEnd"/>
      <w:r w:rsidRPr="007C0855">
        <w:rPr>
          <w:rFonts w:ascii="Arial" w:hAnsi="Arial" w:cs="Arial"/>
          <w:color w:val="000000"/>
          <w:sz w:val="16"/>
          <w:szCs w:val="16"/>
        </w:rPr>
        <w:t xml:space="preserve">, Dell, Honeywell, HPE, HP </w:t>
      </w:r>
      <w:proofErr w:type="spellStart"/>
      <w:r w:rsidRPr="007C0855">
        <w:rPr>
          <w:rFonts w:ascii="Arial" w:hAnsi="Arial" w:cs="Arial"/>
          <w:color w:val="000000"/>
          <w:sz w:val="16"/>
          <w:szCs w:val="16"/>
        </w:rPr>
        <w:t>Inc</w:t>
      </w:r>
      <w:proofErr w:type="spellEnd"/>
      <w:r w:rsidRPr="007C0855">
        <w:rPr>
          <w:rFonts w:ascii="Arial" w:hAnsi="Arial" w:cs="Arial"/>
          <w:color w:val="000000"/>
          <w:sz w:val="16"/>
          <w:szCs w:val="16"/>
        </w:rPr>
        <w:t xml:space="preserve">, IBM / Lenovo / </w:t>
      </w:r>
      <w:proofErr w:type="spellStart"/>
      <w:r w:rsidRPr="007C0855">
        <w:rPr>
          <w:rFonts w:ascii="Arial" w:hAnsi="Arial" w:cs="Arial"/>
          <w:color w:val="000000"/>
          <w:sz w:val="16"/>
          <w:szCs w:val="16"/>
        </w:rPr>
        <w:t>Red</w:t>
      </w:r>
      <w:proofErr w:type="spellEnd"/>
      <w:r w:rsidRPr="007C0855">
        <w:rPr>
          <w:rFonts w:ascii="Arial" w:hAnsi="Arial" w:cs="Arial"/>
          <w:color w:val="000000"/>
          <w:sz w:val="16"/>
          <w:szCs w:val="16"/>
        </w:rPr>
        <w:t xml:space="preserve"> </w:t>
      </w:r>
      <w:proofErr w:type="spellStart"/>
      <w:r w:rsidRPr="007C0855">
        <w:rPr>
          <w:rFonts w:ascii="Arial" w:hAnsi="Arial" w:cs="Arial"/>
          <w:color w:val="000000"/>
          <w:sz w:val="16"/>
          <w:szCs w:val="16"/>
        </w:rPr>
        <w:t>Hat</w:t>
      </w:r>
      <w:proofErr w:type="spellEnd"/>
      <w:r w:rsidRPr="007C0855">
        <w:rPr>
          <w:rFonts w:ascii="Arial" w:hAnsi="Arial" w:cs="Arial"/>
          <w:color w:val="000000"/>
          <w:sz w:val="16"/>
          <w:szCs w:val="16"/>
        </w:rPr>
        <w:t xml:space="preserve">, </w:t>
      </w:r>
      <w:proofErr w:type="spellStart"/>
      <w:r w:rsidRPr="007C0855">
        <w:rPr>
          <w:rFonts w:ascii="Arial" w:hAnsi="Arial" w:cs="Arial"/>
          <w:color w:val="000000"/>
          <w:sz w:val="16"/>
          <w:szCs w:val="16"/>
        </w:rPr>
        <w:t>CheckPoint</w:t>
      </w:r>
      <w:proofErr w:type="spellEnd"/>
      <w:r w:rsidRPr="007C0855">
        <w:rPr>
          <w:rFonts w:ascii="Arial" w:hAnsi="Arial" w:cs="Arial"/>
          <w:color w:val="000000"/>
          <w:sz w:val="16"/>
          <w:szCs w:val="16"/>
        </w:rPr>
        <w:t xml:space="preserve">, </w:t>
      </w:r>
      <w:proofErr w:type="spellStart"/>
      <w:r w:rsidRPr="007C0855">
        <w:rPr>
          <w:rFonts w:ascii="Arial" w:hAnsi="Arial" w:cs="Arial"/>
          <w:color w:val="000000"/>
          <w:sz w:val="16"/>
          <w:szCs w:val="16"/>
        </w:rPr>
        <w:t>Imprivata</w:t>
      </w:r>
      <w:proofErr w:type="spellEnd"/>
      <w:r w:rsidRPr="007C0855">
        <w:rPr>
          <w:rFonts w:ascii="Arial" w:hAnsi="Arial" w:cs="Arial"/>
          <w:color w:val="000000"/>
          <w:sz w:val="16"/>
          <w:szCs w:val="16"/>
        </w:rPr>
        <w:t xml:space="preserve">, Intel, </w:t>
      </w:r>
      <w:proofErr w:type="spellStart"/>
      <w:r w:rsidRPr="007C0855">
        <w:rPr>
          <w:rFonts w:ascii="Arial" w:hAnsi="Arial" w:cs="Arial"/>
          <w:color w:val="000000"/>
          <w:sz w:val="16"/>
          <w:szCs w:val="16"/>
        </w:rPr>
        <w:t>McAfee</w:t>
      </w:r>
      <w:proofErr w:type="spellEnd"/>
      <w:r w:rsidRPr="007C0855">
        <w:rPr>
          <w:rFonts w:ascii="Arial" w:hAnsi="Arial" w:cs="Arial"/>
          <w:color w:val="000000"/>
          <w:sz w:val="16"/>
          <w:szCs w:val="16"/>
        </w:rPr>
        <w:t xml:space="preserve">, Microsoft, Oracle, Symantec, </w:t>
      </w:r>
      <w:proofErr w:type="spellStart"/>
      <w:r w:rsidRPr="007C0855">
        <w:rPr>
          <w:rFonts w:ascii="Arial" w:hAnsi="Arial" w:cs="Arial"/>
          <w:color w:val="000000"/>
          <w:sz w:val="16"/>
          <w:szCs w:val="16"/>
        </w:rPr>
        <w:t>VMware</w:t>
      </w:r>
      <w:proofErr w:type="spellEnd"/>
      <w:r w:rsidRPr="007C0855">
        <w:rPr>
          <w:rFonts w:ascii="Arial" w:hAnsi="Arial" w:cs="Arial"/>
          <w:color w:val="000000"/>
          <w:sz w:val="16"/>
          <w:szCs w:val="16"/>
        </w:rPr>
        <w:t>) je dodavatel vázán obchodními smlouvami, uzavřenými s distributory a výrobci takového zboží. Příslušný výrobce může prostřednictvím dodavatele požádat během auditu i o součinnost odběratele a vyžádat si doplnění vybraných informací spojených s obchodním případem (předávací protokol, dodací list, informace z obchodní komunikace k případu a podobně). Odběratel se zavazuje tyto informace a doklady dodavateli a výrobci poskytnout.</w:t>
      </w:r>
    </w:p>
    <w:p w14:paraId="2F326418"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Pokud je pro obchodní případ poskytnuta sleva, projektová cena či jiná speciální podpora vázaná výrobcem na konkrétního zákazníka a zároveň je odběratelem subjekt, jehož předmětem podnikání je prodej, distribuce nebo poskytování ICT hardware, software či služeb, zavazuje se v takovém případě tento odběratel nepředat informace / neprodat zboží další straně, tj. jinému zákazníkovi, bez vědomí dodavatele a výrobce.</w:t>
      </w:r>
    </w:p>
    <w:p w14:paraId="3B36B134"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17.6. Účastníci tohoto závazkového vztahu sjednávají, že oznámení a jiné písemnosti budou považovány za doručené též dnem, kdy odesílající strana obdrží řádně adresovanou písemnost vrácenou poštovní službou jako nedoručitelnou nebo adresátem odmítnutou.</w:t>
      </w:r>
    </w:p>
    <w:p w14:paraId="3C38F27B"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17.7. Na právní jednání a právní vztahy vzniklé před 1. 1. 2024 se vztahují obchodní podmínky, které platily mezi účastníky v době jejich vzniku.</w:t>
      </w:r>
    </w:p>
    <w:p w14:paraId="6FBB234F" w14:textId="77777777" w:rsidR="00396E70" w:rsidRPr="007C0855" w:rsidRDefault="00396E70" w:rsidP="00396E70">
      <w:pPr>
        <w:pStyle w:val="Normlnweb"/>
        <w:rPr>
          <w:rFonts w:ascii="Arial" w:hAnsi="Arial" w:cs="Arial"/>
          <w:color w:val="000000"/>
          <w:sz w:val="16"/>
          <w:szCs w:val="16"/>
        </w:rPr>
      </w:pPr>
      <w:r w:rsidRPr="007C0855">
        <w:rPr>
          <w:rFonts w:ascii="Arial" w:hAnsi="Arial" w:cs="Arial"/>
          <w:color w:val="000000"/>
          <w:sz w:val="16"/>
          <w:szCs w:val="16"/>
        </w:rPr>
        <w:t xml:space="preserve">17.8. Tyto Všeobecné podmínky nabývají platnosti a účinnosti dne 1. 1. 2024 a nahrazují v plném rozsahu Všeobecné obchodní podmínky společnosti AUTOCONT a.s. ze dne 1. 1. 2021. Tyto Všeobecné podmínky jsou ode dne jejich vyhlášení uveřejněny na </w:t>
      </w:r>
      <w:proofErr w:type="gramStart"/>
      <w:r w:rsidRPr="007C0855">
        <w:rPr>
          <w:rFonts w:ascii="Arial" w:hAnsi="Arial" w:cs="Arial"/>
          <w:color w:val="000000"/>
          <w:sz w:val="16"/>
          <w:szCs w:val="16"/>
        </w:rPr>
        <w:t>Internetu</w:t>
      </w:r>
      <w:proofErr w:type="gramEnd"/>
      <w:r w:rsidRPr="007C0855">
        <w:rPr>
          <w:rFonts w:ascii="Arial" w:hAnsi="Arial" w:cs="Arial"/>
          <w:color w:val="000000"/>
          <w:sz w:val="16"/>
          <w:szCs w:val="16"/>
        </w:rPr>
        <w:t>, v katalozích firmy a jsou zveřejněny též ve všech obchodních provozovnách dodavatele.</w:t>
      </w:r>
    </w:p>
    <w:bookmarkEnd w:id="0"/>
    <w:p w14:paraId="6DE3D01D" w14:textId="77777777" w:rsidR="00396E70" w:rsidRPr="007C0855" w:rsidRDefault="00396E70" w:rsidP="00396E70">
      <w:pPr>
        <w:pStyle w:val="Vysvtlivky-text-odrky"/>
        <w:numPr>
          <w:ilvl w:val="0"/>
          <w:numId w:val="0"/>
        </w:numPr>
        <w:rPr>
          <w:rFonts w:ascii="Arial" w:hAnsi="Arial" w:cs="Arial"/>
          <w:szCs w:val="16"/>
        </w:rPr>
      </w:pPr>
    </w:p>
    <w:sectPr w:rsidR="00396E70" w:rsidRPr="007C0855" w:rsidSect="00787C09">
      <w:headerReference w:type="default" r:id="rId10"/>
      <w:footerReference w:type="default" r:id="rId11"/>
      <w:headerReference w:type="first" r:id="rId12"/>
      <w:footerReference w:type="first" r:id="rId13"/>
      <w:endnotePr>
        <w:numFmt w:val="upperLetter"/>
      </w:endnotePr>
      <w:pgSz w:w="11907" w:h="16834"/>
      <w:pgMar w:top="993" w:right="1134" w:bottom="2410" w:left="1134" w:header="431" w:footer="74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E13BD" w14:textId="77777777" w:rsidR="00784A27" w:rsidRDefault="00784A27">
      <w:r>
        <w:separator/>
      </w:r>
    </w:p>
  </w:endnote>
  <w:endnote w:type="continuationSeparator" w:id="0">
    <w:p w14:paraId="681BE41F" w14:textId="77777777" w:rsidR="00784A27" w:rsidRDefault="0078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w:altName w:val="Arial"/>
    <w:charset w:val="EE"/>
    <w:family w:val="auto"/>
    <w:pitch w:val="variable"/>
    <w:sig w:usb0="A0002A6F" w:usb1="C000205B" w:usb2="00000000" w:usb3="00000000" w:csb0="000000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9C1B7" w14:textId="77777777" w:rsidR="003361BE" w:rsidRPr="00064945" w:rsidRDefault="003361BE" w:rsidP="003361BE">
    <w:pPr>
      <w:tabs>
        <w:tab w:val="center" w:pos="4999"/>
        <w:tab w:val="center" w:pos="8935"/>
      </w:tabs>
      <w:spacing w:line="259"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57216" behindDoc="1" locked="0" layoutInCell="1" allowOverlap="1" wp14:anchorId="6AF983C3" wp14:editId="0140BA78">
              <wp:simplePos x="0" y="0"/>
              <wp:positionH relativeFrom="page">
                <wp:posOffset>6429375</wp:posOffset>
              </wp:positionH>
              <wp:positionV relativeFrom="page">
                <wp:posOffset>9363075</wp:posOffset>
              </wp:positionV>
              <wp:extent cx="633184" cy="788404"/>
              <wp:effectExtent l="0" t="0" r="0" b="0"/>
              <wp:wrapNone/>
              <wp:docPr id="3535" name="Group 3535"/>
              <wp:cNvGraphicFramePr/>
              <a:graphic xmlns:a="http://schemas.openxmlformats.org/drawingml/2006/main">
                <a:graphicData uri="http://schemas.microsoft.com/office/word/2010/wordprocessingGroup">
                  <wpg:wgp>
                    <wpg:cNvGrpSpPr/>
                    <wpg:grpSpPr>
                      <a:xfrm>
                        <a:off x="0" y="0"/>
                        <a:ext cx="633184" cy="788404"/>
                        <a:chOff x="0" y="0"/>
                        <a:chExt cx="633184" cy="788404"/>
                      </a:xfrm>
                    </wpg:grpSpPr>
                    <wps:wsp>
                      <wps:cNvPr id="3536" name="Shape 3536"/>
                      <wps:cNvSpPr/>
                      <wps:spPr>
                        <a:xfrm>
                          <a:off x="0" y="0"/>
                          <a:ext cx="633184" cy="788404"/>
                        </a:xfrm>
                        <a:custGeom>
                          <a:avLst/>
                          <a:gdLst/>
                          <a:ahLst/>
                          <a:cxnLst/>
                          <a:rect l="0" t="0" r="0" b="0"/>
                          <a:pathLst>
                            <a:path w="633184" h="788404">
                              <a:moveTo>
                                <a:pt x="272885" y="0"/>
                              </a:moveTo>
                              <a:lnTo>
                                <a:pt x="278435" y="0"/>
                              </a:lnTo>
                              <a:cubicBezTo>
                                <a:pt x="289585" y="0"/>
                                <a:pt x="298450" y="6668"/>
                                <a:pt x="302920" y="16688"/>
                              </a:cubicBezTo>
                              <a:lnTo>
                                <a:pt x="629844" y="771716"/>
                              </a:lnTo>
                              <a:cubicBezTo>
                                <a:pt x="633184" y="779488"/>
                                <a:pt x="627596" y="788404"/>
                                <a:pt x="618693" y="788404"/>
                              </a:cubicBezTo>
                              <a:lnTo>
                                <a:pt x="503085" y="788404"/>
                              </a:lnTo>
                              <a:cubicBezTo>
                                <a:pt x="491960" y="788404"/>
                                <a:pt x="483070" y="781736"/>
                                <a:pt x="478599" y="771716"/>
                              </a:cubicBezTo>
                              <a:lnTo>
                                <a:pt x="276225" y="266878"/>
                              </a:lnTo>
                              <a:lnTo>
                                <a:pt x="145428" y="590462"/>
                              </a:lnTo>
                              <a:lnTo>
                                <a:pt x="0" y="590462"/>
                              </a:lnTo>
                              <a:lnTo>
                                <a:pt x="248450" y="16688"/>
                              </a:lnTo>
                              <a:cubicBezTo>
                                <a:pt x="251778" y="6668"/>
                                <a:pt x="261785" y="0"/>
                                <a:pt x="272885" y="0"/>
                              </a:cubicBezTo>
                              <a:close/>
                            </a:path>
                          </a:pathLst>
                        </a:custGeom>
                        <a:ln w="0" cap="flat">
                          <a:miter lim="127000"/>
                        </a:ln>
                      </wps:spPr>
                      <wps:style>
                        <a:lnRef idx="0">
                          <a:srgbClr val="000000">
                            <a:alpha val="0"/>
                          </a:srgbClr>
                        </a:lnRef>
                        <a:fillRef idx="1">
                          <a:srgbClr val="8C774F"/>
                        </a:fillRef>
                        <a:effectRef idx="0">
                          <a:scrgbClr r="0" g="0" b="0"/>
                        </a:effectRef>
                        <a:fontRef idx="none"/>
                      </wps:style>
                      <wps:bodyPr/>
                    </wps:wsp>
                  </wpg:wgp>
                </a:graphicData>
              </a:graphic>
            </wp:anchor>
          </w:drawing>
        </mc:Choice>
        <mc:Fallback>
          <w:pict>
            <v:group w14:anchorId="6F73AED5" id="Group 3535" o:spid="_x0000_s1026" style="position:absolute;margin-left:506.25pt;margin-top:737.25pt;width:49.85pt;height:62.1pt;z-index:-251659264;mso-position-horizontal-relative:page;mso-position-vertical-relative:page" coordsize="6331,7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">
              <v:shape id="Shape 3536" o:spid="_x0000_s1027" style="position:absolute;width:6331;height:7884;visibility:visible;mso-wrap-style:square;v-text-anchor:top" coordsize="633184,788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" path="m272885,r5550,c289585,,298450,6668,302920,16688l629844,771716v3340,7772,-2248,16688,-11151,16688l503085,788404v-11125,,-20015,-6668,-24486,-16688l276225,266878,145428,590462,,590462,248450,16688c251778,6668,261785,,272885,xe" fillcolor="#8c774f" stroked="f" strokeweight="0">
                <v:stroke miterlimit="83231f" joinstyle="miter"/>
                <v:path arrowok="t" textboxrect="0,0,633184,788404"/>
              </v:shape>
              <w10:wrap anchorx="page" anchory="page"/>
            </v:group>
          </w:pict>
        </mc:Fallback>
      </mc:AlternateContent>
    </w:r>
    <w:r>
      <w:rPr>
        <w:noProof/>
      </w:rPr>
      <w:drawing>
        <wp:anchor distT="0" distB="0" distL="114300" distR="114300" simplePos="0" relativeHeight="251663360" behindDoc="1" locked="0" layoutInCell="1" allowOverlap="1" wp14:anchorId="2B3E2CFE" wp14:editId="0B50C3E0">
          <wp:simplePos x="0" y="0"/>
          <wp:positionH relativeFrom="page">
            <wp:posOffset>720090</wp:posOffset>
          </wp:positionH>
          <wp:positionV relativeFrom="page">
            <wp:posOffset>10047605</wp:posOffset>
          </wp:positionV>
          <wp:extent cx="774000" cy="108000"/>
          <wp:effectExtent l="0" t="0" r="7620" b="6350"/>
          <wp:wrapNone/>
          <wp:docPr id="23" name="Grafický 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04119" name="Logo Aricoma blue rgb.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4000" cy="108000"/>
                  </a:xfrm>
                  <a:prstGeom prst="rect">
                    <a:avLst/>
                  </a:prstGeom>
                </pic:spPr>
              </pic:pic>
            </a:graphicData>
          </a:graphic>
          <wp14:sizeRelH relativeFrom="margin">
            <wp14:pctWidth>0</wp14:pctWidth>
          </wp14:sizeRelH>
          <wp14:sizeRelV relativeFrom="margin">
            <wp14:pctHeight>0</wp14:pctHeight>
          </wp14:sizeRelV>
        </wp:anchor>
      </w:drawing>
    </w:r>
    <w:r>
      <w:rPr>
        <w:b/>
      </w:rPr>
      <w:tab/>
    </w:r>
    <w:r>
      <w:tab/>
    </w:r>
    <w:r>
      <w:rPr>
        <w:color w:val="8C774F"/>
      </w:rPr>
      <w:t>aricoma.com</w:t>
    </w:r>
  </w:p>
  <w:p w14:paraId="640F4EE9" w14:textId="77777777" w:rsidR="0096384F" w:rsidRDefault="009638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EE262" w14:textId="77777777" w:rsidR="0096384F" w:rsidRDefault="0096384F">
    <w:pPr>
      <w:pStyle w:val="Zpat"/>
      <w:pBdr>
        <w:top w:val="single" w:sz="4" w:space="1" w:color="auto"/>
      </w:pBdr>
      <w:tabs>
        <w:tab w:val="right" w:pos="8931"/>
      </w:tabs>
      <w:spacing w:before="120"/>
    </w:pPr>
    <w:r>
      <w:rPr>
        <w:rStyle w:val="slostrnky"/>
      </w:rPr>
      <w:t xml:space="preserve">Obecné obchodní podmínky AutoCont CZ Systems, s.r.o. </w:t>
    </w:r>
    <w:r>
      <w:rPr>
        <w:rStyle w:val="slostrnky"/>
      </w:rPr>
      <w:tab/>
      <w:t>v 1.0</w:t>
    </w:r>
    <w:r>
      <w:rPr>
        <w:rStyle w:val="slostrnky"/>
      </w:rPr>
      <w:tab/>
    </w:r>
    <w:r>
      <w:rPr>
        <w:rStyle w:val="slostrnky"/>
      </w:rPr>
      <w:fldChar w:fldCharType="begin"/>
    </w:r>
    <w:r>
      <w:rPr>
        <w:rStyle w:val="slostrnky"/>
      </w:rPr>
      <w:instrText xml:space="preserve"> PAGE </w:instrText>
    </w:r>
    <w:r>
      <w:rPr>
        <w:rStyle w:val="slostrnky"/>
      </w:rPr>
      <w:fldChar w:fldCharType="separate"/>
    </w:r>
    <w:r>
      <w:rPr>
        <w:rStyle w:val="slostrnky"/>
        <w:noProof/>
      </w:rPr>
      <w:t>18</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4642D5">
      <w:rPr>
        <w:rStyle w:val="slostrnky"/>
        <w:noProof/>
      </w:rPr>
      <w:t>15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F9374" w14:textId="77777777" w:rsidR="00784A27" w:rsidRDefault="00784A27">
      <w:r>
        <w:separator/>
      </w:r>
    </w:p>
  </w:footnote>
  <w:footnote w:type="continuationSeparator" w:id="0">
    <w:p w14:paraId="7FABFF57" w14:textId="77777777" w:rsidR="00784A27" w:rsidRDefault="00784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563DC" w14:textId="0D8BEC4A" w:rsidR="0096384F" w:rsidRPr="001E21AF" w:rsidRDefault="0096384F" w:rsidP="00787C0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B9241" w14:textId="77777777" w:rsidR="0096384F" w:rsidRDefault="0096384F">
    <w:pPr>
      <w:pStyle w:val="Zhlav"/>
    </w:pPr>
  </w:p>
  <w:p w14:paraId="33E692C4" w14:textId="77777777" w:rsidR="0096384F" w:rsidRDefault="0096384F">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3C76FDBE"/>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01A147A"/>
    <w:multiLevelType w:val="hybridMultilevel"/>
    <w:tmpl w:val="7ACA3956"/>
    <w:lvl w:ilvl="0" w:tplc="04050001">
      <w:start w:val="1"/>
      <w:numFmt w:val="bullet"/>
      <w:lvlText w:val=""/>
      <w:lvlJc w:val="left"/>
      <w:pPr>
        <w:ind w:left="757" w:hanging="360"/>
      </w:pPr>
      <w:rPr>
        <w:rFonts w:ascii="Symbol" w:hAnsi="Symbol"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2" w15:restartNumberingAfterBreak="0">
    <w:nsid w:val="0548461B"/>
    <w:multiLevelType w:val="hybridMultilevel"/>
    <w:tmpl w:val="821CD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6D3577"/>
    <w:multiLevelType w:val="hybridMultilevel"/>
    <w:tmpl w:val="83CA3E24"/>
    <w:lvl w:ilvl="0" w:tplc="04050003">
      <w:start w:val="1"/>
      <w:numFmt w:val="bullet"/>
      <w:lvlText w:val="o"/>
      <w:lvlJc w:val="left"/>
      <w:pPr>
        <w:tabs>
          <w:tab w:val="num" w:pos="1068"/>
        </w:tabs>
        <w:ind w:left="1068" w:hanging="360"/>
      </w:pPr>
      <w:rPr>
        <w:rFonts w:ascii="Courier New" w:hAnsi="Courier New" w:cs="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34569F3"/>
    <w:multiLevelType w:val="multilevel"/>
    <w:tmpl w:val="C7A48E74"/>
    <w:lvl w:ilvl="0">
      <w:start w:val="1"/>
      <w:numFmt w:val="decimal"/>
      <w:lvlText w:val="%1."/>
      <w:lvlJc w:val="left"/>
      <w:pPr>
        <w:tabs>
          <w:tab w:val="num" w:pos="708"/>
        </w:tabs>
        <w:ind w:left="708" w:hanging="708"/>
      </w:pPr>
    </w:lvl>
    <w:lvl w:ilvl="1">
      <w:start w:val="1"/>
      <w:numFmt w:val="decimal"/>
      <w:lvlText w:val="%1.%2."/>
      <w:lvlJc w:val="left"/>
      <w:pPr>
        <w:tabs>
          <w:tab w:val="num" w:pos="1990"/>
        </w:tabs>
        <w:ind w:left="3408" w:hanging="708"/>
      </w:pPr>
    </w:lvl>
    <w:lvl w:ilvl="2">
      <w:start w:val="1"/>
      <w:numFmt w:val="bullet"/>
      <w:lvlText w:val=""/>
      <w:lvlJc w:val="left"/>
      <w:pPr>
        <w:tabs>
          <w:tab w:val="num" w:pos="1980"/>
        </w:tabs>
        <w:ind w:left="1980" w:hanging="360"/>
      </w:pPr>
      <w:rPr>
        <w:rFonts w:ascii="Symbol" w:hAnsi="Symbol" w:hint="default"/>
      </w:r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5"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DD11476"/>
    <w:multiLevelType w:val="hybridMultilevel"/>
    <w:tmpl w:val="3884B256"/>
    <w:lvl w:ilvl="0" w:tplc="F490E1A6">
      <w:start w:val="1"/>
      <w:numFmt w:val="bullet"/>
      <w:lvlText w:val=""/>
      <w:lvlJc w:val="left"/>
      <w:pPr>
        <w:tabs>
          <w:tab w:val="num" w:pos="907"/>
        </w:tabs>
        <w:ind w:left="90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C05BAA"/>
    <w:multiLevelType w:val="hybridMultilevel"/>
    <w:tmpl w:val="87649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786A6E"/>
    <w:multiLevelType w:val="multilevel"/>
    <w:tmpl w:val="AFDE54CE"/>
    <w:lvl w:ilvl="0">
      <w:start w:val="7"/>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iCs/>
        <w:sz w:val="16"/>
        <w:szCs w:val="18"/>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9" w15:restartNumberingAfterBreak="0">
    <w:nsid w:val="2A397992"/>
    <w:multiLevelType w:val="hybridMultilevel"/>
    <w:tmpl w:val="4F84069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2B202E21"/>
    <w:multiLevelType w:val="multilevel"/>
    <w:tmpl w:val="DD7EBE6E"/>
    <w:lvl w:ilvl="0">
      <w:start w:val="1"/>
      <w:numFmt w:val="decimal"/>
      <w:pStyle w:val="Koule"/>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326D29E5"/>
    <w:multiLevelType w:val="hybridMultilevel"/>
    <w:tmpl w:val="C4EACA02"/>
    <w:lvl w:ilvl="0" w:tplc="04050003">
      <w:start w:val="1"/>
      <w:numFmt w:val="bullet"/>
      <w:lvlText w:val="o"/>
      <w:lvlJc w:val="left"/>
      <w:pPr>
        <w:tabs>
          <w:tab w:val="num" w:pos="1068"/>
        </w:tabs>
        <w:ind w:left="1068" w:hanging="360"/>
      </w:pPr>
      <w:rPr>
        <w:rFonts w:ascii="Courier New" w:hAnsi="Courier New" w:cs="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3" w15:restartNumberingAfterBreak="0">
    <w:nsid w:val="44193BD4"/>
    <w:multiLevelType w:val="hybridMultilevel"/>
    <w:tmpl w:val="F482D030"/>
    <w:lvl w:ilvl="0" w:tplc="04050003">
      <w:start w:val="1"/>
      <w:numFmt w:val="bullet"/>
      <w:lvlText w:val="o"/>
      <w:lvlJc w:val="left"/>
      <w:pPr>
        <w:ind w:left="1117" w:hanging="360"/>
      </w:pPr>
      <w:rPr>
        <w:rFonts w:ascii="Courier New" w:hAnsi="Courier New" w:cs="Courier New"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14" w15:restartNumberingAfterBreak="0">
    <w:nsid w:val="559334E5"/>
    <w:multiLevelType w:val="hybridMultilevel"/>
    <w:tmpl w:val="AF802CD0"/>
    <w:lvl w:ilvl="0" w:tplc="1CFC2EFA">
      <w:start w:val="1"/>
      <w:numFmt w:val="bullet"/>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5DAE2E35"/>
    <w:multiLevelType w:val="hybridMultilevel"/>
    <w:tmpl w:val="C2C464CC"/>
    <w:lvl w:ilvl="0" w:tplc="04050003">
      <w:start w:val="1"/>
      <w:numFmt w:val="bullet"/>
      <w:lvlText w:val="o"/>
      <w:lvlJc w:val="left"/>
      <w:pPr>
        <w:tabs>
          <w:tab w:val="num" w:pos="1068"/>
        </w:tabs>
        <w:ind w:left="1068" w:hanging="360"/>
      </w:pPr>
      <w:rPr>
        <w:rFonts w:ascii="Courier New" w:hAnsi="Courier New" w:cs="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5E890656"/>
    <w:multiLevelType w:val="hybridMultilevel"/>
    <w:tmpl w:val="A2B2274E"/>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7" w15:restartNumberingAfterBreak="0">
    <w:nsid w:val="61A67B1A"/>
    <w:multiLevelType w:val="hybridMultilevel"/>
    <w:tmpl w:val="534E45A8"/>
    <w:lvl w:ilvl="0" w:tplc="0338C996">
      <w:start w:val="1"/>
      <w:numFmt w:val="bullet"/>
      <w:lvlText w:val=""/>
      <w:lvlJc w:val="left"/>
      <w:pPr>
        <w:tabs>
          <w:tab w:val="num" w:pos="907"/>
        </w:tabs>
        <w:ind w:left="360" w:firstLine="207"/>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7046091A"/>
    <w:multiLevelType w:val="hybridMultilevel"/>
    <w:tmpl w:val="BE704356"/>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19" w15:restartNumberingAfterBreak="0">
    <w:nsid w:val="767A0093"/>
    <w:multiLevelType w:val="multilevel"/>
    <w:tmpl w:val="5B7E6A0A"/>
    <w:lvl w:ilvl="0">
      <w:start w:val="1"/>
      <w:numFmt w:val="bullet"/>
      <w:lvlText w:val=""/>
      <w:lvlJc w:val="left"/>
      <w:pPr>
        <w:tabs>
          <w:tab w:val="num" w:pos="1842"/>
        </w:tabs>
        <w:ind w:left="1842" w:hanging="708"/>
      </w:pPr>
      <w:rPr>
        <w:rFonts w:ascii="Symbol" w:hAnsi="Symbol"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1758"/>
        </w:tabs>
        <w:ind w:left="2041" w:hanging="623"/>
      </w:pPr>
      <w:rPr>
        <w:rFonts w:hint="default"/>
        <w:i w:val="0"/>
        <w:sz w:val="22"/>
      </w:rPr>
    </w:lvl>
    <w:lvl w:ilvl="3">
      <w:start w:val="1"/>
      <w:numFmt w:val="decimal"/>
      <w:lvlText w:val="%1.%2.%3.%4."/>
      <w:lvlJc w:val="left"/>
      <w:pPr>
        <w:tabs>
          <w:tab w:val="num" w:pos="1758"/>
        </w:tabs>
        <w:ind w:left="2041" w:hanging="567"/>
      </w:pPr>
      <w:rPr>
        <w:rFonts w:hint="default"/>
      </w:rPr>
    </w:lvl>
    <w:lvl w:ilvl="4">
      <w:start w:val="1"/>
      <w:numFmt w:val="decimal"/>
      <w:lvlText w:val="%1.%2.%3.%4.%5."/>
      <w:lvlJc w:val="left"/>
      <w:pPr>
        <w:tabs>
          <w:tab w:val="num" w:pos="1134"/>
        </w:tabs>
        <w:ind w:left="4674" w:hanging="708"/>
      </w:pPr>
      <w:rPr>
        <w:rFonts w:hint="default"/>
      </w:rPr>
    </w:lvl>
    <w:lvl w:ilvl="5">
      <w:start w:val="1"/>
      <w:numFmt w:val="decimal"/>
      <w:lvlText w:val="%1.%2.%3.%4.%5.%6."/>
      <w:lvlJc w:val="left"/>
      <w:pPr>
        <w:tabs>
          <w:tab w:val="num" w:pos="1134"/>
        </w:tabs>
        <w:ind w:left="5382" w:hanging="708"/>
      </w:pPr>
      <w:rPr>
        <w:rFonts w:hint="default"/>
      </w:rPr>
    </w:lvl>
    <w:lvl w:ilvl="6">
      <w:start w:val="1"/>
      <w:numFmt w:val="decimal"/>
      <w:lvlText w:val="%1.%2.%3.%4.%5.%6.%7."/>
      <w:lvlJc w:val="left"/>
      <w:pPr>
        <w:tabs>
          <w:tab w:val="num" w:pos="1134"/>
        </w:tabs>
        <w:ind w:left="6090" w:hanging="708"/>
      </w:pPr>
      <w:rPr>
        <w:rFonts w:hint="default"/>
      </w:rPr>
    </w:lvl>
    <w:lvl w:ilvl="7">
      <w:start w:val="1"/>
      <w:numFmt w:val="decimal"/>
      <w:lvlText w:val="%1.%2.%3.%4.%5.%6.%7.%8."/>
      <w:lvlJc w:val="left"/>
      <w:pPr>
        <w:tabs>
          <w:tab w:val="num" w:pos="1134"/>
        </w:tabs>
        <w:ind w:left="6798" w:hanging="708"/>
      </w:pPr>
      <w:rPr>
        <w:rFonts w:hint="default"/>
      </w:rPr>
    </w:lvl>
    <w:lvl w:ilvl="8">
      <w:start w:val="1"/>
      <w:numFmt w:val="decimal"/>
      <w:lvlText w:val="%1.%2.%3.%4.%5.%6.%7.%8.%9."/>
      <w:lvlJc w:val="left"/>
      <w:pPr>
        <w:tabs>
          <w:tab w:val="num" w:pos="1134"/>
        </w:tabs>
        <w:ind w:left="7506" w:hanging="708"/>
      </w:pPr>
      <w:rPr>
        <w:rFonts w:hint="default"/>
      </w:rPr>
    </w:lvl>
  </w:abstractNum>
  <w:abstractNum w:abstractNumId="20" w15:restartNumberingAfterBreak="0">
    <w:nsid w:val="76A32428"/>
    <w:multiLevelType w:val="multilevel"/>
    <w:tmpl w:val="E5741752"/>
    <w:lvl w:ilvl="0">
      <w:start w:val="1"/>
      <w:numFmt w:val="decimal"/>
      <w:pStyle w:val="Nadpis1"/>
      <w:lvlText w:val="%1."/>
      <w:lvlJc w:val="left"/>
      <w:pPr>
        <w:tabs>
          <w:tab w:val="num" w:pos="708"/>
        </w:tabs>
        <w:ind w:left="397" w:hanging="39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tabs>
          <w:tab w:val="num" w:pos="0"/>
        </w:tabs>
        <w:ind w:left="397" w:hanging="397"/>
      </w:pPr>
      <w:rPr>
        <w:rFonts w:hint="default"/>
      </w:rPr>
    </w:lvl>
    <w:lvl w:ilvl="2">
      <w:start w:val="1"/>
      <w:numFmt w:val="decimal"/>
      <w:pStyle w:val="Nadpis3"/>
      <w:lvlText w:val="%1.%2.%3."/>
      <w:lvlJc w:val="left"/>
      <w:pPr>
        <w:tabs>
          <w:tab w:val="num" w:pos="57"/>
        </w:tabs>
        <w:ind w:left="567" w:hanging="510"/>
      </w:pPr>
      <w:rPr>
        <w:rFonts w:hint="default"/>
      </w:rPr>
    </w:lvl>
    <w:lvl w:ilvl="3">
      <w:start w:val="1"/>
      <w:numFmt w:val="decimal"/>
      <w:pStyle w:val="Nadpis4"/>
      <w:lvlText w:val="%1.%2.%3.%4."/>
      <w:lvlJc w:val="left"/>
      <w:pPr>
        <w:tabs>
          <w:tab w:val="num" w:pos="794"/>
        </w:tabs>
        <w:ind w:left="794" w:hanging="624"/>
      </w:pPr>
      <w:rPr>
        <w:rFonts w:hint="default"/>
      </w:rPr>
    </w:lvl>
    <w:lvl w:ilvl="4">
      <w:start w:val="1"/>
      <w:numFmt w:val="decimal"/>
      <w:pStyle w:val="Nadpis5"/>
      <w:lvlText w:val="%1.%2.%3.%4.%5."/>
      <w:lvlJc w:val="left"/>
      <w:pPr>
        <w:tabs>
          <w:tab w:val="num" w:pos="0"/>
        </w:tabs>
        <w:ind w:left="3540" w:hanging="708"/>
      </w:pPr>
      <w:rPr>
        <w:rFonts w:hint="default"/>
      </w:rPr>
    </w:lvl>
    <w:lvl w:ilvl="5">
      <w:start w:val="1"/>
      <w:numFmt w:val="decimal"/>
      <w:pStyle w:val="Nadpis6"/>
      <w:lvlText w:val="%1.%2.%3.%4.%5.%6."/>
      <w:lvlJc w:val="left"/>
      <w:pPr>
        <w:tabs>
          <w:tab w:val="num" w:pos="0"/>
        </w:tabs>
        <w:ind w:left="4248" w:hanging="708"/>
      </w:pPr>
      <w:rPr>
        <w:rFonts w:hint="default"/>
      </w:rPr>
    </w:lvl>
    <w:lvl w:ilvl="6">
      <w:start w:val="1"/>
      <w:numFmt w:val="decimal"/>
      <w:pStyle w:val="Nadpis7"/>
      <w:lvlText w:val="%1.%2.%3.%4.%5.%6.%7."/>
      <w:lvlJc w:val="left"/>
      <w:pPr>
        <w:tabs>
          <w:tab w:val="num" w:pos="0"/>
        </w:tabs>
        <w:ind w:left="4956" w:hanging="708"/>
      </w:pPr>
      <w:rPr>
        <w:rFonts w:hint="default"/>
      </w:rPr>
    </w:lvl>
    <w:lvl w:ilvl="7">
      <w:start w:val="1"/>
      <w:numFmt w:val="decimal"/>
      <w:pStyle w:val="Nadpis8"/>
      <w:lvlText w:val="%1.%2.%3.%4.%5.%6.%7.%8."/>
      <w:lvlJc w:val="left"/>
      <w:pPr>
        <w:tabs>
          <w:tab w:val="num" w:pos="0"/>
        </w:tabs>
        <w:ind w:left="5664" w:hanging="708"/>
      </w:pPr>
      <w:rPr>
        <w:rFonts w:hint="default"/>
      </w:rPr>
    </w:lvl>
    <w:lvl w:ilvl="8">
      <w:start w:val="1"/>
      <w:numFmt w:val="decimal"/>
      <w:pStyle w:val="Nadpis9"/>
      <w:lvlText w:val="%1.%2.%3.%4.%5.%6.%7.%8.%9."/>
      <w:lvlJc w:val="left"/>
      <w:pPr>
        <w:tabs>
          <w:tab w:val="num" w:pos="0"/>
        </w:tabs>
        <w:ind w:left="6372" w:hanging="708"/>
      </w:pPr>
      <w:rPr>
        <w:rFonts w:hint="default"/>
      </w:rPr>
    </w:lvl>
  </w:abstractNum>
  <w:num w:numId="1" w16cid:durableId="1814325084">
    <w:abstractNumId w:val="0"/>
  </w:num>
  <w:num w:numId="2" w16cid:durableId="884410987">
    <w:abstractNumId w:val="14"/>
  </w:num>
  <w:num w:numId="3" w16cid:durableId="1906598785">
    <w:abstractNumId w:val="0"/>
  </w:num>
  <w:num w:numId="4" w16cid:durableId="1050685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3287648">
    <w:abstractNumId w:val="17"/>
  </w:num>
  <w:num w:numId="6" w16cid:durableId="712581576">
    <w:abstractNumId w:val="5"/>
  </w:num>
  <w:num w:numId="7" w16cid:durableId="773473935">
    <w:abstractNumId w:val="6"/>
  </w:num>
  <w:num w:numId="8" w16cid:durableId="2082410368">
    <w:abstractNumId w:val="5"/>
  </w:num>
  <w:num w:numId="9" w16cid:durableId="449394050">
    <w:abstractNumId w:val="5"/>
  </w:num>
  <w:num w:numId="10" w16cid:durableId="824784614">
    <w:abstractNumId w:val="0"/>
  </w:num>
  <w:num w:numId="11" w16cid:durableId="779958468">
    <w:abstractNumId w:val="4"/>
  </w:num>
  <w:num w:numId="12" w16cid:durableId="1441879415">
    <w:abstractNumId w:val="7"/>
  </w:num>
  <w:num w:numId="13" w16cid:durableId="356658966">
    <w:abstractNumId w:val="12"/>
  </w:num>
  <w:num w:numId="14" w16cid:durableId="159005354">
    <w:abstractNumId w:val="19"/>
  </w:num>
  <w:num w:numId="15" w16cid:durableId="2059351689">
    <w:abstractNumId w:val="12"/>
  </w:num>
  <w:num w:numId="16" w16cid:durableId="109863607">
    <w:abstractNumId w:val="12"/>
  </w:num>
  <w:num w:numId="17" w16cid:durableId="993990580">
    <w:abstractNumId w:val="12"/>
  </w:num>
  <w:num w:numId="18" w16cid:durableId="1600988192">
    <w:abstractNumId w:val="12"/>
  </w:num>
  <w:num w:numId="19" w16cid:durableId="1836721325">
    <w:abstractNumId w:val="12"/>
  </w:num>
  <w:num w:numId="20" w16cid:durableId="1552186827">
    <w:abstractNumId w:val="12"/>
  </w:num>
  <w:num w:numId="21" w16cid:durableId="1015377741">
    <w:abstractNumId w:val="12"/>
  </w:num>
  <w:num w:numId="22" w16cid:durableId="1080098853">
    <w:abstractNumId w:val="12"/>
  </w:num>
  <w:num w:numId="23" w16cid:durableId="1542135729">
    <w:abstractNumId w:val="12"/>
  </w:num>
  <w:num w:numId="24" w16cid:durableId="392772056">
    <w:abstractNumId w:val="5"/>
  </w:num>
  <w:num w:numId="25" w16cid:durableId="41684536">
    <w:abstractNumId w:val="0"/>
  </w:num>
  <w:num w:numId="26" w16cid:durableId="2116706972">
    <w:abstractNumId w:val="12"/>
  </w:num>
  <w:num w:numId="27" w16cid:durableId="407924035">
    <w:abstractNumId w:val="12"/>
  </w:num>
  <w:num w:numId="28" w16cid:durableId="1813398575">
    <w:abstractNumId w:val="0"/>
  </w:num>
  <w:num w:numId="29" w16cid:durableId="1776897380">
    <w:abstractNumId w:val="9"/>
  </w:num>
  <w:num w:numId="30" w16cid:durableId="1044982876">
    <w:abstractNumId w:val="10"/>
  </w:num>
  <w:num w:numId="31" w16cid:durableId="1485464862">
    <w:abstractNumId w:val="5"/>
  </w:num>
  <w:num w:numId="32" w16cid:durableId="286814482">
    <w:abstractNumId w:val="20"/>
  </w:num>
  <w:num w:numId="33" w16cid:durableId="1515803475">
    <w:abstractNumId w:val="20"/>
  </w:num>
  <w:num w:numId="34" w16cid:durableId="2019960835">
    <w:abstractNumId w:val="20"/>
  </w:num>
  <w:num w:numId="35" w16cid:durableId="1774203548">
    <w:abstractNumId w:val="20"/>
  </w:num>
  <w:num w:numId="36" w16cid:durableId="1867332047">
    <w:abstractNumId w:val="20"/>
  </w:num>
  <w:num w:numId="37" w16cid:durableId="184057103">
    <w:abstractNumId w:val="20"/>
  </w:num>
  <w:num w:numId="38" w16cid:durableId="416290447">
    <w:abstractNumId w:val="20"/>
  </w:num>
  <w:num w:numId="39" w16cid:durableId="464664332">
    <w:abstractNumId w:val="20"/>
  </w:num>
  <w:num w:numId="40" w16cid:durableId="1084835036">
    <w:abstractNumId w:val="20"/>
  </w:num>
  <w:num w:numId="41" w16cid:durableId="1744718376">
    <w:abstractNumId w:val="8"/>
  </w:num>
  <w:num w:numId="42" w16cid:durableId="975331310">
    <w:abstractNumId w:val="15"/>
  </w:num>
  <w:num w:numId="43" w16cid:durableId="128255843">
    <w:abstractNumId w:val="3"/>
  </w:num>
  <w:num w:numId="44" w16cid:durableId="675886206">
    <w:abstractNumId w:val="11"/>
  </w:num>
  <w:num w:numId="45" w16cid:durableId="692537388">
    <w:abstractNumId w:val="13"/>
  </w:num>
  <w:num w:numId="46" w16cid:durableId="19821924">
    <w:abstractNumId w:val="18"/>
  </w:num>
  <w:num w:numId="47" w16cid:durableId="2049648">
    <w:abstractNumId w:val="1"/>
  </w:num>
  <w:num w:numId="48" w16cid:durableId="612980734">
    <w:abstractNumId w:val="2"/>
  </w:num>
  <w:num w:numId="49" w16cid:durableId="1208031323">
    <w:abstractNumId w:val="16"/>
  </w:num>
  <w:num w:numId="50" w16cid:durableId="689650557">
    <w:abstractNumId w:val="20"/>
  </w:num>
  <w:num w:numId="51" w16cid:durableId="961838629">
    <w:abstractNumId w:val="20"/>
  </w:num>
  <w:num w:numId="52" w16cid:durableId="1335762226">
    <w:abstractNumId w:val="20"/>
  </w:num>
  <w:num w:numId="53" w16cid:durableId="1147359745">
    <w:abstractNumId w:val="20"/>
  </w:num>
  <w:num w:numId="54" w16cid:durableId="484443950">
    <w:abstractNumId w:val="20"/>
  </w:num>
  <w:num w:numId="55" w16cid:durableId="607007921">
    <w:abstractNumId w:val="20"/>
  </w:num>
  <w:num w:numId="56" w16cid:durableId="1802914408">
    <w:abstractNumId w:val="20"/>
  </w:num>
  <w:num w:numId="57" w16cid:durableId="1523398303">
    <w:abstractNumId w:val="20"/>
  </w:num>
  <w:num w:numId="58" w16cid:durableId="2140297605">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numFmt w:val="upp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D92"/>
    <w:rsid w:val="00005B10"/>
    <w:rsid w:val="00015852"/>
    <w:rsid w:val="0001754F"/>
    <w:rsid w:val="00020FC6"/>
    <w:rsid w:val="000306EF"/>
    <w:rsid w:val="000314CC"/>
    <w:rsid w:val="000352EA"/>
    <w:rsid w:val="00036A1F"/>
    <w:rsid w:val="000438BF"/>
    <w:rsid w:val="00044CD0"/>
    <w:rsid w:val="00046F3E"/>
    <w:rsid w:val="00047147"/>
    <w:rsid w:val="00053100"/>
    <w:rsid w:val="00053A32"/>
    <w:rsid w:val="000564B6"/>
    <w:rsid w:val="0006003E"/>
    <w:rsid w:val="000639B1"/>
    <w:rsid w:val="0006429F"/>
    <w:rsid w:val="00064755"/>
    <w:rsid w:val="00071D24"/>
    <w:rsid w:val="00072A40"/>
    <w:rsid w:val="00073D55"/>
    <w:rsid w:val="00076551"/>
    <w:rsid w:val="00083251"/>
    <w:rsid w:val="00086430"/>
    <w:rsid w:val="00093017"/>
    <w:rsid w:val="0009459F"/>
    <w:rsid w:val="00094CDF"/>
    <w:rsid w:val="0009643E"/>
    <w:rsid w:val="00096A6B"/>
    <w:rsid w:val="000A2C10"/>
    <w:rsid w:val="000A3B28"/>
    <w:rsid w:val="000A6488"/>
    <w:rsid w:val="000A717B"/>
    <w:rsid w:val="000B038D"/>
    <w:rsid w:val="000B15B4"/>
    <w:rsid w:val="000B1F53"/>
    <w:rsid w:val="000B346D"/>
    <w:rsid w:val="000B4E85"/>
    <w:rsid w:val="000B65A8"/>
    <w:rsid w:val="000B6762"/>
    <w:rsid w:val="000B746B"/>
    <w:rsid w:val="000C6216"/>
    <w:rsid w:val="000D28DD"/>
    <w:rsid w:val="000D54BD"/>
    <w:rsid w:val="000D636E"/>
    <w:rsid w:val="000E231A"/>
    <w:rsid w:val="000E65D9"/>
    <w:rsid w:val="000E7EDE"/>
    <w:rsid w:val="000F3CD6"/>
    <w:rsid w:val="0010056F"/>
    <w:rsid w:val="00104A18"/>
    <w:rsid w:val="00111E6E"/>
    <w:rsid w:val="001155A1"/>
    <w:rsid w:val="0011654C"/>
    <w:rsid w:val="001219BC"/>
    <w:rsid w:val="001304FE"/>
    <w:rsid w:val="00133274"/>
    <w:rsid w:val="001343B2"/>
    <w:rsid w:val="00134F89"/>
    <w:rsid w:val="0014359E"/>
    <w:rsid w:val="00145C48"/>
    <w:rsid w:val="00145E22"/>
    <w:rsid w:val="00146789"/>
    <w:rsid w:val="001468BC"/>
    <w:rsid w:val="00155FED"/>
    <w:rsid w:val="001572AA"/>
    <w:rsid w:val="00160995"/>
    <w:rsid w:val="001642A4"/>
    <w:rsid w:val="00166D0F"/>
    <w:rsid w:val="001706E9"/>
    <w:rsid w:val="00172B24"/>
    <w:rsid w:val="0017356F"/>
    <w:rsid w:val="0017500D"/>
    <w:rsid w:val="00175EBA"/>
    <w:rsid w:val="00180283"/>
    <w:rsid w:val="00180779"/>
    <w:rsid w:val="001826FE"/>
    <w:rsid w:val="00182F06"/>
    <w:rsid w:val="001832DB"/>
    <w:rsid w:val="00183832"/>
    <w:rsid w:val="00186656"/>
    <w:rsid w:val="001901D2"/>
    <w:rsid w:val="0019065B"/>
    <w:rsid w:val="001907AA"/>
    <w:rsid w:val="001936A1"/>
    <w:rsid w:val="00193D85"/>
    <w:rsid w:val="001963D0"/>
    <w:rsid w:val="0019728A"/>
    <w:rsid w:val="001A7C1B"/>
    <w:rsid w:val="001B3152"/>
    <w:rsid w:val="001B378F"/>
    <w:rsid w:val="001B608B"/>
    <w:rsid w:val="001B6D63"/>
    <w:rsid w:val="001C2B58"/>
    <w:rsid w:val="001C3231"/>
    <w:rsid w:val="001C3FBC"/>
    <w:rsid w:val="001C779E"/>
    <w:rsid w:val="001D45F6"/>
    <w:rsid w:val="001E20FA"/>
    <w:rsid w:val="001E21AF"/>
    <w:rsid w:val="001E2F1C"/>
    <w:rsid w:val="001E3DD7"/>
    <w:rsid w:val="001F1243"/>
    <w:rsid w:val="001F2AA2"/>
    <w:rsid w:val="001F2D29"/>
    <w:rsid w:val="001F36BD"/>
    <w:rsid w:val="001F381B"/>
    <w:rsid w:val="001F5D81"/>
    <w:rsid w:val="001F5EEB"/>
    <w:rsid w:val="001F74D3"/>
    <w:rsid w:val="001F7CB0"/>
    <w:rsid w:val="00200B05"/>
    <w:rsid w:val="00200C8C"/>
    <w:rsid w:val="00201A2E"/>
    <w:rsid w:val="0020315C"/>
    <w:rsid w:val="0020325C"/>
    <w:rsid w:val="00204FFB"/>
    <w:rsid w:val="002063DE"/>
    <w:rsid w:val="00210B2D"/>
    <w:rsid w:val="002174EA"/>
    <w:rsid w:val="00220BC1"/>
    <w:rsid w:val="00220CB4"/>
    <w:rsid w:val="0022235A"/>
    <w:rsid w:val="00225C98"/>
    <w:rsid w:val="002267A1"/>
    <w:rsid w:val="0022789A"/>
    <w:rsid w:val="002344DE"/>
    <w:rsid w:val="002424C3"/>
    <w:rsid w:val="00242EBB"/>
    <w:rsid w:val="00243BC9"/>
    <w:rsid w:val="00246C9B"/>
    <w:rsid w:val="00246FE9"/>
    <w:rsid w:val="002517C1"/>
    <w:rsid w:val="00251DA1"/>
    <w:rsid w:val="00252D6E"/>
    <w:rsid w:val="002626CC"/>
    <w:rsid w:val="00262C9C"/>
    <w:rsid w:val="00265D8F"/>
    <w:rsid w:val="00267967"/>
    <w:rsid w:val="002739D7"/>
    <w:rsid w:val="0027472B"/>
    <w:rsid w:val="00280680"/>
    <w:rsid w:val="00281E83"/>
    <w:rsid w:val="00285AB1"/>
    <w:rsid w:val="00290CBB"/>
    <w:rsid w:val="00294E99"/>
    <w:rsid w:val="0029684F"/>
    <w:rsid w:val="00296E75"/>
    <w:rsid w:val="002A0139"/>
    <w:rsid w:val="002A12F5"/>
    <w:rsid w:val="002A313F"/>
    <w:rsid w:val="002A4261"/>
    <w:rsid w:val="002A6A0B"/>
    <w:rsid w:val="002A7619"/>
    <w:rsid w:val="002B1431"/>
    <w:rsid w:val="002B1A37"/>
    <w:rsid w:val="002C0EB4"/>
    <w:rsid w:val="002C668E"/>
    <w:rsid w:val="002D068B"/>
    <w:rsid w:val="002D2104"/>
    <w:rsid w:val="002D22F4"/>
    <w:rsid w:val="002D563F"/>
    <w:rsid w:val="002D714D"/>
    <w:rsid w:val="002E239E"/>
    <w:rsid w:val="002E3AD1"/>
    <w:rsid w:val="002E459B"/>
    <w:rsid w:val="002E5300"/>
    <w:rsid w:val="002E738B"/>
    <w:rsid w:val="002F0CAD"/>
    <w:rsid w:val="002F0F16"/>
    <w:rsid w:val="002F1996"/>
    <w:rsid w:val="002F1A42"/>
    <w:rsid w:val="002F5E62"/>
    <w:rsid w:val="00301C5A"/>
    <w:rsid w:val="00301CD5"/>
    <w:rsid w:val="00301D6A"/>
    <w:rsid w:val="003048BE"/>
    <w:rsid w:val="00306889"/>
    <w:rsid w:val="003126C0"/>
    <w:rsid w:val="0031552A"/>
    <w:rsid w:val="0032144A"/>
    <w:rsid w:val="00321D38"/>
    <w:rsid w:val="00322C6D"/>
    <w:rsid w:val="00330D45"/>
    <w:rsid w:val="003345FB"/>
    <w:rsid w:val="003349CE"/>
    <w:rsid w:val="003361BE"/>
    <w:rsid w:val="00340F2D"/>
    <w:rsid w:val="0034315B"/>
    <w:rsid w:val="00350BD9"/>
    <w:rsid w:val="003518FB"/>
    <w:rsid w:val="00351C9C"/>
    <w:rsid w:val="00352031"/>
    <w:rsid w:val="00352ADE"/>
    <w:rsid w:val="003633D2"/>
    <w:rsid w:val="0036539B"/>
    <w:rsid w:val="00366C1E"/>
    <w:rsid w:val="0037018D"/>
    <w:rsid w:val="0037408A"/>
    <w:rsid w:val="00377307"/>
    <w:rsid w:val="00377663"/>
    <w:rsid w:val="003801E1"/>
    <w:rsid w:val="0038117B"/>
    <w:rsid w:val="00382F64"/>
    <w:rsid w:val="00383029"/>
    <w:rsid w:val="00383EE7"/>
    <w:rsid w:val="00385BEA"/>
    <w:rsid w:val="003875EE"/>
    <w:rsid w:val="00390C59"/>
    <w:rsid w:val="00391421"/>
    <w:rsid w:val="00395416"/>
    <w:rsid w:val="003959C1"/>
    <w:rsid w:val="003967F6"/>
    <w:rsid w:val="00396E70"/>
    <w:rsid w:val="003A0231"/>
    <w:rsid w:val="003A04E7"/>
    <w:rsid w:val="003A1A12"/>
    <w:rsid w:val="003A6D9F"/>
    <w:rsid w:val="003A7229"/>
    <w:rsid w:val="003B47BF"/>
    <w:rsid w:val="003B76DF"/>
    <w:rsid w:val="003C14C6"/>
    <w:rsid w:val="003C48A8"/>
    <w:rsid w:val="003C51BB"/>
    <w:rsid w:val="003C65E7"/>
    <w:rsid w:val="003C71CF"/>
    <w:rsid w:val="003C7F3E"/>
    <w:rsid w:val="003D0718"/>
    <w:rsid w:val="003D19DB"/>
    <w:rsid w:val="003D45FF"/>
    <w:rsid w:val="003D6314"/>
    <w:rsid w:val="003D69DD"/>
    <w:rsid w:val="003D6ACB"/>
    <w:rsid w:val="003E085A"/>
    <w:rsid w:val="003E0A23"/>
    <w:rsid w:val="003E27D3"/>
    <w:rsid w:val="003E287A"/>
    <w:rsid w:val="003E28D9"/>
    <w:rsid w:val="003E3BE3"/>
    <w:rsid w:val="003E4A03"/>
    <w:rsid w:val="003E55F7"/>
    <w:rsid w:val="003E6643"/>
    <w:rsid w:val="003F04EF"/>
    <w:rsid w:val="003F0D2D"/>
    <w:rsid w:val="003F0DAE"/>
    <w:rsid w:val="003F3807"/>
    <w:rsid w:val="003F39C3"/>
    <w:rsid w:val="003F3D01"/>
    <w:rsid w:val="003F5A56"/>
    <w:rsid w:val="003F6E72"/>
    <w:rsid w:val="003F7039"/>
    <w:rsid w:val="003F710A"/>
    <w:rsid w:val="004015B5"/>
    <w:rsid w:val="0040497F"/>
    <w:rsid w:val="0041309D"/>
    <w:rsid w:val="004133A3"/>
    <w:rsid w:val="004250E1"/>
    <w:rsid w:val="00426B86"/>
    <w:rsid w:val="00430689"/>
    <w:rsid w:val="004454CC"/>
    <w:rsid w:val="00445B9B"/>
    <w:rsid w:val="00446358"/>
    <w:rsid w:val="00447FEC"/>
    <w:rsid w:val="004543E6"/>
    <w:rsid w:val="00461238"/>
    <w:rsid w:val="00462EEA"/>
    <w:rsid w:val="004639C5"/>
    <w:rsid w:val="004642D5"/>
    <w:rsid w:val="00466E29"/>
    <w:rsid w:val="004740F8"/>
    <w:rsid w:val="0048537A"/>
    <w:rsid w:val="00492046"/>
    <w:rsid w:val="00495BCB"/>
    <w:rsid w:val="004973DD"/>
    <w:rsid w:val="004A05C9"/>
    <w:rsid w:val="004A07D9"/>
    <w:rsid w:val="004A30F5"/>
    <w:rsid w:val="004B6661"/>
    <w:rsid w:val="004B66BB"/>
    <w:rsid w:val="004C5F01"/>
    <w:rsid w:val="004C7B9A"/>
    <w:rsid w:val="004D183E"/>
    <w:rsid w:val="004D193F"/>
    <w:rsid w:val="004D252E"/>
    <w:rsid w:val="004D5D11"/>
    <w:rsid w:val="004E13F6"/>
    <w:rsid w:val="004E1617"/>
    <w:rsid w:val="004E2844"/>
    <w:rsid w:val="004F0647"/>
    <w:rsid w:val="004F1791"/>
    <w:rsid w:val="004F2AE1"/>
    <w:rsid w:val="004F4109"/>
    <w:rsid w:val="0050098B"/>
    <w:rsid w:val="00500C1A"/>
    <w:rsid w:val="005019F5"/>
    <w:rsid w:val="00501E6A"/>
    <w:rsid w:val="00505561"/>
    <w:rsid w:val="00506499"/>
    <w:rsid w:val="00506636"/>
    <w:rsid w:val="00511954"/>
    <w:rsid w:val="0051310C"/>
    <w:rsid w:val="00515E50"/>
    <w:rsid w:val="0052159B"/>
    <w:rsid w:val="00526321"/>
    <w:rsid w:val="00535CED"/>
    <w:rsid w:val="00541EED"/>
    <w:rsid w:val="005436EB"/>
    <w:rsid w:val="00547D92"/>
    <w:rsid w:val="005501CF"/>
    <w:rsid w:val="00550730"/>
    <w:rsid w:val="0055763B"/>
    <w:rsid w:val="005611F0"/>
    <w:rsid w:val="00561BE8"/>
    <w:rsid w:val="0056217A"/>
    <w:rsid w:val="005640B0"/>
    <w:rsid w:val="0056417C"/>
    <w:rsid w:val="005670B3"/>
    <w:rsid w:val="005671DA"/>
    <w:rsid w:val="00567ECA"/>
    <w:rsid w:val="005714F8"/>
    <w:rsid w:val="00572DA1"/>
    <w:rsid w:val="00575BC2"/>
    <w:rsid w:val="00576116"/>
    <w:rsid w:val="00582EAA"/>
    <w:rsid w:val="00583B3B"/>
    <w:rsid w:val="00583D78"/>
    <w:rsid w:val="00586608"/>
    <w:rsid w:val="00587900"/>
    <w:rsid w:val="005968C3"/>
    <w:rsid w:val="005A0448"/>
    <w:rsid w:val="005A1C49"/>
    <w:rsid w:val="005A4D1A"/>
    <w:rsid w:val="005A4F27"/>
    <w:rsid w:val="005C26F2"/>
    <w:rsid w:val="005C5F64"/>
    <w:rsid w:val="005C784E"/>
    <w:rsid w:val="005D2591"/>
    <w:rsid w:val="005D57A2"/>
    <w:rsid w:val="005E07FF"/>
    <w:rsid w:val="005E0E02"/>
    <w:rsid w:val="005E25D2"/>
    <w:rsid w:val="005E3263"/>
    <w:rsid w:val="005E4C98"/>
    <w:rsid w:val="005E55A1"/>
    <w:rsid w:val="005F032D"/>
    <w:rsid w:val="005F2A9D"/>
    <w:rsid w:val="005F2D80"/>
    <w:rsid w:val="005F6223"/>
    <w:rsid w:val="006021B6"/>
    <w:rsid w:val="0061214C"/>
    <w:rsid w:val="006142DC"/>
    <w:rsid w:val="00622244"/>
    <w:rsid w:val="006224AD"/>
    <w:rsid w:val="00622845"/>
    <w:rsid w:val="00630089"/>
    <w:rsid w:val="0063045F"/>
    <w:rsid w:val="00632406"/>
    <w:rsid w:val="00636781"/>
    <w:rsid w:val="00636B2B"/>
    <w:rsid w:val="00637000"/>
    <w:rsid w:val="00640AB3"/>
    <w:rsid w:val="00642168"/>
    <w:rsid w:val="00650873"/>
    <w:rsid w:val="00652FA7"/>
    <w:rsid w:val="00653921"/>
    <w:rsid w:val="0066481E"/>
    <w:rsid w:val="00664947"/>
    <w:rsid w:val="0066740E"/>
    <w:rsid w:val="00675224"/>
    <w:rsid w:val="006753E2"/>
    <w:rsid w:val="00676322"/>
    <w:rsid w:val="00677944"/>
    <w:rsid w:val="00681684"/>
    <w:rsid w:val="0068316E"/>
    <w:rsid w:val="00683BA5"/>
    <w:rsid w:val="006879EA"/>
    <w:rsid w:val="00687C08"/>
    <w:rsid w:val="00690D22"/>
    <w:rsid w:val="00691578"/>
    <w:rsid w:val="0069463B"/>
    <w:rsid w:val="006964B7"/>
    <w:rsid w:val="006A2CFC"/>
    <w:rsid w:val="006A71DE"/>
    <w:rsid w:val="006A7FF7"/>
    <w:rsid w:val="006B2A09"/>
    <w:rsid w:val="006B3275"/>
    <w:rsid w:val="006B4564"/>
    <w:rsid w:val="006B48E3"/>
    <w:rsid w:val="006B70BD"/>
    <w:rsid w:val="006C18D6"/>
    <w:rsid w:val="006C36A5"/>
    <w:rsid w:val="006C39B7"/>
    <w:rsid w:val="006C733F"/>
    <w:rsid w:val="006D098C"/>
    <w:rsid w:val="006D15FA"/>
    <w:rsid w:val="006D2D6F"/>
    <w:rsid w:val="006D5A27"/>
    <w:rsid w:val="006D6E88"/>
    <w:rsid w:val="006E0744"/>
    <w:rsid w:val="006E1EFD"/>
    <w:rsid w:val="006E33E2"/>
    <w:rsid w:val="006E52FB"/>
    <w:rsid w:val="006E6AE3"/>
    <w:rsid w:val="006E7468"/>
    <w:rsid w:val="006F0887"/>
    <w:rsid w:val="006F1E0F"/>
    <w:rsid w:val="006F7916"/>
    <w:rsid w:val="006F7FD2"/>
    <w:rsid w:val="007072C2"/>
    <w:rsid w:val="00707F13"/>
    <w:rsid w:val="0071158D"/>
    <w:rsid w:val="00716D38"/>
    <w:rsid w:val="00717A4D"/>
    <w:rsid w:val="00730A30"/>
    <w:rsid w:val="00732138"/>
    <w:rsid w:val="00734FE9"/>
    <w:rsid w:val="0073658A"/>
    <w:rsid w:val="00753693"/>
    <w:rsid w:val="00764249"/>
    <w:rsid w:val="00764946"/>
    <w:rsid w:val="0076776B"/>
    <w:rsid w:val="0077106B"/>
    <w:rsid w:val="00775467"/>
    <w:rsid w:val="007806B9"/>
    <w:rsid w:val="007810D7"/>
    <w:rsid w:val="007832D3"/>
    <w:rsid w:val="00784A27"/>
    <w:rsid w:val="0078715D"/>
    <w:rsid w:val="00787C09"/>
    <w:rsid w:val="00790AFF"/>
    <w:rsid w:val="00791C21"/>
    <w:rsid w:val="00795E70"/>
    <w:rsid w:val="00796B64"/>
    <w:rsid w:val="007A0518"/>
    <w:rsid w:val="007A5650"/>
    <w:rsid w:val="007A56FE"/>
    <w:rsid w:val="007A7777"/>
    <w:rsid w:val="007B2943"/>
    <w:rsid w:val="007B297B"/>
    <w:rsid w:val="007B3353"/>
    <w:rsid w:val="007B356E"/>
    <w:rsid w:val="007C0320"/>
    <w:rsid w:val="007C0855"/>
    <w:rsid w:val="007C19C6"/>
    <w:rsid w:val="007C3CA1"/>
    <w:rsid w:val="007C3F50"/>
    <w:rsid w:val="007C48ED"/>
    <w:rsid w:val="007D05C8"/>
    <w:rsid w:val="007D0E2F"/>
    <w:rsid w:val="007D5E46"/>
    <w:rsid w:val="007D6ED4"/>
    <w:rsid w:val="007E4991"/>
    <w:rsid w:val="007E6426"/>
    <w:rsid w:val="007E68D9"/>
    <w:rsid w:val="007F0A35"/>
    <w:rsid w:val="007F1806"/>
    <w:rsid w:val="007F6CD4"/>
    <w:rsid w:val="0080474E"/>
    <w:rsid w:val="008052ED"/>
    <w:rsid w:val="00805354"/>
    <w:rsid w:val="00805740"/>
    <w:rsid w:val="008149CC"/>
    <w:rsid w:val="0081781A"/>
    <w:rsid w:val="00821F02"/>
    <w:rsid w:val="00832206"/>
    <w:rsid w:val="0083531B"/>
    <w:rsid w:val="00843CBD"/>
    <w:rsid w:val="008479D1"/>
    <w:rsid w:val="00850A58"/>
    <w:rsid w:val="00853002"/>
    <w:rsid w:val="0085678E"/>
    <w:rsid w:val="0086205C"/>
    <w:rsid w:val="00867D6D"/>
    <w:rsid w:val="00870657"/>
    <w:rsid w:val="00870936"/>
    <w:rsid w:val="00874DBF"/>
    <w:rsid w:val="008813A5"/>
    <w:rsid w:val="008840EB"/>
    <w:rsid w:val="00886AD9"/>
    <w:rsid w:val="008873D8"/>
    <w:rsid w:val="00887A64"/>
    <w:rsid w:val="00891E43"/>
    <w:rsid w:val="00893C3D"/>
    <w:rsid w:val="0089601F"/>
    <w:rsid w:val="00896E44"/>
    <w:rsid w:val="0089763F"/>
    <w:rsid w:val="008A1398"/>
    <w:rsid w:val="008A26EA"/>
    <w:rsid w:val="008A3819"/>
    <w:rsid w:val="008A3AB3"/>
    <w:rsid w:val="008B3018"/>
    <w:rsid w:val="008B37DB"/>
    <w:rsid w:val="008B4581"/>
    <w:rsid w:val="008C0D3A"/>
    <w:rsid w:val="008C51D8"/>
    <w:rsid w:val="008C5B42"/>
    <w:rsid w:val="008C76CF"/>
    <w:rsid w:val="008D1A85"/>
    <w:rsid w:val="008D3153"/>
    <w:rsid w:val="008D36CA"/>
    <w:rsid w:val="008D47F3"/>
    <w:rsid w:val="008D4984"/>
    <w:rsid w:val="008E1686"/>
    <w:rsid w:val="008E3E9F"/>
    <w:rsid w:val="008E450E"/>
    <w:rsid w:val="008E798B"/>
    <w:rsid w:val="008F0811"/>
    <w:rsid w:val="008F1EC4"/>
    <w:rsid w:val="008F210C"/>
    <w:rsid w:val="008F3BF2"/>
    <w:rsid w:val="008F6AE8"/>
    <w:rsid w:val="009012A3"/>
    <w:rsid w:val="00901B7C"/>
    <w:rsid w:val="0090359D"/>
    <w:rsid w:val="009037AE"/>
    <w:rsid w:val="009065B4"/>
    <w:rsid w:val="00910018"/>
    <w:rsid w:val="00910CC8"/>
    <w:rsid w:val="009125B5"/>
    <w:rsid w:val="00914B21"/>
    <w:rsid w:val="00914E30"/>
    <w:rsid w:val="00915ABC"/>
    <w:rsid w:val="00920B89"/>
    <w:rsid w:val="00931A8F"/>
    <w:rsid w:val="0093727F"/>
    <w:rsid w:val="009423B2"/>
    <w:rsid w:val="00945966"/>
    <w:rsid w:val="00945CC4"/>
    <w:rsid w:val="009468AD"/>
    <w:rsid w:val="00954FB1"/>
    <w:rsid w:val="00957EA2"/>
    <w:rsid w:val="009608D4"/>
    <w:rsid w:val="009609EE"/>
    <w:rsid w:val="0096384F"/>
    <w:rsid w:val="009658C7"/>
    <w:rsid w:val="009667E9"/>
    <w:rsid w:val="00972894"/>
    <w:rsid w:val="00974B46"/>
    <w:rsid w:val="00980303"/>
    <w:rsid w:val="0098155C"/>
    <w:rsid w:val="0098210C"/>
    <w:rsid w:val="00983E5E"/>
    <w:rsid w:val="0098438A"/>
    <w:rsid w:val="009857B7"/>
    <w:rsid w:val="00986012"/>
    <w:rsid w:val="00987432"/>
    <w:rsid w:val="00991DB1"/>
    <w:rsid w:val="0099670D"/>
    <w:rsid w:val="00997573"/>
    <w:rsid w:val="009A4DD9"/>
    <w:rsid w:val="009B2B52"/>
    <w:rsid w:val="009B779F"/>
    <w:rsid w:val="009C038A"/>
    <w:rsid w:val="009C1C38"/>
    <w:rsid w:val="009C1CAA"/>
    <w:rsid w:val="009C2002"/>
    <w:rsid w:val="009C2B7E"/>
    <w:rsid w:val="009C326F"/>
    <w:rsid w:val="009C67CE"/>
    <w:rsid w:val="009D02EB"/>
    <w:rsid w:val="009D4464"/>
    <w:rsid w:val="009D70F7"/>
    <w:rsid w:val="009D7CC3"/>
    <w:rsid w:val="009E03C8"/>
    <w:rsid w:val="009E3986"/>
    <w:rsid w:val="009E57FA"/>
    <w:rsid w:val="009E6565"/>
    <w:rsid w:val="009F0208"/>
    <w:rsid w:val="009F3C67"/>
    <w:rsid w:val="009F40A6"/>
    <w:rsid w:val="00A00009"/>
    <w:rsid w:val="00A01AC5"/>
    <w:rsid w:val="00A1056D"/>
    <w:rsid w:val="00A121D5"/>
    <w:rsid w:val="00A12AFB"/>
    <w:rsid w:val="00A13EA9"/>
    <w:rsid w:val="00A178F0"/>
    <w:rsid w:val="00A20B1D"/>
    <w:rsid w:val="00A20D50"/>
    <w:rsid w:val="00A26802"/>
    <w:rsid w:val="00A27438"/>
    <w:rsid w:val="00A308FD"/>
    <w:rsid w:val="00A3254E"/>
    <w:rsid w:val="00A34632"/>
    <w:rsid w:val="00A4337D"/>
    <w:rsid w:val="00A477C4"/>
    <w:rsid w:val="00A51E75"/>
    <w:rsid w:val="00A53ABE"/>
    <w:rsid w:val="00A5534F"/>
    <w:rsid w:val="00A71F78"/>
    <w:rsid w:val="00A74693"/>
    <w:rsid w:val="00A77C6B"/>
    <w:rsid w:val="00A82DF1"/>
    <w:rsid w:val="00A8310E"/>
    <w:rsid w:val="00A840CC"/>
    <w:rsid w:val="00A8562F"/>
    <w:rsid w:val="00A85661"/>
    <w:rsid w:val="00A90DA9"/>
    <w:rsid w:val="00A9102D"/>
    <w:rsid w:val="00A955BE"/>
    <w:rsid w:val="00A95A52"/>
    <w:rsid w:val="00A966D7"/>
    <w:rsid w:val="00A96F6B"/>
    <w:rsid w:val="00A9782B"/>
    <w:rsid w:val="00AA273C"/>
    <w:rsid w:val="00AA3CAB"/>
    <w:rsid w:val="00AB2818"/>
    <w:rsid w:val="00AB324F"/>
    <w:rsid w:val="00AB58E9"/>
    <w:rsid w:val="00AB6B77"/>
    <w:rsid w:val="00AC0F88"/>
    <w:rsid w:val="00AC119F"/>
    <w:rsid w:val="00AC3E7C"/>
    <w:rsid w:val="00AC613C"/>
    <w:rsid w:val="00AC61E2"/>
    <w:rsid w:val="00AD42D2"/>
    <w:rsid w:val="00AE1ED5"/>
    <w:rsid w:val="00AE3FD1"/>
    <w:rsid w:val="00AF22F1"/>
    <w:rsid w:val="00AF544E"/>
    <w:rsid w:val="00B019F4"/>
    <w:rsid w:val="00B04042"/>
    <w:rsid w:val="00B04A62"/>
    <w:rsid w:val="00B07000"/>
    <w:rsid w:val="00B10264"/>
    <w:rsid w:val="00B117F2"/>
    <w:rsid w:val="00B13BCD"/>
    <w:rsid w:val="00B149A5"/>
    <w:rsid w:val="00B15266"/>
    <w:rsid w:val="00B16760"/>
    <w:rsid w:val="00B17929"/>
    <w:rsid w:val="00B230CA"/>
    <w:rsid w:val="00B30B0D"/>
    <w:rsid w:val="00B32D8D"/>
    <w:rsid w:val="00B33A16"/>
    <w:rsid w:val="00B40CD0"/>
    <w:rsid w:val="00B4309D"/>
    <w:rsid w:val="00B44AC5"/>
    <w:rsid w:val="00B44C15"/>
    <w:rsid w:val="00B471A1"/>
    <w:rsid w:val="00B53174"/>
    <w:rsid w:val="00B53586"/>
    <w:rsid w:val="00B5629B"/>
    <w:rsid w:val="00B60A87"/>
    <w:rsid w:val="00B7056F"/>
    <w:rsid w:val="00B705E4"/>
    <w:rsid w:val="00B728D3"/>
    <w:rsid w:val="00B7429E"/>
    <w:rsid w:val="00B77DFF"/>
    <w:rsid w:val="00B81577"/>
    <w:rsid w:val="00B820FB"/>
    <w:rsid w:val="00B8262C"/>
    <w:rsid w:val="00B8285A"/>
    <w:rsid w:val="00B84EDB"/>
    <w:rsid w:val="00B85C6D"/>
    <w:rsid w:val="00B94218"/>
    <w:rsid w:val="00BA0325"/>
    <w:rsid w:val="00BA4EB5"/>
    <w:rsid w:val="00BA56F8"/>
    <w:rsid w:val="00BA6056"/>
    <w:rsid w:val="00BB197A"/>
    <w:rsid w:val="00BB2A27"/>
    <w:rsid w:val="00BB4DF6"/>
    <w:rsid w:val="00BB6465"/>
    <w:rsid w:val="00BB768B"/>
    <w:rsid w:val="00BD0608"/>
    <w:rsid w:val="00BD25BC"/>
    <w:rsid w:val="00BD6F5C"/>
    <w:rsid w:val="00BD75CD"/>
    <w:rsid w:val="00BE12EF"/>
    <w:rsid w:val="00BE145C"/>
    <w:rsid w:val="00BE1A71"/>
    <w:rsid w:val="00BE7C52"/>
    <w:rsid w:val="00BF209A"/>
    <w:rsid w:val="00BF32DC"/>
    <w:rsid w:val="00BF3B6D"/>
    <w:rsid w:val="00C03DA4"/>
    <w:rsid w:val="00C04E4F"/>
    <w:rsid w:val="00C104F1"/>
    <w:rsid w:val="00C13711"/>
    <w:rsid w:val="00C15915"/>
    <w:rsid w:val="00C17B60"/>
    <w:rsid w:val="00C17DD4"/>
    <w:rsid w:val="00C2208B"/>
    <w:rsid w:val="00C262D8"/>
    <w:rsid w:val="00C26BD5"/>
    <w:rsid w:val="00C30A79"/>
    <w:rsid w:val="00C31626"/>
    <w:rsid w:val="00C32F8A"/>
    <w:rsid w:val="00C33181"/>
    <w:rsid w:val="00C33237"/>
    <w:rsid w:val="00C341FE"/>
    <w:rsid w:val="00C36979"/>
    <w:rsid w:val="00C400C4"/>
    <w:rsid w:val="00C40CD0"/>
    <w:rsid w:val="00C41214"/>
    <w:rsid w:val="00C42D7D"/>
    <w:rsid w:val="00C512AE"/>
    <w:rsid w:val="00C51AA8"/>
    <w:rsid w:val="00C60175"/>
    <w:rsid w:val="00C6102F"/>
    <w:rsid w:val="00C630B8"/>
    <w:rsid w:val="00C64549"/>
    <w:rsid w:val="00C658A8"/>
    <w:rsid w:val="00C66E48"/>
    <w:rsid w:val="00C6739A"/>
    <w:rsid w:val="00C71F93"/>
    <w:rsid w:val="00C72E8E"/>
    <w:rsid w:val="00C74C6C"/>
    <w:rsid w:val="00C75C56"/>
    <w:rsid w:val="00C854A1"/>
    <w:rsid w:val="00C85B98"/>
    <w:rsid w:val="00C93B77"/>
    <w:rsid w:val="00C94381"/>
    <w:rsid w:val="00C94847"/>
    <w:rsid w:val="00C97C97"/>
    <w:rsid w:val="00CA02C1"/>
    <w:rsid w:val="00CA35B1"/>
    <w:rsid w:val="00CA48B3"/>
    <w:rsid w:val="00CA6E52"/>
    <w:rsid w:val="00CA7803"/>
    <w:rsid w:val="00CB5086"/>
    <w:rsid w:val="00CB5DE0"/>
    <w:rsid w:val="00CB7755"/>
    <w:rsid w:val="00CC090B"/>
    <w:rsid w:val="00CC248E"/>
    <w:rsid w:val="00CC5396"/>
    <w:rsid w:val="00CC73D8"/>
    <w:rsid w:val="00CD3AFF"/>
    <w:rsid w:val="00CE4F7D"/>
    <w:rsid w:val="00CE543E"/>
    <w:rsid w:val="00CE6EB0"/>
    <w:rsid w:val="00CE7CA8"/>
    <w:rsid w:val="00CF132C"/>
    <w:rsid w:val="00CF6DE6"/>
    <w:rsid w:val="00D00367"/>
    <w:rsid w:val="00D0343A"/>
    <w:rsid w:val="00D06B56"/>
    <w:rsid w:val="00D126D2"/>
    <w:rsid w:val="00D12738"/>
    <w:rsid w:val="00D202CC"/>
    <w:rsid w:val="00D20DD4"/>
    <w:rsid w:val="00D20EA7"/>
    <w:rsid w:val="00D2206F"/>
    <w:rsid w:val="00D22DC1"/>
    <w:rsid w:val="00D24FA5"/>
    <w:rsid w:val="00D25B96"/>
    <w:rsid w:val="00D272B2"/>
    <w:rsid w:val="00D31CF3"/>
    <w:rsid w:val="00D32776"/>
    <w:rsid w:val="00D329C7"/>
    <w:rsid w:val="00D35E19"/>
    <w:rsid w:val="00D47992"/>
    <w:rsid w:val="00D51414"/>
    <w:rsid w:val="00D51A5D"/>
    <w:rsid w:val="00D55B5B"/>
    <w:rsid w:val="00D629CB"/>
    <w:rsid w:val="00D6646E"/>
    <w:rsid w:val="00D7055F"/>
    <w:rsid w:val="00D75B9D"/>
    <w:rsid w:val="00D76206"/>
    <w:rsid w:val="00D76C6A"/>
    <w:rsid w:val="00D77D19"/>
    <w:rsid w:val="00D80E81"/>
    <w:rsid w:val="00D82938"/>
    <w:rsid w:val="00D849E2"/>
    <w:rsid w:val="00D85376"/>
    <w:rsid w:val="00D856C7"/>
    <w:rsid w:val="00D85865"/>
    <w:rsid w:val="00D92F91"/>
    <w:rsid w:val="00D940EF"/>
    <w:rsid w:val="00DA272C"/>
    <w:rsid w:val="00DA2FBA"/>
    <w:rsid w:val="00DA35FF"/>
    <w:rsid w:val="00DA640B"/>
    <w:rsid w:val="00DB0524"/>
    <w:rsid w:val="00DB3A87"/>
    <w:rsid w:val="00DB796A"/>
    <w:rsid w:val="00DC092A"/>
    <w:rsid w:val="00DC0A7D"/>
    <w:rsid w:val="00DC0AFC"/>
    <w:rsid w:val="00DC1118"/>
    <w:rsid w:val="00DC402D"/>
    <w:rsid w:val="00DD2D8D"/>
    <w:rsid w:val="00DD439D"/>
    <w:rsid w:val="00DD70FA"/>
    <w:rsid w:val="00DD793A"/>
    <w:rsid w:val="00DE57A5"/>
    <w:rsid w:val="00DE59AA"/>
    <w:rsid w:val="00DE6D60"/>
    <w:rsid w:val="00DE7C83"/>
    <w:rsid w:val="00DE7F1E"/>
    <w:rsid w:val="00DF34D3"/>
    <w:rsid w:val="00E000F5"/>
    <w:rsid w:val="00E038BD"/>
    <w:rsid w:val="00E0485E"/>
    <w:rsid w:val="00E17241"/>
    <w:rsid w:val="00E25796"/>
    <w:rsid w:val="00E35296"/>
    <w:rsid w:val="00E352C0"/>
    <w:rsid w:val="00E36A0B"/>
    <w:rsid w:val="00E36B95"/>
    <w:rsid w:val="00E3776D"/>
    <w:rsid w:val="00E43B71"/>
    <w:rsid w:val="00E45F54"/>
    <w:rsid w:val="00E56F28"/>
    <w:rsid w:val="00E5711A"/>
    <w:rsid w:val="00E609C1"/>
    <w:rsid w:val="00E6704D"/>
    <w:rsid w:val="00E70122"/>
    <w:rsid w:val="00E70A7F"/>
    <w:rsid w:val="00E725AF"/>
    <w:rsid w:val="00E72B28"/>
    <w:rsid w:val="00E8301D"/>
    <w:rsid w:val="00E830FF"/>
    <w:rsid w:val="00E83288"/>
    <w:rsid w:val="00E83605"/>
    <w:rsid w:val="00E871AD"/>
    <w:rsid w:val="00E92EC2"/>
    <w:rsid w:val="00E93315"/>
    <w:rsid w:val="00E93DE7"/>
    <w:rsid w:val="00EA20A4"/>
    <w:rsid w:val="00EB187B"/>
    <w:rsid w:val="00EB336B"/>
    <w:rsid w:val="00EB48BD"/>
    <w:rsid w:val="00EC119A"/>
    <w:rsid w:val="00EC27AB"/>
    <w:rsid w:val="00EC3AF7"/>
    <w:rsid w:val="00EC5C9F"/>
    <w:rsid w:val="00EC6698"/>
    <w:rsid w:val="00EC71E0"/>
    <w:rsid w:val="00ED2D96"/>
    <w:rsid w:val="00ED2E40"/>
    <w:rsid w:val="00ED2EC4"/>
    <w:rsid w:val="00ED39E4"/>
    <w:rsid w:val="00ED68C9"/>
    <w:rsid w:val="00ED70F3"/>
    <w:rsid w:val="00ED72F5"/>
    <w:rsid w:val="00EE1492"/>
    <w:rsid w:val="00EE300B"/>
    <w:rsid w:val="00EE3E24"/>
    <w:rsid w:val="00EE7E59"/>
    <w:rsid w:val="00EF28DE"/>
    <w:rsid w:val="00EF495B"/>
    <w:rsid w:val="00EF6712"/>
    <w:rsid w:val="00EF7BF3"/>
    <w:rsid w:val="00F0056B"/>
    <w:rsid w:val="00F0152A"/>
    <w:rsid w:val="00F016FC"/>
    <w:rsid w:val="00F029FA"/>
    <w:rsid w:val="00F07AE0"/>
    <w:rsid w:val="00F07F65"/>
    <w:rsid w:val="00F118CD"/>
    <w:rsid w:val="00F12006"/>
    <w:rsid w:val="00F1506F"/>
    <w:rsid w:val="00F216B9"/>
    <w:rsid w:val="00F25846"/>
    <w:rsid w:val="00F25923"/>
    <w:rsid w:val="00F32A50"/>
    <w:rsid w:val="00F41677"/>
    <w:rsid w:val="00F4366D"/>
    <w:rsid w:val="00F449E7"/>
    <w:rsid w:val="00F44EC3"/>
    <w:rsid w:val="00F4689A"/>
    <w:rsid w:val="00F47D53"/>
    <w:rsid w:val="00F535B5"/>
    <w:rsid w:val="00F5384F"/>
    <w:rsid w:val="00F6393E"/>
    <w:rsid w:val="00F639F2"/>
    <w:rsid w:val="00F64DF1"/>
    <w:rsid w:val="00F65441"/>
    <w:rsid w:val="00F66D85"/>
    <w:rsid w:val="00F677E0"/>
    <w:rsid w:val="00F7004C"/>
    <w:rsid w:val="00F72C7A"/>
    <w:rsid w:val="00F76B5A"/>
    <w:rsid w:val="00F770C5"/>
    <w:rsid w:val="00F77AE2"/>
    <w:rsid w:val="00F82E3A"/>
    <w:rsid w:val="00F87EF1"/>
    <w:rsid w:val="00F90AF9"/>
    <w:rsid w:val="00F91DAF"/>
    <w:rsid w:val="00F93B8D"/>
    <w:rsid w:val="00F941FE"/>
    <w:rsid w:val="00F94598"/>
    <w:rsid w:val="00F94A8E"/>
    <w:rsid w:val="00F9511C"/>
    <w:rsid w:val="00F95E9C"/>
    <w:rsid w:val="00F97274"/>
    <w:rsid w:val="00F9742A"/>
    <w:rsid w:val="00FA14B7"/>
    <w:rsid w:val="00FA1ECE"/>
    <w:rsid w:val="00FA2372"/>
    <w:rsid w:val="00FB05D7"/>
    <w:rsid w:val="00FB2BA7"/>
    <w:rsid w:val="00FB4B15"/>
    <w:rsid w:val="00FB5B14"/>
    <w:rsid w:val="00FC05B9"/>
    <w:rsid w:val="00FC1002"/>
    <w:rsid w:val="00FC4A55"/>
    <w:rsid w:val="00FD5F99"/>
    <w:rsid w:val="00FE4801"/>
    <w:rsid w:val="00FF0BD0"/>
    <w:rsid w:val="00FF1A4E"/>
    <w:rsid w:val="00FF3B97"/>
    <w:rsid w:val="00FF6DEE"/>
    <w:rsid w:val="01FEAB74"/>
    <w:rsid w:val="03CD59E8"/>
    <w:rsid w:val="4B6B7007"/>
    <w:rsid w:val="4E77184A"/>
    <w:rsid w:val="6597B588"/>
    <w:rsid w:val="7F886A2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7EE73"/>
  <w15:chartTrackingRefBased/>
  <w15:docId w15:val="{6F6BFC70-E91C-4D04-ADB4-C0A61119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D2D8D"/>
    <w:pPr>
      <w:ind w:left="11" w:hanging="11"/>
    </w:pPr>
    <w:rPr>
      <w:rFonts w:ascii="Rubik" w:eastAsia="Rubik" w:hAnsi="Rubik" w:cs="Rubik"/>
      <w:color w:val="181717"/>
      <w:sz w:val="16"/>
      <w:szCs w:val="22"/>
    </w:rPr>
  </w:style>
  <w:style w:type="paragraph" w:styleId="Nadpis1">
    <w:name w:val="heading 1"/>
    <w:next w:val="Normln"/>
    <w:link w:val="Nadpis1Char"/>
    <w:uiPriority w:val="9"/>
    <w:qFormat/>
    <w:rsid w:val="00DD2D8D"/>
    <w:pPr>
      <w:keepNext/>
      <w:keepLines/>
      <w:numPr>
        <w:numId w:val="58"/>
      </w:numPr>
      <w:spacing w:before="240" w:line="259" w:lineRule="auto"/>
      <w:outlineLvl w:val="0"/>
    </w:pPr>
    <w:rPr>
      <w:rFonts w:ascii="Rubik" w:eastAsia="Rubik" w:hAnsi="Rubik" w:cs="Rubik"/>
      <w:b/>
      <w:color w:val="002060"/>
      <w:sz w:val="24"/>
      <w:szCs w:val="22"/>
    </w:rPr>
  </w:style>
  <w:style w:type="paragraph" w:styleId="Nadpis2">
    <w:name w:val="heading 2"/>
    <w:basedOn w:val="Normln"/>
    <w:next w:val="Normln"/>
    <w:link w:val="Nadpis2Char"/>
    <w:uiPriority w:val="9"/>
    <w:unhideWhenUsed/>
    <w:qFormat/>
    <w:rsid w:val="00DD2D8D"/>
    <w:pPr>
      <w:numPr>
        <w:ilvl w:val="1"/>
        <w:numId w:val="58"/>
      </w:numPr>
      <w:spacing w:before="120"/>
      <w:ind w:right="567"/>
      <w:textboxTightWrap w:val="firstLineOnly"/>
      <w:outlineLvl w:val="1"/>
    </w:pPr>
    <w:rPr>
      <w:rFonts w:eastAsiaTheme="majorEastAsia" w:cstheme="majorBidi"/>
      <w:color w:val="auto"/>
      <w:szCs w:val="26"/>
    </w:rPr>
  </w:style>
  <w:style w:type="paragraph" w:styleId="Nadpis3">
    <w:name w:val="heading 3"/>
    <w:basedOn w:val="Normln"/>
    <w:next w:val="Normln"/>
    <w:link w:val="Nadpis3Char"/>
    <w:uiPriority w:val="9"/>
    <w:unhideWhenUsed/>
    <w:qFormat/>
    <w:rsid w:val="00DD2D8D"/>
    <w:pPr>
      <w:numPr>
        <w:ilvl w:val="2"/>
        <w:numId w:val="58"/>
      </w:numPr>
      <w:spacing w:before="120"/>
      <w:ind w:right="567"/>
      <w:outlineLvl w:val="2"/>
    </w:pPr>
    <w:rPr>
      <w:rFonts w:eastAsiaTheme="majorEastAsia" w:cstheme="majorBidi"/>
      <w:color w:val="auto"/>
      <w:szCs w:val="24"/>
    </w:rPr>
  </w:style>
  <w:style w:type="paragraph" w:styleId="Nadpis4">
    <w:name w:val="heading 4"/>
    <w:basedOn w:val="Normln"/>
    <w:next w:val="Normln"/>
    <w:link w:val="Nadpis4Char"/>
    <w:uiPriority w:val="9"/>
    <w:unhideWhenUsed/>
    <w:qFormat/>
    <w:rsid w:val="00DD2D8D"/>
    <w:pPr>
      <w:keepNext/>
      <w:keepLines/>
      <w:numPr>
        <w:ilvl w:val="3"/>
        <w:numId w:val="58"/>
      </w:numPr>
      <w:spacing w:before="40"/>
      <w:outlineLvl w:val="3"/>
    </w:pPr>
    <w:rPr>
      <w:rFonts w:eastAsiaTheme="majorEastAsia" w:cstheme="majorBidi"/>
      <w:iCs/>
      <w:color w:val="auto"/>
    </w:rPr>
  </w:style>
  <w:style w:type="paragraph" w:styleId="Nadpis5">
    <w:name w:val="heading 5"/>
    <w:basedOn w:val="Normln"/>
    <w:next w:val="Normln"/>
    <w:link w:val="Nadpis5Char"/>
    <w:uiPriority w:val="9"/>
    <w:unhideWhenUsed/>
    <w:qFormat/>
    <w:rsid w:val="00DD2D8D"/>
    <w:pPr>
      <w:keepNext/>
      <w:keepLines/>
      <w:numPr>
        <w:ilvl w:val="4"/>
        <w:numId w:val="58"/>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DD2D8D"/>
    <w:pPr>
      <w:keepNext/>
      <w:keepLines/>
      <w:numPr>
        <w:ilvl w:val="5"/>
        <w:numId w:val="58"/>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unhideWhenUsed/>
    <w:qFormat/>
    <w:rsid w:val="00DD2D8D"/>
    <w:pPr>
      <w:keepNext/>
      <w:keepLines/>
      <w:numPr>
        <w:ilvl w:val="6"/>
        <w:numId w:val="58"/>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unhideWhenUsed/>
    <w:qFormat/>
    <w:rsid w:val="00DD2D8D"/>
    <w:pPr>
      <w:keepNext/>
      <w:keepLines/>
      <w:numPr>
        <w:ilvl w:val="7"/>
        <w:numId w:val="5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DD2D8D"/>
    <w:pPr>
      <w:keepNext/>
      <w:keepLines/>
      <w:numPr>
        <w:ilvl w:val="8"/>
        <w:numId w:val="5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D2D8D"/>
    <w:rPr>
      <w:rFonts w:ascii="Rubik" w:eastAsiaTheme="majorEastAsia" w:hAnsi="Rubik" w:cstheme="majorBidi"/>
      <w:sz w:val="16"/>
      <w:szCs w:val="26"/>
    </w:rPr>
  </w:style>
  <w:style w:type="paragraph" w:styleId="Nzev">
    <w:name w:val="Title"/>
    <w:basedOn w:val="Normln"/>
    <w:next w:val="Normln"/>
    <w:link w:val="NzevChar"/>
    <w:uiPriority w:val="10"/>
    <w:qFormat/>
    <w:rsid w:val="00DD2D8D"/>
    <w:pPr>
      <w:contextualSpacing/>
    </w:pPr>
    <w:rPr>
      <w:rFonts w:eastAsiaTheme="majorEastAsia" w:cstheme="majorBidi"/>
      <w:b/>
      <w:color w:val="002060"/>
      <w:spacing w:val="-10"/>
      <w:kern w:val="28"/>
      <w:sz w:val="52"/>
      <w:szCs w:val="56"/>
    </w:rPr>
  </w:style>
  <w:style w:type="character" w:styleId="Odkaznakoment">
    <w:name w:val="annotation reference"/>
    <w:semiHidden/>
    <w:rPr>
      <w:sz w:val="16"/>
    </w:rPr>
  </w:style>
  <w:style w:type="paragraph" w:styleId="Zhlav">
    <w:name w:val="header"/>
    <w:basedOn w:val="Normln"/>
    <w:link w:val="ZhlavChar"/>
    <w:uiPriority w:val="99"/>
    <w:unhideWhenUsed/>
    <w:rsid w:val="00DD2D8D"/>
    <w:pPr>
      <w:tabs>
        <w:tab w:val="center" w:pos="4536"/>
        <w:tab w:val="right" w:pos="9072"/>
      </w:tabs>
    </w:pPr>
  </w:style>
  <w:style w:type="paragraph" w:styleId="Zpat">
    <w:name w:val="footer"/>
    <w:basedOn w:val="Normln"/>
    <w:link w:val="ZpatChar"/>
    <w:uiPriority w:val="99"/>
    <w:unhideWhenUsed/>
    <w:rsid w:val="00DD2D8D"/>
    <w:pPr>
      <w:tabs>
        <w:tab w:val="center" w:pos="4536"/>
        <w:tab w:val="right" w:pos="9072"/>
      </w:tabs>
    </w:pPr>
  </w:style>
  <w:style w:type="paragraph" w:styleId="Textkomente">
    <w:name w:val="annotation text"/>
    <w:basedOn w:val="Normln"/>
    <w:semiHidden/>
    <w:rPr>
      <w:sz w:val="20"/>
      <w:szCs w:val="20"/>
    </w:rPr>
  </w:style>
  <w:style w:type="character" w:styleId="slostrnky">
    <w:name w:val="page number"/>
    <w:rPr>
      <w:rFonts w:ascii="Times New Roman" w:hAnsi="Times New Roman"/>
    </w:rPr>
  </w:style>
  <w:style w:type="paragraph" w:styleId="Textbubliny">
    <w:name w:val="Balloon Text"/>
    <w:basedOn w:val="Normln"/>
    <w:link w:val="TextbublinyChar"/>
    <w:uiPriority w:val="99"/>
    <w:semiHidden/>
    <w:unhideWhenUsed/>
    <w:rsid w:val="00DD2D8D"/>
    <w:rPr>
      <w:rFonts w:ascii="Segoe UI" w:hAnsi="Segoe UI" w:cs="Segoe UI"/>
      <w:sz w:val="18"/>
      <w:szCs w:val="18"/>
    </w:rPr>
  </w:style>
  <w:style w:type="table" w:styleId="Mkatabulky">
    <w:name w:val="Table Grid"/>
    <w:basedOn w:val="Normlntabulka"/>
    <w:rsid w:val="00366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D2D8D"/>
    <w:rPr>
      <w:color w:val="0563C1" w:themeColor="hyperlink"/>
      <w:u w:val="single"/>
    </w:rPr>
  </w:style>
  <w:style w:type="paragraph" w:styleId="Pedmtkomente">
    <w:name w:val="annotation subject"/>
    <w:basedOn w:val="Textkomente"/>
    <w:next w:val="Textkomente"/>
    <w:semiHidden/>
    <w:rsid w:val="008052ED"/>
    <w:rPr>
      <w:b/>
      <w:bCs/>
    </w:rPr>
  </w:style>
  <w:style w:type="paragraph" w:styleId="Obsah1">
    <w:name w:val="toc 1"/>
    <w:basedOn w:val="Normln"/>
    <w:next w:val="Normln"/>
    <w:autoRedefine/>
    <w:uiPriority w:val="39"/>
    <w:rsid w:val="002F1996"/>
    <w:pPr>
      <w:tabs>
        <w:tab w:val="left" w:pos="480"/>
        <w:tab w:val="right" w:leader="dot" w:pos="9118"/>
      </w:tabs>
    </w:pPr>
  </w:style>
  <w:style w:type="paragraph" w:styleId="Obsah2">
    <w:name w:val="toc 2"/>
    <w:basedOn w:val="Normln"/>
    <w:next w:val="Normln"/>
    <w:autoRedefine/>
    <w:semiHidden/>
    <w:rsid w:val="001A7C1B"/>
    <w:pPr>
      <w:ind w:left="240"/>
    </w:pPr>
  </w:style>
  <w:style w:type="paragraph" w:styleId="Obsah3">
    <w:name w:val="toc 3"/>
    <w:basedOn w:val="Normln"/>
    <w:next w:val="Normln"/>
    <w:autoRedefine/>
    <w:semiHidden/>
    <w:rsid w:val="001A7C1B"/>
    <w:pPr>
      <w:ind w:left="480"/>
    </w:pPr>
  </w:style>
  <w:style w:type="paragraph" w:customStyle="1" w:styleId="Text2">
    <w:name w:val="Text 2"/>
    <w:basedOn w:val="Normln"/>
    <w:link w:val="Text2Char"/>
    <w:rsid w:val="00183832"/>
    <w:pPr>
      <w:ind w:left="567"/>
    </w:pPr>
    <w:rPr>
      <w:szCs w:val="20"/>
    </w:rPr>
  </w:style>
  <w:style w:type="character" w:customStyle="1" w:styleId="Text2Char">
    <w:name w:val="Text 2 Char"/>
    <w:link w:val="Text2"/>
    <w:rsid w:val="00183832"/>
    <w:rPr>
      <w:sz w:val="22"/>
      <w:lang w:val="cs-CZ" w:eastAsia="cs-CZ" w:bidi="ar-SA"/>
    </w:rPr>
  </w:style>
  <w:style w:type="paragraph" w:styleId="Textvysvtlivek">
    <w:name w:val="endnote text"/>
    <w:basedOn w:val="Normln"/>
    <w:semiHidden/>
    <w:rsid w:val="00983E5E"/>
    <w:rPr>
      <w:sz w:val="20"/>
      <w:szCs w:val="20"/>
    </w:rPr>
  </w:style>
  <w:style w:type="character" w:styleId="Odkaznavysvtlivky">
    <w:name w:val="endnote reference"/>
    <w:semiHidden/>
    <w:rsid w:val="00983E5E"/>
    <w:rPr>
      <w:vertAlign w:val="superscript"/>
    </w:rPr>
  </w:style>
  <w:style w:type="paragraph" w:styleId="Textpoznpodarou">
    <w:name w:val="footnote text"/>
    <w:basedOn w:val="Normln"/>
    <w:semiHidden/>
    <w:rsid w:val="00983E5E"/>
    <w:rPr>
      <w:sz w:val="20"/>
      <w:szCs w:val="20"/>
    </w:rPr>
  </w:style>
  <w:style w:type="character" w:styleId="Znakapoznpodarou">
    <w:name w:val="footnote reference"/>
    <w:semiHidden/>
    <w:rsid w:val="00983E5E"/>
    <w:rPr>
      <w:vertAlign w:val="superscript"/>
    </w:rPr>
  </w:style>
  <w:style w:type="paragraph" w:customStyle="1" w:styleId="Vysvtlivky">
    <w:name w:val="Vysvětlivky"/>
    <w:basedOn w:val="Normln"/>
    <w:link w:val="VysvtlivkyChar"/>
    <w:rsid w:val="002E5300"/>
    <w:rPr>
      <w:b/>
      <w:color w:val="333399"/>
    </w:rPr>
  </w:style>
  <w:style w:type="character" w:customStyle="1" w:styleId="VysvtlivkyChar">
    <w:name w:val="Vysvětlivky Char"/>
    <w:link w:val="Vysvtlivky"/>
    <w:rsid w:val="002E5300"/>
    <w:rPr>
      <w:b/>
      <w:color w:val="333399"/>
      <w:sz w:val="22"/>
      <w:szCs w:val="24"/>
      <w:lang w:val="cs-CZ" w:eastAsia="cs-CZ" w:bidi="ar-SA"/>
    </w:rPr>
  </w:style>
  <w:style w:type="paragraph" w:customStyle="1" w:styleId="Vysvtlivky-text-odrky">
    <w:name w:val="Vysvětlivky - text - odrážky"/>
    <w:basedOn w:val="Normln"/>
    <w:qFormat/>
    <w:rsid w:val="007C0320"/>
    <w:pPr>
      <w:numPr>
        <w:numId w:val="13"/>
      </w:numPr>
    </w:pPr>
  </w:style>
  <w:style w:type="paragraph" w:customStyle="1" w:styleId="StylVysvtlivky-textbodnenTun">
    <w:name w:val="Styl Vysvětlivky - text bodů + není Tučné"/>
    <w:basedOn w:val="Normln"/>
    <w:rsid w:val="007C0320"/>
    <w:pPr>
      <w:spacing w:before="40" w:after="40"/>
      <w:ind w:left="1361" w:hanging="1191"/>
    </w:pPr>
  </w:style>
  <w:style w:type="paragraph" w:customStyle="1" w:styleId="Plohy">
    <w:name w:val="Přílohy"/>
    <w:basedOn w:val="Normln"/>
    <w:rsid w:val="00535CED"/>
    <w:rPr>
      <w:rFonts w:ascii="Arial" w:hAnsi="Arial"/>
      <w:b/>
      <w:bCs/>
      <w:sz w:val="32"/>
    </w:rPr>
  </w:style>
  <w:style w:type="paragraph" w:styleId="Obsah4">
    <w:name w:val="toc 4"/>
    <w:basedOn w:val="Normln"/>
    <w:next w:val="Normln"/>
    <w:autoRedefine/>
    <w:semiHidden/>
    <w:rsid w:val="004F0647"/>
    <w:pPr>
      <w:tabs>
        <w:tab w:val="left" w:pos="360"/>
      </w:tabs>
      <w:spacing w:before="60" w:after="60"/>
      <w:jc w:val="both"/>
    </w:pPr>
    <w:rPr>
      <w:rFonts w:ascii="Tahoma" w:hAnsi="Tahoma"/>
      <w:sz w:val="20"/>
    </w:rPr>
  </w:style>
  <w:style w:type="paragraph" w:customStyle="1" w:styleId="Vysvtlivky-textbod">
    <w:name w:val="Vysvětlivky - text bodů"/>
    <w:basedOn w:val="Normln"/>
    <w:qFormat/>
    <w:rsid w:val="005C5F64"/>
    <w:pPr>
      <w:spacing w:before="40"/>
      <w:ind w:left="1361" w:hanging="1191"/>
    </w:pPr>
    <w:rPr>
      <w:b/>
    </w:rPr>
  </w:style>
  <w:style w:type="paragraph" w:customStyle="1" w:styleId="Odrky">
    <w:name w:val="Odrážky"/>
    <w:basedOn w:val="Normln"/>
    <w:link w:val="OdrkyChar"/>
    <w:rsid w:val="004F4109"/>
    <w:pPr>
      <w:numPr>
        <w:numId w:val="6"/>
      </w:numPr>
    </w:pPr>
    <w:rPr>
      <w:iCs/>
      <w:lang w:val="x-none" w:eastAsia="x-none"/>
    </w:rPr>
  </w:style>
  <w:style w:type="paragraph" w:customStyle="1" w:styleId="Textodst1sl">
    <w:name w:val="Text odst.1čísl"/>
    <w:basedOn w:val="Normln"/>
    <w:link w:val="Textodst1slChar"/>
    <w:rsid w:val="0056217A"/>
    <w:pPr>
      <w:numPr>
        <w:ilvl w:val="1"/>
        <w:numId w:val="30"/>
      </w:numPr>
      <w:tabs>
        <w:tab w:val="left" w:pos="0"/>
        <w:tab w:val="left" w:pos="284"/>
      </w:tabs>
      <w:spacing w:before="80"/>
      <w:jc w:val="both"/>
      <w:outlineLvl w:val="1"/>
    </w:pPr>
    <w:rPr>
      <w:sz w:val="24"/>
      <w:szCs w:val="20"/>
      <w:lang w:val="x-none" w:eastAsia="x-none"/>
    </w:rPr>
  </w:style>
  <w:style w:type="character" w:customStyle="1" w:styleId="OdrkyChar">
    <w:name w:val="Odrážky Char"/>
    <w:link w:val="Odrky"/>
    <w:rsid w:val="0098438A"/>
    <w:rPr>
      <w:iCs/>
      <w:sz w:val="22"/>
      <w:szCs w:val="24"/>
    </w:rPr>
  </w:style>
  <w:style w:type="paragraph" w:customStyle="1" w:styleId="Textodst3psmena">
    <w:name w:val="Text odst. 3 písmena"/>
    <w:basedOn w:val="Textodst1sl"/>
    <w:rsid w:val="0056217A"/>
    <w:pPr>
      <w:numPr>
        <w:ilvl w:val="3"/>
      </w:numPr>
      <w:tabs>
        <w:tab w:val="clear" w:pos="2778"/>
        <w:tab w:val="num" w:pos="624"/>
      </w:tabs>
      <w:spacing w:before="0"/>
      <w:ind w:left="907" w:hanging="567"/>
      <w:outlineLvl w:val="3"/>
    </w:pPr>
  </w:style>
  <w:style w:type="paragraph" w:customStyle="1" w:styleId="Textodst2slovan">
    <w:name w:val="Text odst.2 číslovaný"/>
    <w:basedOn w:val="Textodst1sl"/>
    <w:rsid w:val="0056217A"/>
    <w:pPr>
      <w:numPr>
        <w:ilvl w:val="2"/>
      </w:numPr>
      <w:tabs>
        <w:tab w:val="clear" w:pos="0"/>
        <w:tab w:val="clear" w:pos="284"/>
        <w:tab w:val="clear" w:pos="992"/>
        <w:tab w:val="num" w:pos="624"/>
      </w:tabs>
      <w:spacing w:before="0"/>
      <w:ind w:left="907" w:hanging="623"/>
      <w:outlineLvl w:val="2"/>
    </w:pPr>
  </w:style>
  <w:style w:type="paragraph" w:customStyle="1" w:styleId="Koule">
    <w:name w:val="Koule"/>
    <w:basedOn w:val="Normln"/>
    <w:rsid w:val="0056217A"/>
    <w:pPr>
      <w:numPr>
        <w:numId w:val="30"/>
      </w:numPr>
      <w:ind w:left="1702" w:hanging="284"/>
      <w:jc w:val="both"/>
    </w:pPr>
    <w:rPr>
      <w:rFonts w:ascii="Arial" w:hAnsi="Arial"/>
      <w:szCs w:val="20"/>
    </w:rPr>
  </w:style>
  <w:style w:type="character" w:customStyle="1" w:styleId="Textodst1slChar">
    <w:name w:val="Text odst.1čísl Char"/>
    <w:link w:val="Textodst1sl"/>
    <w:rsid w:val="0056217A"/>
    <w:rPr>
      <w:sz w:val="24"/>
    </w:rPr>
  </w:style>
  <w:style w:type="paragraph" w:styleId="Revize">
    <w:name w:val="Revision"/>
    <w:hidden/>
    <w:uiPriority w:val="99"/>
    <w:semiHidden/>
    <w:rsid w:val="00D75B9D"/>
    <w:rPr>
      <w:sz w:val="22"/>
      <w:szCs w:val="24"/>
    </w:rPr>
  </w:style>
  <w:style w:type="character" w:styleId="Nevyeenzmnka">
    <w:name w:val="Unresolved Mention"/>
    <w:basedOn w:val="Standardnpsmoodstavce"/>
    <w:uiPriority w:val="99"/>
    <w:semiHidden/>
    <w:unhideWhenUsed/>
    <w:rsid w:val="00DD2D8D"/>
    <w:rPr>
      <w:color w:val="605E5C"/>
      <w:shd w:val="clear" w:color="auto" w:fill="E1DFDD"/>
    </w:rPr>
  </w:style>
  <w:style w:type="character" w:customStyle="1" w:styleId="Nadpis1Char">
    <w:name w:val="Nadpis 1 Char"/>
    <w:link w:val="Nadpis1"/>
    <w:uiPriority w:val="9"/>
    <w:rsid w:val="00DD2D8D"/>
    <w:rPr>
      <w:rFonts w:ascii="Rubik" w:eastAsia="Rubik" w:hAnsi="Rubik" w:cs="Rubik"/>
      <w:b/>
      <w:color w:val="002060"/>
      <w:sz w:val="24"/>
      <w:szCs w:val="22"/>
    </w:rPr>
  </w:style>
  <w:style w:type="character" w:customStyle="1" w:styleId="Nadpis3Char">
    <w:name w:val="Nadpis 3 Char"/>
    <w:basedOn w:val="Standardnpsmoodstavce"/>
    <w:link w:val="Nadpis3"/>
    <w:uiPriority w:val="9"/>
    <w:rsid w:val="00DD2D8D"/>
    <w:rPr>
      <w:rFonts w:ascii="Rubik" w:eastAsiaTheme="majorEastAsia" w:hAnsi="Rubik" w:cstheme="majorBidi"/>
      <w:sz w:val="16"/>
      <w:szCs w:val="24"/>
    </w:rPr>
  </w:style>
  <w:style w:type="character" w:customStyle="1" w:styleId="Nadpis4Char">
    <w:name w:val="Nadpis 4 Char"/>
    <w:basedOn w:val="Standardnpsmoodstavce"/>
    <w:link w:val="Nadpis4"/>
    <w:uiPriority w:val="9"/>
    <w:rsid w:val="00DD2D8D"/>
    <w:rPr>
      <w:rFonts w:ascii="Rubik" w:eastAsiaTheme="majorEastAsia" w:hAnsi="Rubik" w:cstheme="majorBidi"/>
      <w:iCs/>
      <w:sz w:val="16"/>
      <w:szCs w:val="22"/>
    </w:rPr>
  </w:style>
  <w:style w:type="character" w:customStyle="1" w:styleId="Nadpis5Char">
    <w:name w:val="Nadpis 5 Char"/>
    <w:basedOn w:val="Standardnpsmoodstavce"/>
    <w:link w:val="Nadpis5"/>
    <w:uiPriority w:val="9"/>
    <w:rsid w:val="00DD2D8D"/>
    <w:rPr>
      <w:rFonts w:asciiTheme="majorHAnsi" w:eastAsiaTheme="majorEastAsia" w:hAnsiTheme="majorHAnsi" w:cstheme="majorBidi"/>
      <w:color w:val="2E74B5" w:themeColor="accent1" w:themeShade="BF"/>
      <w:sz w:val="16"/>
      <w:szCs w:val="22"/>
    </w:rPr>
  </w:style>
  <w:style w:type="character" w:customStyle="1" w:styleId="Nadpis6Char">
    <w:name w:val="Nadpis 6 Char"/>
    <w:basedOn w:val="Standardnpsmoodstavce"/>
    <w:link w:val="Nadpis6"/>
    <w:uiPriority w:val="9"/>
    <w:rsid w:val="00DD2D8D"/>
    <w:rPr>
      <w:rFonts w:asciiTheme="majorHAnsi" w:eastAsiaTheme="majorEastAsia" w:hAnsiTheme="majorHAnsi" w:cstheme="majorBidi"/>
      <w:color w:val="1F4D78" w:themeColor="accent1" w:themeShade="7F"/>
      <w:sz w:val="16"/>
      <w:szCs w:val="22"/>
    </w:rPr>
  </w:style>
  <w:style w:type="character" w:customStyle="1" w:styleId="Nadpis7Char">
    <w:name w:val="Nadpis 7 Char"/>
    <w:basedOn w:val="Standardnpsmoodstavce"/>
    <w:link w:val="Nadpis7"/>
    <w:uiPriority w:val="9"/>
    <w:rsid w:val="00DD2D8D"/>
    <w:rPr>
      <w:rFonts w:asciiTheme="majorHAnsi" w:eastAsiaTheme="majorEastAsia" w:hAnsiTheme="majorHAnsi" w:cstheme="majorBidi"/>
      <w:i/>
      <w:iCs/>
      <w:color w:val="1F4D78" w:themeColor="accent1" w:themeShade="7F"/>
      <w:sz w:val="16"/>
      <w:szCs w:val="22"/>
    </w:rPr>
  </w:style>
  <w:style w:type="character" w:customStyle="1" w:styleId="Nadpis8Char">
    <w:name w:val="Nadpis 8 Char"/>
    <w:basedOn w:val="Standardnpsmoodstavce"/>
    <w:link w:val="Nadpis8"/>
    <w:uiPriority w:val="9"/>
    <w:rsid w:val="00DD2D8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DD2D8D"/>
    <w:rPr>
      <w:rFonts w:asciiTheme="majorHAnsi" w:eastAsiaTheme="majorEastAsia" w:hAnsiTheme="majorHAnsi" w:cstheme="majorBidi"/>
      <w:i/>
      <w:iCs/>
      <w:color w:val="272727" w:themeColor="text1" w:themeTint="D8"/>
      <w:sz w:val="21"/>
      <w:szCs w:val="21"/>
    </w:rPr>
  </w:style>
  <w:style w:type="character" w:customStyle="1" w:styleId="NzevChar">
    <w:name w:val="Název Char"/>
    <w:basedOn w:val="Standardnpsmoodstavce"/>
    <w:link w:val="Nzev"/>
    <w:uiPriority w:val="10"/>
    <w:rsid w:val="00DD2D8D"/>
    <w:rPr>
      <w:rFonts w:ascii="Rubik" w:eastAsiaTheme="majorEastAsia" w:hAnsi="Rubik" w:cstheme="majorBidi"/>
      <w:b/>
      <w:color w:val="002060"/>
      <w:spacing w:val="-10"/>
      <w:kern w:val="28"/>
      <w:sz w:val="52"/>
      <w:szCs w:val="56"/>
    </w:rPr>
  </w:style>
  <w:style w:type="paragraph" w:styleId="Odstavecseseznamem">
    <w:name w:val="List Paragraph"/>
    <w:basedOn w:val="Normln"/>
    <w:uiPriority w:val="34"/>
    <w:qFormat/>
    <w:rsid w:val="00DD2D8D"/>
    <w:pPr>
      <w:ind w:left="720"/>
      <w:contextualSpacing/>
    </w:pPr>
  </w:style>
  <w:style w:type="character" w:customStyle="1" w:styleId="TextbublinyChar">
    <w:name w:val="Text bubliny Char"/>
    <w:basedOn w:val="Standardnpsmoodstavce"/>
    <w:link w:val="Textbubliny"/>
    <w:uiPriority w:val="99"/>
    <w:semiHidden/>
    <w:rsid w:val="00DD2D8D"/>
    <w:rPr>
      <w:rFonts w:ascii="Segoe UI" w:eastAsia="Rubik" w:hAnsi="Segoe UI" w:cs="Segoe UI"/>
      <w:color w:val="181717"/>
      <w:sz w:val="18"/>
      <w:szCs w:val="18"/>
    </w:rPr>
  </w:style>
  <w:style w:type="character" w:customStyle="1" w:styleId="ZhlavChar">
    <w:name w:val="Záhlaví Char"/>
    <w:basedOn w:val="Standardnpsmoodstavce"/>
    <w:link w:val="Zhlav"/>
    <w:uiPriority w:val="99"/>
    <w:rsid w:val="00DD2D8D"/>
    <w:rPr>
      <w:rFonts w:ascii="Rubik" w:eastAsia="Rubik" w:hAnsi="Rubik" w:cs="Rubik"/>
      <w:color w:val="181717"/>
      <w:sz w:val="16"/>
      <w:szCs w:val="22"/>
    </w:rPr>
  </w:style>
  <w:style w:type="character" w:customStyle="1" w:styleId="ZpatChar">
    <w:name w:val="Zápatí Char"/>
    <w:basedOn w:val="Standardnpsmoodstavce"/>
    <w:link w:val="Zpat"/>
    <w:uiPriority w:val="99"/>
    <w:rsid w:val="00DD2D8D"/>
    <w:rPr>
      <w:rFonts w:ascii="Rubik" w:eastAsia="Rubik" w:hAnsi="Rubik" w:cs="Rubik"/>
      <w:color w:val="181717"/>
      <w:sz w:val="16"/>
      <w:szCs w:val="22"/>
    </w:rPr>
  </w:style>
  <w:style w:type="paragraph" w:styleId="Bezmezer">
    <w:name w:val="No Spacing"/>
    <w:uiPriority w:val="1"/>
    <w:qFormat/>
    <w:rsid w:val="006964B7"/>
    <w:pPr>
      <w:ind w:left="11" w:hanging="11"/>
    </w:pPr>
    <w:rPr>
      <w:rFonts w:ascii="Rubik" w:eastAsia="Rubik" w:hAnsi="Rubik" w:cs="Rubik"/>
      <w:color w:val="181717"/>
      <w:sz w:val="16"/>
      <w:szCs w:val="22"/>
    </w:rPr>
  </w:style>
  <w:style w:type="paragraph" w:styleId="Normlnweb">
    <w:name w:val="Normal (Web)"/>
    <w:basedOn w:val="Normln"/>
    <w:uiPriority w:val="99"/>
    <w:unhideWhenUsed/>
    <w:rsid w:val="00396E70"/>
    <w:pPr>
      <w:spacing w:before="100" w:beforeAutospacing="1" w:after="100" w:afterAutospacing="1"/>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91776">
      <w:bodyDiv w:val="1"/>
      <w:marLeft w:val="0"/>
      <w:marRight w:val="0"/>
      <w:marTop w:val="0"/>
      <w:marBottom w:val="0"/>
      <w:divBdr>
        <w:top w:val="none" w:sz="0" w:space="0" w:color="auto"/>
        <w:left w:val="none" w:sz="0" w:space="0" w:color="auto"/>
        <w:bottom w:val="none" w:sz="0" w:space="0" w:color="auto"/>
        <w:right w:val="none" w:sz="0" w:space="0" w:color="auto"/>
      </w:divBdr>
    </w:div>
    <w:div w:id="72822894">
      <w:bodyDiv w:val="1"/>
      <w:marLeft w:val="0"/>
      <w:marRight w:val="0"/>
      <w:marTop w:val="0"/>
      <w:marBottom w:val="0"/>
      <w:divBdr>
        <w:top w:val="none" w:sz="0" w:space="0" w:color="auto"/>
        <w:left w:val="none" w:sz="0" w:space="0" w:color="auto"/>
        <w:bottom w:val="none" w:sz="0" w:space="0" w:color="auto"/>
        <w:right w:val="none" w:sz="0" w:space="0" w:color="auto"/>
      </w:divBdr>
    </w:div>
    <w:div w:id="121659186">
      <w:bodyDiv w:val="1"/>
      <w:marLeft w:val="0"/>
      <w:marRight w:val="0"/>
      <w:marTop w:val="0"/>
      <w:marBottom w:val="0"/>
      <w:divBdr>
        <w:top w:val="none" w:sz="0" w:space="0" w:color="auto"/>
        <w:left w:val="none" w:sz="0" w:space="0" w:color="auto"/>
        <w:bottom w:val="none" w:sz="0" w:space="0" w:color="auto"/>
        <w:right w:val="none" w:sz="0" w:space="0" w:color="auto"/>
      </w:divBdr>
    </w:div>
    <w:div w:id="253366569">
      <w:bodyDiv w:val="1"/>
      <w:marLeft w:val="0"/>
      <w:marRight w:val="0"/>
      <w:marTop w:val="0"/>
      <w:marBottom w:val="0"/>
      <w:divBdr>
        <w:top w:val="none" w:sz="0" w:space="0" w:color="auto"/>
        <w:left w:val="none" w:sz="0" w:space="0" w:color="auto"/>
        <w:bottom w:val="none" w:sz="0" w:space="0" w:color="auto"/>
        <w:right w:val="none" w:sz="0" w:space="0" w:color="auto"/>
      </w:divBdr>
    </w:div>
    <w:div w:id="312956117">
      <w:bodyDiv w:val="1"/>
      <w:marLeft w:val="0"/>
      <w:marRight w:val="0"/>
      <w:marTop w:val="0"/>
      <w:marBottom w:val="0"/>
      <w:divBdr>
        <w:top w:val="none" w:sz="0" w:space="0" w:color="auto"/>
        <w:left w:val="none" w:sz="0" w:space="0" w:color="auto"/>
        <w:bottom w:val="none" w:sz="0" w:space="0" w:color="auto"/>
        <w:right w:val="none" w:sz="0" w:space="0" w:color="auto"/>
      </w:divBdr>
    </w:div>
    <w:div w:id="667635959">
      <w:bodyDiv w:val="1"/>
      <w:marLeft w:val="0"/>
      <w:marRight w:val="0"/>
      <w:marTop w:val="0"/>
      <w:marBottom w:val="0"/>
      <w:divBdr>
        <w:top w:val="none" w:sz="0" w:space="0" w:color="auto"/>
        <w:left w:val="none" w:sz="0" w:space="0" w:color="auto"/>
        <w:bottom w:val="none" w:sz="0" w:space="0" w:color="auto"/>
        <w:right w:val="none" w:sz="0" w:space="0" w:color="auto"/>
      </w:divBdr>
    </w:div>
    <w:div w:id="674500492">
      <w:bodyDiv w:val="1"/>
      <w:marLeft w:val="0"/>
      <w:marRight w:val="0"/>
      <w:marTop w:val="0"/>
      <w:marBottom w:val="0"/>
      <w:divBdr>
        <w:top w:val="none" w:sz="0" w:space="0" w:color="auto"/>
        <w:left w:val="none" w:sz="0" w:space="0" w:color="auto"/>
        <w:bottom w:val="none" w:sz="0" w:space="0" w:color="auto"/>
        <w:right w:val="none" w:sz="0" w:space="0" w:color="auto"/>
      </w:divBdr>
    </w:div>
    <w:div w:id="1287927234">
      <w:bodyDiv w:val="1"/>
      <w:marLeft w:val="0"/>
      <w:marRight w:val="0"/>
      <w:marTop w:val="0"/>
      <w:marBottom w:val="0"/>
      <w:divBdr>
        <w:top w:val="none" w:sz="0" w:space="0" w:color="auto"/>
        <w:left w:val="none" w:sz="0" w:space="0" w:color="auto"/>
        <w:bottom w:val="none" w:sz="0" w:space="0" w:color="auto"/>
        <w:right w:val="none" w:sz="0" w:space="0" w:color="auto"/>
      </w:divBdr>
    </w:div>
    <w:div w:id="1686664935">
      <w:bodyDiv w:val="1"/>
      <w:marLeft w:val="0"/>
      <w:marRight w:val="0"/>
      <w:marTop w:val="0"/>
      <w:marBottom w:val="0"/>
      <w:divBdr>
        <w:top w:val="none" w:sz="0" w:space="0" w:color="auto"/>
        <w:left w:val="none" w:sz="0" w:space="0" w:color="auto"/>
        <w:bottom w:val="none" w:sz="0" w:space="0" w:color="auto"/>
        <w:right w:val="none" w:sz="0" w:space="0" w:color="auto"/>
      </w:divBdr>
      <w:divsChild>
        <w:div w:id="791901628">
          <w:marLeft w:val="0"/>
          <w:marRight w:val="0"/>
          <w:marTop w:val="0"/>
          <w:marBottom w:val="0"/>
          <w:divBdr>
            <w:top w:val="none" w:sz="0" w:space="0" w:color="auto"/>
            <w:left w:val="none" w:sz="0" w:space="0" w:color="auto"/>
            <w:bottom w:val="none" w:sz="0" w:space="0" w:color="auto"/>
            <w:right w:val="none" w:sz="0" w:space="0" w:color="auto"/>
          </w:divBdr>
        </w:div>
        <w:div w:id="1044913572">
          <w:marLeft w:val="0"/>
          <w:marRight w:val="0"/>
          <w:marTop w:val="0"/>
          <w:marBottom w:val="0"/>
          <w:divBdr>
            <w:top w:val="none" w:sz="0" w:space="0" w:color="auto"/>
            <w:left w:val="none" w:sz="0" w:space="0" w:color="auto"/>
            <w:bottom w:val="none" w:sz="0" w:space="0" w:color="auto"/>
            <w:right w:val="none" w:sz="0" w:space="0" w:color="auto"/>
          </w:divBdr>
        </w:div>
        <w:div w:id="1602452865">
          <w:marLeft w:val="0"/>
          <w:marRight w:val="0"/>
          <w:marTop w:val="0"/>
          <w:marBottom w:val="0"/>
          <w:divBdr>
            <w:top w:val="none" w:sz="0" w:space="0" w:color="auto"/>
            <w:left w:val="none" w:sz="0" w:space="0" w:color="auto"/>
            <w:bottom w:val="none" w:sz="0" w:space="0" w:color="auto"/>
            <w:right w:val="none" w:sz="0" w:space="0" w:color="auto"/>
          </w:divBdr>
        </w:div>
        <w:div w:id="1619216212">
          <w:marLeft w:val="0"/>
          <w:marRight w:val="0"/>
          <w:marTop w:val="0"/>
          <w:marBottom w:val="0"/>
          <w:divBdr>
            <w:top w:val="none" w:sz="0" w:space="0" w:color="auto"/>
            <w:left w:val="none" w:sz="0" w:space="0" w:color="auto"/>
            <w:bottom w:val="none" w:sz="0" w:space="0" w:color="auto"/>
            <w:right w:val="none" w:sz="0" w:space="0" w:color="auto"/>
          </w:divBdr>
        </w:div>
        <w:div w:id="1776902923">
          <w:marLeft w:val="0"/>
          <w:marRight w:val="0"/>
          <w:marTop w:val="0"/>
          <w:marBottom w:val="0"/>
          <w:divBdr>
            <w:top w:val="none" w:sz="0" w:space="0" w:color="auto"/>
            <w:left w:val="none" w:sz="0" w:space="0" w:color="auto"/>
            <w:bottom w:val="none" w:sz="0" w:space="0" w:color="auto"/>
            <w:right w:val="none" w:sz="0" w:space="0" w:color="auto"/>
          </w:divBdr>
        </w:div>
        <w:div w:id="1787626088">
          <w:marLeft w:val="0"/>
          <w:marRight w:val="0"/>
          <w:marTop w:val="0"/>
          <w:marBottom w:val="0"/>
          <w:divBdr>
            <w:top w:val="none" w:sz="0" w:space="0" w:color="auto"/>
            <w:left w:val="none" w:sz="0" w:space="0" w:color="auto"/>
            <w:bottom w:val="none" w:sz="0" w:space="0" w:color="auto"/>
            <w:right w:val="none" w:sz="0" w:space="0" w:color="auto"/>
          </w:divBdr>
        </w:div>
        <w:div w:id="1964531798">
          <w:marLeft w:val="0"/>
          <w:marRight w:val="0"/>
          <w:marTop w:val="0"/>
          <w:marBottom w:val="0"/>
          <w:divBdr>
            <w:top w:val="none" w:sz="0" w:space="0" w:color="auto"/>
            <w:left w:val="none" w:sz="0" w:space="0" w:color="auto"/>
            <w:bottom w:val="none" w:sz="0" w:space="0" w:color="auto"/>
            <w:right w:val="none" w:sz="0" w:space="0" w:color="auto"/>
          </w:divBdr>
        </w:div>
        <w:div w:id="1978487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F4DF5B7DFDE6478164B4815AB75C84" ma:contentTypeVersion="10" ma:contentTypeDescription="Vytvoří nový dokument" ma:contentTypeScope="" ma:versionID="98ea2b49c6c9cdff7763a31b1c4efd65">
  <xsd:schema xmlns:xsd="http://www.w3.org/2001/XMLSchema" xmlns:xs="http://www.w3.org/2001/XMLSchema" xmlns:p="http://schemas.microsoft.com/office/2006/metadata/properties" xmlns:ns2="782c8c4e-d822-499b-bc98-9f7ddddd5cbc" xmlns:ns3="7adef618-d942-4fcf-8309-6104b2c41918" targetNamespace="http://schemas.microsoft.com/office/2006/metadata/properties" ma:root="true" ma:fieldsID="7aec08c63f3efe02e25e91307332be84" ns2:_="" ns3:_="">
    <xsd:import namespace="782c8c4e-d822-499b-bc98-9f7ddddd5cbc"/>
    <xsd:import namespace="7adef618-d942-4fcf-8309-6104b2c41918"/>
    <xsd:element name="properties">
      <xsd:complexType>
        <xsd:sequence>
          <xsd:element name="documentManagement">
            <xsd:complexType>
              <xsd:all>
                <xsd:element ref="ns2:ZahrnoutDocVNotifikaci"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c8c4e-d822-499b-bc98-9f7ddddd5cbc" elementFormDefault="qualified">
    <xsd:import namespace="http://schemas.microsoft.com/office/2006/documentManagement/types"/>
    <xsd:import namespace="http://schemas.microsoft.com/office/infopath/2007/PartnerControls"/>
    <xsd:element name="ZahrnoutDocVNotifikaci" ma:index="4" nillable="true" ma:displayName="Zahrnout dokument v notifikaci" ma:default="0" ma:internalName="Zahrnout_x0020_dokument_x0020_v_x0020_notifikaci"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def618-d942-4fcf-8309-6104b2c41918" elementFormDefault="qualified">
    <xsd:import namespace="http://schemas.microsoft.com/office/2006/documentManagement/types"/>
    <xsd:import namespace="http://schemas.microsoft.com/office/infopath/2007/PartnerControls"/>
    <xsd:element name="SharedWithUsers" ma:index="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 obsahu"/>
        <xsd:element ref="dc:title" minOccurs="0" maxOccurs="1" ma:index="3"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ZahrnoutDocVNotifikaci xmlns="782c8c4e-d822-499b-bc98-9f7ddddd5cbc">false</ZahrnoutDocVNotifikac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8AD52-1FCA-49D3-9933-87685309B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c8c4e-d822-499b-bc98-9f7ddddd5cbc"/>
    <ds:schemaRef ds:uri="7adef618-d942-4fcf-8309-6104b2c41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031B3-BA06-4B8E-A0AB-CB7CA56AF48F}">
  <ds:schemaRefs>
    <ds:schemaRef ds:uri="http://schemas.openxmlformats.org/package/2006/metadata/core-properties"/>
    <ds:schemaRef ds:uri="http://schemas.microsoft.com/office/2006/documentManagement/types"/>
    <ds:schemaRef ds:uri="http://purl.org/dc/elements/1.1/"/>
    <ds:schemaRef ds:uri="782c8c4e-d822-499b-bc98-9f7ddddd5cbc"/>
    <ds:schemaRef ds:uri="http://purl.org/dc/terms/"/>
    <ds:schemaRef ds:uri="http://schemas.microsoft.com/office/infopath/2007/PartnerControls"/>
    <ds:schemaRef ds:uri="http://www.w3.org/XML/1998/namespace"/>
    <ds:schemaRef ds:uri="7adef618-d942-4fcf-8309-6104b2c4191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12F6F7B-28E0-4925-A47D-A2261BBDC5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7184</Words>
  <Characters>45376</Characters>
  <Application>Microsoft Office Word</Application>
  <DocSecurity>0</DocSecurity>
  <Lines>378</Lines>
  <Paragraphs>104</Paragraphs>
  <ScaleCrop>false</ScaleCrop>
  <HeadingPairs>
    <vt:vector size="2" baseType="variant">
      <vt:variant>
        <vt:lpstr>Název</vt:lpstr>
      </vt:variant>
      <vt:variant>
        <vt:i4>1</vt:i4>
      </vt:variant>
    </vt:vector>
  </HeadingPairs>
  <TitlesOfParts>
    <vt:vector size="1" baseType="lpstr">
      <vt:lpstr>Kupní smlouva ACCZ</vt:lpstr>
    </vt:vector>
  </TitlesOfParts>
  <Company>AUTOCONT a.s.</Company>
  <LinksUpToDate>false</LinksUpToDate>
  <CharactersWithSpaces>52456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ACCZ</dc:title>
  <dc:subject/>
  <dc:creator>Tomáš Macourek</dc:creator>
  <cp:keywords/>
  <cp:lastModifiedBy>Schacková Kateřina</cp:lastModifiedBy>
  <cp:revision>2</cp:revision>
  <cp:lastPrinted>2024-06-10T09:44:00Z</cp:lastPrinted>
  <dcterms:created xsi:type="dcterms:W3CDTF">2024-07-01T07:12:00Z</dcterms:created>
  <dcterms:modified xsi:type="dcterms:W3CDTF">2024-07-01T07:12:00Z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 in New Document List">
    <vt:lpwstr>No</vt:lpwstr>
  </property>
  <property fmtid="{D5CDD505-2E9C-101B-9397-08002B2CF9AE}" pid="3" name="Template Icon">
    <vt:lpwstr>Word</vt:lpwstr>
  </property>
  <property fmtid="{D5CDD505-2E9C-101B-9397-08002B2CF9AE}" pid="4" name="Platnost od">
    <vt:lpwstr>1/1/03</vt:lpwstr>
  </property>
  <property fmtid="{D5CDD505-2E9C-101B-9397-08002B2CF9AE}" pid="5" name="Návrh kategorie">
    <vt:lpwstr/>
  </property>
  <property fmtid="{D5CDD505-2E9C-101B-9397-08002B2CF9AE}" pid="6" name="SPSDescription">
    <vt:lpwstr>Vzorová kupní smlouva, platnost od 1.1.2014</vt:lpwstr>
  </property>
  <property fmtid="{D5CDD505-2E9C-101B-9397-08002B2CF9AE}" pid="7" name="Owner">
    <vt:lpwstr>Tomáš Macourek</vt:lpwstr>
  </property>
  <property fmtid="{D5CDD505-2E9C-101B-9397-08002B2CF9AE}" pid="8" name="Status">
    <vt:lpwstr>Finální</vt:lpwstr>
  </property>
  <property fmtid="{D5CDD505-2E9C-101B-9397-08002B2CF9AE}" pid="9" name="ContentTypeId">
    <vt:lpwstr>0x01010054F4DF5B7DFDE6478164B4815AB75C84</vt:lpwstr>
  </property>
  <property fmtid="{D5CDD505-2E9C-101B-9397-08002B2CF9AE}" pid="10" name="_dlc_DocIdItemGuid">
    <vt:lpwstr>a81d3c47-1411-4d61-95a5-5aa55428401b</vt:lpwstr>
  </property>
  <property fmtid="{D5CDD505-2E9C-101B-9397-08002B2CF9AE}" pid="11" name="MSIP_Label_82a99ebc-0f39-4fac-abab-b8d6469272ed_Enabled">
    <vt:lpwstr>true</vt:lpwstr>
  </property>
  <property fmtid="{D5CDD505-2E9C-101B-9397-08002B2CF9AE}" pid="12" name="MSIP_Label_82a99ebc-0f39-4fac-abab-b8d6469272ed_SetDate">
    <vt:lpwstr>2024-03-28T15:14:47Z</vt:lpwstr>
  </property>
  <property fmtid="{D5CDD505-2E9C-101B-9397-08002B2CF9AE}" pid="13" name="MSIP_Label_82a99ebc-0f39-4fac-abab-b8d6469272ed_Method">
    <vt:lpwstr>Standard</vt:lpwstr>
  </property>
  <property fmtid="{D5CDD505-2E9C-101B-9397-08002B2CF9AE}" pid="14" name="MSIP_Label_82a99ebc-0f39-4fac-abab-b8d6469272ed_Name">
    <vt:lpwstr>Interní informace (Internal use)</vt:lpwstr>
  </property>
  <property fmtid="{D5CDD505-2E9C-101B-9397-08002B2CF9AE}" pid="15" name="MSIP_Label_82a99ebc-0f39-4fac-abab-b8d6469272ed_SiteId">
    <vt:lpwstr>0e9caf50-a549-4565-9c6d-4dc78e847c80</vt:lpwstr>
  </property>
  <property fmtid="{D5CDD505-2E9C-101B-9397-08002B2CF9AE}" pid="16" name="MSIP_Label_82a99ebc-0f39-4fac-abab-b8d6469272ed_ActionId">
    <vt:lpwstr>48a84096-1717-4784-a557-def785a97773</vt:lpwstr>
  </property>
  <property fmtid="{D5CDD505-2E9C-101B-9397-08002B2CF9AE}" pid="17" name="MSIP_Label_82a99ebc-0f39-4fac-abab-b8d6469272ed_ContentBits">
    <vt:lpwstr>0</vt:lpwstr>
  </property>
</Properties>
</file>