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c.JH279184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2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2171700" cy="5588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20574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Abbott Laboratories, s.r.o.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Evropská 2591/33d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16000 Praha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4" name="Freeform 104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7" name="Freeform 107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8" name="Freeform 108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3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25095145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CZ25095145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267 292 204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3163" w:space="2629"/>
            <w:col w:w="3760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6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czobjednavky@abbott.com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11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172820</wp:posOffset>
            </wp:positionV>
            <wp:extent cx="6840006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2"/>
          <w:tab w:val="left" w:pos="1390"/>
          <w:tab w:val="left" w:pos="2302"/>
          <w:tab w:val="left" w:pos="2542"/>
          <w:tab w:val="left" w:pos="3598"/>
          <w:tab w:val="left" w:pos="4510"/>
          <w:tab w:val="left" w:pos="4847"/>
          <w:tab w:val="left" w:pos="5087"/>
          <w:tab w:val="left" w:pos="6575"/>
          <w:tab w:val="left" w:pos="7871"/>
          <w:tab w:val="left" w:pos="8111"/>
          <w:tab w:val="left" w:pos="8687"/>
          <w:tab w:val="left" w:pos="9504"/>
          <w:tab w:val="left" w:pos="10320"/>
        </w:tabs>
        <w:spacing w:before="0" w:after="0" w:line="184" w:lineRule="exact"/>
        <w:ind w:left="46" w:right="34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Od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26.5.2021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vstupuje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platnost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nařízení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EU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zdravotnických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prostředcích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-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MDR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(novela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89/2021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Sb).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Produkty, které spadají pod MDR budou dodány  dle nařízení (MDR) vč. doplnění potřebných údajů do DL a faktur.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200" w:lineRule="exact"/>
        <w:ind w:left="46" w:right="440" w:firstLine="0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5907359</wp:posOffset>
            </wp:positionH>
            <wp:positionV relativeFrom="line">
              <wp:posOffset>267971</wp:posOffset>
            </wp:positionV>
            <wp:extent cx="1036320" cy="5080"/>
            <wp:effectExtent l="0" t="0" r="0" b="0"/>
            <wp:wrapNone/>
            <wp:docPr id="110" name="Freeform 110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6320" cy="5080"/>
                    </a:xfrm>
                    <a:custGeom>
                      <a:rect l="l" t="t" r="r" b="b"/>
                      <a:pathLst>
                        <a:path w="1036320" h="5080">
                          <a:moveTo>
                            <a:pt x="0" y="0"/>
                          </a:moveTo>
                          <a:lnTo>
                            <a:pt x="1036320" y="0"/>
                          </a:lnTo>
                          <a:lnTo>
                            <a:pt x="1036320" y="5080"/>
                          </a:lnTo>
                          <a:lnTo>
                            <a:pt x="0" y="5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 PŘÍPADĚ OBJEDNÁVKY NAD 50.000,- Kč BEZ DPH PROSÍME O AKCEPTACI TÉTO OBJEDNÁVKY NA E-MAIL </w:t>
      </w:r>
      <w:hyperlink r:id="rId100" w:history="1">
        <w:r>
          <w:rPr lang="cs-CZ" sz="16" baseline="0" dirty="0">
            <w:jc w:val="left"/>
            <w:rFonts w:ascii="Arial" w:hAnsi="Arial" w:cs="Arial"/>
            <w:b/>
            <w:bCs/>
            <w:color w:val="FF0000"/>
            <w:spacing w:val="-13"/>
            <w:sz w:val="16"/>
            <w:szCs w:val="16"/>
          </w:rPr>
          <w:t>OBCHODNI@NEMJH.CZ</w:t>
        </w:r>
      </w:hyperlink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TOMTO ZNĚNÍ: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3" w:lineRule="exact"/>
        <w:ind w:left="46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FF0000"/>
          <w:sz w:val="14"/>
          <w:szCs w:val="14"/>
        </w:rPr>
        <w:t>„Dne ………….. jsme přijali Vaši objednávku č…………. a tuto objednávku akceptujeme.“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80" w:lineRule="exact"/>
        <w:ind w:left="102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14677</wp:posOffset>
            </wp:positionV>
            <wp:extent cx="6840006" cy="18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4J2737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ARCHITECT HIV Ag/Ab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Combo Reagent Kit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500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928" w:space="2546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6C2927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2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ARCHITECT HAVAb-IgG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Reagent Kit RF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6C3027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ARCHITECT HAVAB-IgM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2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Reagent kit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992" w:space="2482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6C3325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ARCHITECT Anti-HBc IgM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3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Reagent Kit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6C3425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ARCHITECT Anti-HBe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Reagent Kit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880" w:space="259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6C3727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266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ARCHITECT Anti-HCV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Reagent Kit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6C5458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ARCHITECT Concentrate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Wash Buffer 1 Liter 4Pack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4x1l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912" w:space="2588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7C1503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ARCHITECT Reaction Vessels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1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bal. = 4000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8D0642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ARCHITECT Syphilis TP II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5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Reagent Kit 1 bal = 500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995" w:space="2479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8L4410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ARCHITECT Anti-HBc 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4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Controls 2x8ml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88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00"/>
        </w:tabs>
        <w:spacing w:before="24" w:after="0" w:line="200" w:lineRule="exact"/>
        <w:ind w:left="1200" w:right="40" w:hanging="128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8L4425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ARCHITECT Anti-HBc II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Reagent Kit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89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0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-19545</wp:posOffset>
            </wp:positionV>
            <wp:extent cx="50349" cy="19300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-19545</wp:posOffset>
            </wp:positionV>
            <wp:extent cx="25174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-19545</wp:posOffset>
            </wp:positionV>
            <wp:extent cx="25175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-19545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-19545</wp:posOffset>
            </wp:positionV>
            <wp:extent cx="50349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-19545</wp:posOffset>
            </wp:positionV>
            <wp:extent cx="75525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-19545</wp:posOffset>
            </wp:positionV>
            <wp:extent cx="50350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-19545</wp:posOffset>
            </wp:positionV>
            <wp:extent cx="25175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-19545</wp:posOffset>
            </wp:positionV>
            <wp:extent cx="2517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-19545</wp:posOffset>
            </wp:positionV>
            <wp:extent cx="50350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-19545</wp:posOffset>
            </wp:positionV>
            <wp:extent cx="75525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-19545</wp:posOffset>
            </wp:positionV>
            <wp:extent cx="25174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-19545</wp:posOffset>
            </wp:positionV>
            <wp:extent cx="75525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-19545</wp:posOffset>
            </wp:positionV>
            <wp:extent cx="50349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-19545</wp:posOffset>
            </wp:positionV>
            <wp:extent cx="75524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-19545</wp:posOffset>
            </wp:positionV>
            <wp:extent cx="75525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5362242</wp:posOffset>
            </wp:positionH>
            <wp:positionV relativeFrom="paragraph">
              <wp:posOffset>-19545</wp:posOffset>
            </wp:positionV>
            <wp:extent cx="25175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-19545</wp:posOffset>
            </wp:positionV>
            <wp:extent cx="50350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-19545</wp:posOffset>
            </wp:positionV>
            <wp:extent cx="25175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-19545</wp:posOffset>
            </wp:positionV>
            <wp:extent cx="75524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-19545</wp:posOffset>
            </wp:positionV>
            <wp:extent cx="50349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-19545</wp:posOffset>
            </wp:positionV>
            <wp:extent cx="75524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-19545</wp:posOffset>
            </wp:positionV>
            <wp:extent cx="25175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-19545</wp:posOffset>
            </wp:positionV>
            <wp:extent cx="50350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-19545</wp:posOffset>
            </wp:positionV>
            <wp:extent cx="50349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-19545</wp:posOffset>
            </wp:positionV>
            <wp:extent cx="25175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-19545</wp:posOffset>
            </wp:positionV>
            <wp:extent cx="75525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-19545</wp:posOffset>
            </wp:positionV>
            <wp:extent cx="50349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-19545</wp:posOffset>
            </wp:positionV>
            <wp:extent cx="50350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-19545</wp:posOffset>
            </wp:positionV>
            <wp:extent cx="50350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-19545</wp:posOffset>
            </wp:positionV>
            <wp:extent cx="50349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-19545</wp:posOffset>
            </wp:positionV>
            <wp:extent cx="75525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-19545</wp:posOffset>
            </wp:positionV>
            <wp:extent cx="25174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-19545</wp:posOffset>
            </wp:positionV>
            <wp:extent cx="50350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-19545</wp:posOffset>
            </wp:positionV>
            <wp:extent cx="180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-19545</wp:posOffset>
            </wp:positionV>
            <wp:extent cx="180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3" w:space="0" w:equalWidth="0">
            <w:col w:w="1162" w:space="696"/>
            <w:col w:w="3022" w:space="684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9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4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2024-06-28 09:43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2/2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8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185175</wp:posOffset>
            </wp:positionV>
            <wp:extent cx="50349" cy="193001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671" w:space="1282"/>
            <w:col w:w="2174" w:space="0"/>
          </w:cols>
          <w:docGrid w:linePitch="360"/>
        </w:sectPr>
        <w:spacing w:before="135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Celkem v</w:t>
      </w:r>
      <w:r>
        <w:rPr lang="cs-CZ" sz="16" baseline="0" dirty="0">
          <w:jc w:val="left"/>
          <w:rFonts w:ascii="Arial" w:hAnsi="Arial" w:cs="Arial"/>
          <w:color w:val="000000"/>
          <w:spacing w:val="16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. DPH: 185 622,08 Kč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0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2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0" locked="0" layoutInCell="1" allowOverlap="1">
            <wp:simplePos x="0" y="0"/>
            <wp:positionH relativeFrom="page">
              <wp:posOffset>5362242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149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9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4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500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OBCHODNI@NEMJH.CZ"/><Relationship Id="rId103" Type="http://schemas.openxmlformats.org/officeDocument/2006/relationships/hyperlink" TargetMode="External" Target="mailto:obchodni@nemjh.cz"/><Relationship Id="rId106" Type="http://schemas.openxmlformats.org/officeDocument/2006/relationships/hyperlink" TargetMode="External" Target="mailto:czobjednavky@abbott.com"/><Relationship Id="rId149" Type="http://schemas.openxmlformats.org/officeDocument/2006/relationships/hyperlink" TargetMode="External" Target="http://www.tcpdf.org/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2024-07-01T06:06:41Z</dcterms:created>
  <dcterms:modified xsi:type="dcterms:W3CDTF">2024-07-01T06:06:41Z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