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Dohoda smluvních stran o ukončení smluvního vztahu</w:t>
        <w:br/>
        <w:t>a vzájemném vypořádání pro akci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„Revitalizace Merboltického potoka pod Rychnovem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1474/2018 o výkon činnosti koordinátora BOZP při přípravě a realizaci</w:t>
        <w:br/>
        <w:t>stavby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projektu: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Labem, oddíl A, vložka 13052 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Patočkova 2386/83, Břevnov, 169 00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odborně způsobilá osoba: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koordinátor BOZP na staveništi: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28741447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CZ28741447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Městského soudu v Praze oddíl C, vložka 182802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koordinátor)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uzavírají tuto dohodu o ukončení smluvního vztahu a vzájemném vypořádání.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 a Povodí Ohře státní podnik uzavřeli dne 04.12.2018 smlouvu o výkonu činnosti koordinátora BOZP č. 1474/2018 (dále jen "smlouva").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15" w:name="bookmark15"/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15"/>
      <w:bookmarkEnd w:id="16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 a Povodí Ohře se dohodli na ukončení smlouvy o výkonu činnosti koordinátora BOZP č. 1474/2018 uzavřené dne 04.12.2018 dle čl. 10. odst. 10.1.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plnění závazku uvedeného ve smlouvě č. 1474/2018 o výkonu činnosti koordinátora BOZP pro realizaci stavby nedošlo vzhledem k pozastavení původního záměru objednatele zahájit realizaci stavby v roce 2019.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19" w:name="bookmark19"/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9"/>
      <w:bookmarkEnd w:id="20"/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740" w:right="0" w:hanging="36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práva a závazky jsou uzavřením této smlouvy vypořádány a zároveň prohlašují, že z titulu uzavřené smlouvy č. 1474/2018 nebudou po sobě vzájemně nyní ani do budoucna požadovat žádná další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740" w:right="0" w:hanging="36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Platba za plán BOZP v době přípravy ve výši 9000,- Kč bez DPH byla uhrazena dne 01.03.2019 (datum uskutečnění zdanitelného plnění 01.02.2019).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460" w:line="240" w:lineRule="auto"/>
        <w:ind w:left="740" w:right="0" w:hanging="36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práce, uvedené v čl. 6. smlouvy č. 1474/2018, vyjma prací uvedených v čl. III odst. 2 této dohody, nebyly a nebudou z důvodů uvedených v této dohodě realizovány a zhotovitel nebude za ně požadovat žádnou úhradu.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26" w:name="bookmark26"/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  <w:bookmarkEnd w:id="26"/>
      <w:bookmarkEnd w:id="27"/>
      <w:bookmarkEnd w:id="2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ukončení platnosti smlouvy o výkonu činnosti koordinátora BOZP č. 1474/2018 ze dne 04.12.2018, a to s účinností od data zveřejnění této dohody v Registru smluv.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30" w:name="bookmark30"/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30"/>
      <w:bookmarkEnd w:id="31"/>
      <w:bookmarkEnd w:id="3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740" w:right="0" w:hanging="36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tuto Dohodu uzavírají svobodně, vážně a určitě a že její obsah je zcela srozumitelný.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740" w:right="0" w:hanging="36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stejnopisech, z nichž každá má platnost originálu. Jeden stejnopis přebírá SINNET.EU s.r.o. a jeden stejnopis je určen pro Povodí Ohře, státní podnik.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740" w:right="0" w:hanging="36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nabývá platnosti dnem jejího podpisu poslední ze stran a účinnosti zveřejněním v Registru smluv, pokud této účinnosti dle příslušných ustanovení dohody nenabude později.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2" w:val="left"/>
        </w:tabs>
        <w:bidi w:val="0"/>
        <w:spacing w:before="0" w:after="560" w:line="240" w:lineRule="auto"/>
        <w:ind w:left="0" w:right="0" w:firstLine="38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Dohody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63" w:left="1392" w:right="1392" w:bottom="1838" w:header="0" w:footer="141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12700</wp:posOffset>
                </wp:positionV>
                <wp:extent cx="1155065" cy="3873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0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 za koordinátora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25pt;margin-top:1.pt;width:90.950000000000003pt;height:30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 za koordinátora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za objednatele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……………………………..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………………………………. 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4" w:right="2800" w:bottom="1363" w:header="0" w:footer="3" w:gutter="0"/>
          <w:cols w:num="2" w:space="219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2800" w:bottom="1363" w:header="0" w:footer="3" w:gutter="0"/>
      <w:cols w:num="2" w:space="2194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445135</wp:posOffset>
              </wp:positionV>
              <wp:extent cx="722630" cy="1524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Akce č. 501 999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75pt;margin-top:35.050000000000004pt;width:56.899999999999999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Akce č. 501 999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300" w:after="4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  <w:ind w:left="44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Vanourek Stanislav</dc:creator>
  <cp:keywords/>
</cp:coreProperties>
</file>