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EF047" w14:textId="77777777" w:rsidR="000A2212" w:rsidRDefault="001B556E">
      <w:pPr>
        <w:spacing w:line="1" w:lineRule="exact"/>
      </w:pPr>
      <w:r>
        <w:rPr>
          <w:noProof/>
        </w:rPr>
        <mc:AlternateContent>
          <mc:Choice Requires="wps">
            <w:drawing>
              <wp:anchor distT="0" distB="0" distL="114300" distR="114300" simplePos="0" relativeHeight="251653632" behindDoc="1" locked="0" layoutInCell="1" allowOverlap="1" wp14:anchorId="03D4FDB7" wp14:editId="1D161446">
                <wp:simplePos x="0" y="0"/>
                <wp:positionH relativeFrom="page">
                  <wp:posOffset>824865</wp:posOffset>
                </wp:positionH>
                <wp:positionV relativeFrom="page">
                  <wp:posOffset>10105390</wp:posOffset>
                </wp:positionV>
                <wp:extent cx="5855335" cy="0"/>
                <wp:effectExtent l="0" t="0" r="0" b="0"/>
                <wp:wrapNone/>
                <wp:docPr id="1" name="Shape 1"/>
                <wp:cNvGraphicFramePr/>
                <a:graphic xmlns:a="http://schemas.openxmlformats.org/drawingml/2006/main">
                  <a:graphicData uri="http://schemas.microsoft.com/office/word/2010/wordprocessingShape">
                    <wps:wsp>
                      <wps:cNvCnPr/>
                      <wps:spPr>
                        <a:xfrm>
                          <a:off x="0" y="0"/>
                          <a:ext cx="5855335" cy="0"/>
                        </a:xfrm>
                        <a:prstGeom prst="straightConnector1">
                          <a:avLst/>
                        </a:prstGeom>
                        <a:ln w="15240">
                          <a:solidFill/>
                        </a:ln>
                      </wps:spPr>
                      <wps:bodyPr/>
                    </wps:wsp>
                  </a:graphicData>
                </a:graphic>
              </wp:anchor>
            </w:drawing>
          </mc:Choice>
          <mc:Fallback>
            <w:pict>
              <v:shape o:spt="32" o:oned="true" path="m,l21600,21600e" style="position:absolute;margin-left:64.950000000000003pt;margin-top:795.70000000000005pt;width:461.05000000000001pt;height:0;z-index:-251658240;mso-position-horizontal-relative:page;mso-position-vertical-relative:page">
                <v:stroke weight="1.2pt"/>
              </v:shape>
            </w:pict>
          </mc:Fallback>
        </mc:AlternateContent>
      </w:r>
    </w:p>
    <w:p w14:paraId="2FD0B682" w14:textId="77777777" w:rsidR="000A2212" w:rsidRDefault="001B556E">
      <w:pPr>
        <w:pStyle w:val="Heading210"/>
        <w:framePr w:w="9269" w:h="677" w:hRule="exact" w:wrap="none" w:vAnchor="page" w:hAnchor="page" w:x="1271" w:y="1616"/>
      </w:pPr>
      <w:bookmarkStart w:id="0" w:name="bookmark0"/>
      <w:bookmarkStart w:id="1" w:name="bookmark1"/>
      <w:bookmarkStart w:id="2" w:name="bookmark2"/>
      <w:r>
        <w:t>Závěrkový list č. EL-20240516-4124-3</w:t>
      </w:r>
      <w:bookmarkEnd w:id="0"/>
      <w:bookmarkEnd w:id="1"/>
      <w:bookmarkEnd w:id="2"/>
    </w:p>
    <w:p w14:paraId="74F672EA" w14:textId="77777777" w:rsidR="000A2212" w:rsidRDefault="001B556E">
      <w:pPr>
        <w:pStyle w:val="Bodytext10"/>
        <w:framePr w:w="9269" w:h="677" w:hRule="exact" w:wrap="none" w:vAnchor="page" w:hAnchor="page" w:x="1271" w:y="1616"/>
        <w:spacing w:after="0" w:line="240" w:lineRule="auto"/>
        <w:jc w:val="center"/>
      </w:pPr>
      <w:r>
        <w:t>(pro burzovní obchody se silovou elektřinou v rámci sdružených služeb dodávky elektřiny)</w:t>
      </w:r>
    </w:p>
    <w:tbl>
      <w:tblPr>
        <w:tblOverlap w:val="never"/>
        <w:tblW w:w="0" w:type="auto"/>
        <w:tblLayout w:type="fixed"/>
        <w:tblCellMar>
          <w:left w:w="10" w:type="dxa"/>
          <w:right w:w="10" w:type="dxa"/>
        </w:tblCellMar>
        <w:tblLook w:val="04A0" w:firstRow="1" w:lastRow="0" w:firstColumn="1" w:lastColumn="0" w:noHBand="0" w:noVBand="1"/>
      </w:tblPr>
      <w:tblGrid>
        <w:gridCol w:w="3245"/>
        <w:gridCol w:w="6014"/>
      </w:tblGrid>
      <w:tr w:rsidR="000A2212" w14:paraId="454D2287" w14:textId="77777777">
        <w:tblPrEx>
          <w:tblCellMar>
            <w:top w:w="0" w:type="dxa"/>
            <w:bottom w:w="0" w:type="dxa"/>
          </w:tblCellMar>
        </w:tblPrEx>
        <w:trPr>
          <w:trHeight w:hRule="exact" w:val="360"/>
        </w:trPr>
        <w:tc>
          <w:tcPr>
            <w:tcW w:w="3245" w:type="dxa"/>
            <w:shd w:val="clear" w:color="auto" w:fill="FFFFFF"/>
          </w:tcPr>
          <w:p w14:paraId="2DA3651C" w14:textId="77777777" w:rsidR="000A2212" w:rsidRDefault="001B556E">
            <w:pPr>
              <w:pStyle w:val="Other10"/>
              <w:framePr w:w="9259" w:h="7637" w:wrap="none" w:vAnchor="page" w:hAnchor="page" w:x="1281" w:y="2475"/>
              <w:spacing w:after="0" w:line="240" w:lineRule="auto"/>
            </w:pPr>
            <w:r>
              <w:t>Číslo aukce: 4124</w:t>
            </w:r>
          </w:p>
        </w:tc>
        <w:tc>
          <w:tcPr>
            <w:tcW w:w="6014" w:type="dxa"/>
            <w:shd w:val="clear" w:color="auto" w:fill="FFFFFF"/>
          </w:tcPr>
          <w:p w14:paraId="706A9E70" w14:textId="77777777" w:rsidR="000A2212" w:rsidRDefault="001B556E">
            <w:pPr>
              <w:pStyle w:val="Other10"/>
              <w:framePr w:w="9259" w:h="7637" w:wrap="none" w:vAnchor="page" w:hAnchor="page" w:x="1281" w:y="2475"/>
              <w:spacing w:after="0" w:line="240" w:lineRule="auto"/>
              <w:ind w:left="1180"/>
            </w:pPr>
            <w:r>
              <w:t>Datum konání burzovního shromáždění: 16. května 2024</w:t>
            </w:r>
          </w:p>
        </w:tc>
      </w:tr>
      <w:tr w:rsidR="000A2212" w14:paraId="0F9A6862" w14:textId="77777777">
        <w:tblPrEx>
          <w:tblCellMar>
            <w:top w:w="0" w:type="dxa"/>
            <w:bottom w:w="0" w:type="dxa"/>
          </w:tblCellMar>
        </w:tblPrEx>
        <w:trPr>
          <w:trHeight w:hRule="exact" w:val="475"/>
        </w:trPr>
        <w:tc>
          <w:tcPr>
            <w:tcW w:w="3245" w:type="dxa"/>
            <w:shd w:val="clear" w:color="auto" w:fill="FFFFFF"/>
            <w:vAlign w:val="center"/>
          </w:tcPr>
          <w:p w14:paraId="3B3267FD" w14:textId="77777777" w:rsidR="000A2212" w:rsidRDefault="001B556E">
            <w:pPr>
              <w:pStyle w:val="Other10"/>
              <w:framePr w:w="9259" w:h="7637" w:wrap="none" w:vAnchor="page" w:hAnchor="page" w:x="1281" w:y="2475"/>
              <w:spacing w:after="0" w:line="240" w:lineRule="auto"/>
            </w:pPr>
            <w:r>
              <w:rPr>
                <w:b/>
                <w:bCs/>
              </w:rPr>
              <w:t xml:space="preserve">Dodavatel </w:t>
            </w:r>
            <w:r>
              <w:rPr>
                <w:b/>
                <w:bCs/>
              </w:rPr>
              <w:t>(prodávající):</w:t>
            </w:r>
          </w:p>
        </w:tc>
        <w:tc>
          <w:tcPr>
            <w:tcW w:w="6014" w:type="dxa"/>
            <w:shd w:val="clear" w:color="auto" w:fill="FFFFFF"/>
            <w:vAlign w:val="center"/>
          </w:tcPr>
          <w:p w14:paraId="17CC31AD" w14:textId="77777777" w:rsidR="000A2212" w:rsidRDefault="001B556E">
            <w:pPr>
              <w:pStyle w:val="Other10"/>
              <w:framePr w:w="9259" w:h="7637" w:wrap="none" w:vAnchor="page" w:hAnchor="page" w:x="1281" w:y="2475"/>
              <w:spacing w:after="0" w:line="240" w:lineRule="auto"/>
              <w:ind w:firstLine="440"/>
            </w:pPr>
            <w:proofErr w:type="spellStart"/>
            <w:r>
              <w:t>Powertica</w:t>
            </w:r>
            <w:proofErr w:type="spellEnd"/>
            <w:r>
              <w:t xml:space="preserve"> Energie a.s.</w:t>
            </w:r>
          </w:p>
        </w:tc>
      </w:tr>
      <w:tr w:rsidR="000A2212" w14:paraId="2830D214" w14:textId="77777777">
        <w:tblPrEx>
          <w:tblCellMar>
            <w:top w:w="0" w:type="dxa"/>
            <w:bottom w:w="0" w:type="dxa"/>
          </w:tblCellMar>
        </w:tblPrEx>
        <w:trPr>
          <w:trHeight w:hRule="exact" w:val="2059"/>
        </w:trPr>
        <w:tc>
          <w:tcPr>
            <w:tcW w:w="3245" w:type="dxa"/>
            <w:shd w:val="clear" w:color="auto" w:fill="FFFFFF"/>
            <w:vAlign w:val="center"/>
          </w:tcPr>
          <w:p w14:paraId="31A3235C" w14:textId="77777777" w:rsidR="000A2212" w:rsidRDefault="001B556E">
            <w:pPr>
              <w:pStyle w:val="Other10"/>
              <w:framePr w:w="9259" w:h="7637" w:wrap="none" w:vAnchor="page" w:hAnchor="page" w:x="1281" w:y="2475"/>
              <w:spacing w:after="0" w:line="240" w:lineRule="auto"/>
            </w:pPr>
            <w:r>
              <w:t>Zapsán v:</w:t>
            </w:r>
          </w:p>
          <w:p w14:paraId="5A905D42" w14:textId="77777777" w:rsidR="000A2212" w:rsidRDefault="001B556E">
            <w:pPr>
              <w:pStyle w:val="Other10"/>
              <w:framePr w:w="9259" w:h="7637" w:wrap="none" w:vAnchor="page" w:hAnchor="page" w:x="1281" w:y="2475"/>
              <w:spacing w:after="0" w:line="240" w:lineRule="auto"/>
            </w:pPr>
            <w:r>
              <w:t>Sídlo:</w:t>
            </w:r>
          </w:p>
          <w:p w14:paraId="6F5688D6" w14:textId="77777777" w:rsidR="000A2212" w:rsidRDefault="001B556E">
            <w:pPr>
              <w:pStyle w:val="Other10"/>
              <w:framePr w:w="9259" w:h="7637" w:wrap="none" w:vAnchor="page" w:hAnchor="page" w:x="1281" w:y="2475"/>
              <w:spacing w:after="0" w:line="240" w:lineRule="auto"/>
            </w:pPr>
            <w:r>
              <w:t>IČO: 17323886</w:t>
            </w:r>
          </w:p>
          <w:p w14:paraId="65CC6E1B" w14:textId="77777777" w:rsidR="000A2212" w:rsidRDefault="001B556E">
            <w:pPr>
              <w:pStyle w:val="Other10"/>
              <w:framePr w:w="9259" w:h="7637" w:wrap="none" w:vAnchor="page" w:hAnchor="page" w:x="1281" w:y="2475"/>
              <w:spacing w:after="240" w:line="240" w:lineRule="auto"/>
            </w:pPr>
            <w:r>
              <w:t>Bankovní spojení:</w:t>
            </w:r>
          </w:p>
          <w:p w14:paraId="6EA8DF17" w14:textId="77777777" w:rsidR="000A2212" w:rsidRDefault="001B556E">
            <w:pPr>
              <w:pStyle w:val="Other10"/>
              <w:framePr w:w="9259" w:h="7637" w:wrap="none" w:vAnchor="page" w:hAnchor="page" w:x="1281" w:y="2475"/>
              <w:spacing w:after="0" w:line="240" w:lineRule="auto"/>
            </w:pPr>
            <w:r>
              <w:rPr>
                <w:b/>
                <w:bCs/>
              </w:rPr>
              <w:t>Zastoupen:</w:t>
            </w:r>
          </w:p>
          <w:p w14:paraId="5F837B07" w14:textId="77777777" w:rsidR="000A2212" w:rsidRDefault="001B556E">
            <w:pPr>
              <w:pStyle w:val="Other10"/>
              <w:framePr w:w="9259" w:h="7637" w:wrap="none" w:vAnchor="page" w:hAnchor="page" w:x="1281" w:y="2475"/>
              <w:spacing w:after="0" w:line="240" w:lineRule="auto"/>
            </w:pPr>
            <w:r>
              <w:t>Jméno a příjmení makléře:</w:t>
            </w:r>
          </w:p>
          <w:p w14:paraId="5213972E" w14:textId="77777777" w:rsidR="000A2212" w:rsidRDefault="001B556E">
            <w:pPr>
              <w:pStyle w:val="Other10"/>
              <w:framePr w:w="9259" w:h="7637" w:wrap="none" w:vAnchor="page" w:hAnchor="page" w:x="1281" w:y="2475"/>
              <w:spacing w:after="0" w:line="240" w:lineRule="auto"/>
            </w:pPr>
            <w:r>
              <w:t>Evidenční číslo makléře:</w:t>
            </w:r>
          </w:p>
        </w:tc>
        <w:tc>
          <w:tcPr>
            <w:tcW w:w="6014" w:type="dxa"/>
            <w:shd w:val="clear" w:color="auto" w:fill="FFFFFF"/>
            <w:vAlign w:val="center"/>
          </w:tcPr>
          <w:p w14:paraId="549B9F2B" w14:textId="77777777" w:rsidR="000A2212" w:rsidRDefault="001B556E">
            <w:pPr>
              <w:pStyle w:val="Other10"/>
              <w:framePr w:w="9259" w:h="7637" w:wrap="none" w:vAnchor="page" w:hAnchor="page" w:x="1281" w:y="2475"/>
              <w:spacing w:after="0" w:line="240" w:lineRule="auto"/>
              <w:ind w:firstLine="440"/>
            </w:pPr>
            <w:r>
              <w:t>OR u MS v Praze, oddíl B, vložka 27442</w:t>
            </w:r>
          </w:p>
          <w:p w14:paraId="71361E31" w14:textId="77777777" w:rsidR="000A2212" w:rsidRDefault="001B556E">
            <w:pPr>
              <w:pStyle w:val="Other10"/>
              <w:framePr w:w="9259" w:h="7637" w:wrap="none" w:vAnchor="page" w:hAnchor="page" w:x="1281" w:y="2475"/>
              <w:spacing w:after="0" w:line="240" w:lineRule="auto"/>
              <w:ind w:firstLine="440"/>
            </w:pPr>
            <w:r>
              <w:t>V celnici 1031/4, Nové Město, 110 00 Praha 1</w:t>
            </w:r>
          </w:p>
          <w:p w14:paraId="44313B61" w14:textId="77777777" w:rsidR="000A2212" w:rsidRDefault="001B556E">
            <w:pPr>
              <w:pStyle w:val="Other10"/>
              <w:framePr w:w="9259" w:h="7637" w:wrap="none" w:vAnchor="page" w:hAnchor="page" w:x="1281" w:y="2475"/>
              <w:spacing w:after="0" w:line="240" w:lineRule="auto"/>
              <w:ind w:firstLine="440"/>
            </w:pPr>
            <w:r>
              <w:t xml:space="preserve">DIČ: </w:t>
            </w:r>
            <w:r>
              <w:t>CZ699007093</w:t>
            </w:r>
          </w:p>
          <w:p w14:paraId="6F637E7C" w14:textId="10E2F3FB" w:rsidR="000A2212" w:rsidRDefault="00A337EF">
            <w:pPr>
              <w:pStyle w:val="Other10"/>
              <w:framePr w:w="9259" w:h="7637" w:wrap="none" w:vAnchor="page" w:hAnchor="page" w:x="1281" w:y="2475"/>
              <w:spacing w:after="240" w:line="240" w:lineRule="auto"/>
              <w:ind w:left="440" w:firstLine="20"/>
            </w:pPr>
            <w:r>
              <w:t>XXXXXXXXXXXXXXXXXXXXXXXXXXXXXXXXXXXXXXXXXXXXXXXXXXXXXXXXXXXXXX</w:t>
            </w:r>
          </w:p>
          <w:p w14:paraId="56F84286" w14:textId="77777777" w:rsidR="000A2212" w:rsidRDefault="001B556E">
            <w:pPr>
              <w:pStyle w:val="Other10"/>
              <w:framePr w:w="9259" w:h="7637" w:wrap="none" w:vAnchor="page" w:hAnchor="page" w:x="1281" w:y="2475"/>
              <w:spacing w:after="0" w:line="240" w:lineRule="auto"/>
              <w:ind w:left="440" w:firstLine="20"/>
            </w:pPr>
            <w:r>
              <w:t>Bc. Kateřina Votrubová</w:t>
            </w:r>
          </w:p>
          <w:p w14:paraId="0D1CE2AE" w14:textId="77777777" w:rsidR="000A2212" w:rsidRDefault="001B556E">
            <w:pPr>
              <w:pStyle w:val="Other10"/>
              <w:framePr w:w="9259" w:h="7637" w:wrap="none" w:vAnchor="page" w:hAnchor="page" w:x="1281" w:y="2475"/>
              <w:spacing w:after="0" w:line="240" w:lineRule="auto"/>
              <w:ind w:left="440" w:firstLine="20"/>
            </w:pPr>
            <w:r>
              <w:t>41039</w:t>
            </w:r>
          </w:p>
        </w:tc>
      </w:tr>
      <w:tr w:rsidR="000A2212" w14:paraId="3C9A07A6" w14:textId="77777777">
        <w:tblPrEx>
          <w:tblCellMar>
            <w:top w:w="0" w:type="dxa"/>
            <w:bottom w:w="0" w:type="dxa"/>
          </w:tblCellMar>
        </w:tblPrEx>
        <w:trPr>
          <w:trHeight w:hRule="exact" w:val="475"/>
        </w:trPr>
        <w:tc>
          <w:tcPr>
            <w:tcW w:w="3245" w:type="dxa"/>
            <w:shd w:val="clear" w:color="auto" w:fill="FFFFFF"/>
            <w:vAlign w:val="center"/>
          </w:tcPr>
          <w:p w14:paraId="73F80AD3" w14:textId="77777777" w:rsidR="000A2212" w:rsidRDefault="001B556E">
            <w:pPr>
              <w:pStyle w:val="Other10"/>
              <w:framePr w:w="9259" w:h="7637" w:wrap="none" w:vAnchor="page" w:hAnchor="page" w:x="1281" w:y="2475"/>
              <w:spacing w:after="0" w:line="240" w:lineRule="auto"/>
            </w:pPr>
            <w:r>
              <w:rPr>
                <w:b/>
                <w:bCs/>
              </w:rPr>
              <w:t>Odběratel (kupující):</w:t>
            </w:r>
          </w:p>
        </w:tc>
        <w:tc>
          <w:tcPr>
            <w:tcW w:w="6014" w:type="dxa"/>
            <w:shd w:val="clear" w:color="auto" w:fill="FFFFFF"/>
            <w:vAlign w:val="center"/>
          </w:tcPr>
          <w:p w14:paraId="0DC43E63" w14:textId="77777777" w:rsidR="000A2212" w:rsidRDefault="001B556E">
            <w:pPr>
              <w:pStyle w:val="Other10"/>
              <w:framePr w:w="9259" w:h="7637" w:wrap="none" w:vAnchor="page" w:hAnchor="page" w:x="1281" w:y="2475"/>
              <w:spacing w:after="0" w:line="240" w:lineRule="auto"/>
              <w:ind w:left="440" w:firstLine="20"/>
            </w:pPr>
            <w:r>
              <w:t>Národní muzeum</w:t>
            </w:r>
          </w:p>
        </w:tc>
      </w:tr>
      <w:tr w:rsidR="000A2212" w14:paraId="44C7678B" w14:textId="77777777">
        <w:tblPrEx>
          <w:tblCellMar>
            <w:top w:w="0" w:type="dxa"/>
            <w:bottom w:w="0" w:type="dxa"/>
          </w:tblCellMar>
        </w:tblPrEx>
        <w:trPr>
          <w:trHeight w:hRule="exact" w:val="1834"/>
        </w:trPr>
        <w:tc>
          <w:tcPr>
            <w:tcW w:w="3245" w:type="dxa"/>
            <w:shd w:val="clear" w:color="auto" w:fill="FFFFFF"/>
            <w:vAlign w:val="center"/>
          </w:tcPr>
          <w:p w14:paraId="7C24412B" w14:textId="77777777" w:rsidR="000A2212" w:rsidRDefault="001B556E">
            <w:pPr>
              <w:pStyle w:val="Other10"/>
              <w:framePr w:w="9259" w:h="7637" w:wrap="none" w:vAnchor="page" w:hAnchor="page" w:x="1281" w:y="2475"/>
              <w:spacing w:after="0" w:line="240" w:lineRule="auto"/>
            </w:pPr>
            <w:r>
              <w:t>Zapsán v:</w:t>
            </w:r>
          </w:p>
          <w:p w14:paraId="15E514F8" w14:textId="77777777" w:rsidR="000A2212" w:rsidRDefault="001B556E">
            <w:pPr>
              <w:pStyle w:val="Other10"/>
              <w:framePr w:w="9259" w:h="7637" w:wrap="none" w:vAnchor="page" w:hAnchor="page" w:x="1281" w:y="2475"/>
              <w:spacing w:after="0" w:line="240" w:lineRule="auto"/>
            </w:pPr>
            <w:r>
              <w:t>Sídlo:</w:t>
            </w:r>
          </w:p>
          <w:p w14:paraId="10623BCC" w14:textId="77777777" w:rsidR="000A2212" w:rsidRDefault="001B556E">
            <w:pPr>
              <w:pStyle w:val="Other10"/>
              <w:framePr w:w="9259" w:h="7637" w:wrap="none" w:vAnchor="page" w:hAnchor="page" w:x="1281" w:y="2475"/>
              <w:spacing w:after="0" w:line="240" w:lineRule="auto"/>
            </w:pPr>
            <w:r>
              <w:t>IČO: 00023272</w:t>
            </w:r>
          </w:p>
          <w:p w14:paraId="239CC273" w14:textId="77777777" w:rsidR="000A2212" w:rsidRDefault="001B556E">
            <w:pPr>
              <w:pStyle w:val="Other10"/>
              <w:framePr w:w="9259" w:h="7637" w:wrap="none" w:vAnchor="page" w:hAnchor="page" w:x="1281" w:y="2475"/>
              <w:spacing w:after="0" w:line="240" w:lineRule="auto"/>
            </w:pPr>
            <w:r>
              <w:t>Bankovní spojení:</w:t>
            </w:r>
          </w:p>
          <w:p w14:paraId="4FDC783D" w14:textId="77777777" w:rsidR="000A2212" w:rsidRDefault="001B556E">
            <w:pPr>
              <w:pStyle w:val="Other10"/>
              <w:framePr w:w="9259" w:h="7637" w:wrap="none" w:vAnchor="page" w:hAnchor="page" w:x="1281" w:y="2475"/>
              <w:spacing w:after="0" w:line="240" w:lineRule="auto"/>
            </w:pPr>
            <w:r>
              <w:rPr>
                <w:b/>
                <w:bCs/>
              </w:rPr>
              <w:t>Zastoupen:</w:t>
            </w:r>
          </w:p>
          <w:p w14:paraId="57FD9A6B" w14:textId="77777777" w:rsidR="000A2212" w:rsidRDefault="001B556E">
            <w:pPr>
              <w:pStyle w:val="Other10"/>
              <w:framePr w:w="9259" w:h="7637" w:wrap="none" w:vAnchor="page" w:hAnchor="page" w:x="1281" w:y="2475"/>
              <w:spacing w:after="0" w:line="240" w:lineRule="auto"/>
            </w:pPr>
            <w:r>
              <w:t>Jméno a příjmení makléře:</w:t>
            </w:r>
          </w:p>
          <w:p w14:paraId="3719E80B" w14:textId="77777777" w:rsidR="000A2212" w:rsidRDefault="001B556E">
            <w:pPr>
              <w:pStyle w:val="Other10"/>
              <w:framePr w:w="9259" w:h="7637" w:wrap="none" w:vAnchor="page" w:hAnchor="page" w:x="1281" w:y="2475"/>
              <w:spacing w:after="0" w:line="240" w:lineRule="auto"/>
            </w:pPr>
            <w:r>
              <w:t>Evidenční číslo makléře:</w:t>
            </w:r>
          </w:p>
        </w:tc>
        <w:tc>
          <w:tcPr>
            <w:tcW w:w="6014" w:type="dxa"/>
            <w:shd w:val="clear" w:color="auto" w:fill="FFFFFF"/>
            <w:vAlign w:val="center"/>
          </w:tcPr>
          <w:p w14:paraId="75E6A9B1" w14:textId="77777777" w:rsidR="006C529A" w:rsidRDefault="001B556E" w:rsidP="00A84F2C">
            <w:pPr>
              <w:pStyle w:val="Other10"/>
              <w:framePr w:w="9259" w:h="7637" w:wrap="none" w:vAnchor="page" w:hAnchor="page" w:x="1281" w:y="2475"/>
              <w:spacing w:after="0"/>
              <w:ind w:left="440" w:firstLine="20"/>
            </w:pPr>
            <w:r>
              <w:t xml:space="preserve">Registru ekonomických subjektů Václavské náměstí 1700/68, 11579 Praha 1 </w:t>
            </w:r>
          </w:p>
          <w:p w14:paraId="466591E5" w14:textId="77777777" w:rsidR="006C529A" w:rsidRDefault="001B556E" w:rsidP="00A84F2C">
            <w:pPr>
              <w:pStyle w:val="Other10"/>
              <w:framePr w:w="9259" w:h="7637" w:wrap="none" w:vAnchor="page" w:hAnchor="page" w:x="1281" w:y="2475"/>
              <w:spacing w:after="0"/>
              <w:ind w:left="440" w:firstLine="20"/>
            </w:pPr>
            <w:r>
              <w:t xml:space="preserve">DIČ: CZ00023272 </w:t>
            </w:r>
          </w:p>
          <w:p w14:paraId="77E7BA6B" w14:textId="70795DB4" w:rsidR="000A2212" w:rsidRDefault="00A84F2C" w:rsidP="00A84F2C">
            <w:pPr>
              <w:pStyle w:val="Other10"/>
              <w:framePr w:w="9259" w:h="7637" w:wrap="none" w:vAnchor="page" w:hAnchor="page" w:x="1281" w:y="2475"/>
              <w:spacing w:after="0"/>
              <w:ind w:left="440" w:firstLine="20"/>
            </w:pPr>
            <w:r>
              <w:t>XXXXXXXXXXXXXXX</w:t>
            </w:r>
          </w:p>
          <w:p w14:paraId="0FE7A591" w14:textId="77777777" w:rsidR="000A2212" w:rsidRDefault="001B556E">
            <w:pPr>
              <w:pStyle w:val="Other10"/>
              <w:framePr w:w="9259" w:h="7637" w:wrap="none" w:vAnchor="page" w:hAnchor="page" w:x="1281" w:y="2475"/>
              <w:spacing w:after="0" w:line="259" w:lineRule="auto"/>
              <w:ind w:left="440" w:firstLine="20"/>
            </w:pPr>
            <w:r>
              <w:t>Ing. Miloslav Ryšavý 41019</w:t>
            </w:r>
          </w:p>
        </w:tc>
      </w:tr>
      <w:tr w:rsidR="000A2212" w14:paraId="22F0A613" w14:textId="77777777">
        <w:tblPrEx>
          <w:tblCellMar>
            <w:top w:w="0" w:type="dxa"/>
            <w:bottom w:w="0" w:type="dxa"/>
          </w:tblCellMar>
        </w:tblPrEx>
        <w:trPr>
          <w:trHeight w:hRule="exact" w:val="710"/>
        </w:trPr>
        <w:tc>
          <w:tcPr>
            <w:tcW w:w="3245" w:type="dxa"/>
            <w:shd w:val="clear" w:color="auto" w:fill="FFFFFF"/>
          </w:tcPr>
          <w:p w14:paraId="30DC1E5B" w14:textId="77777777" w:rsidR="000A2212" w:rsidRDefault="001B556E">
            <w:pPr>
              <w:pStyle w:val="Other10"/>
              <w:framePr w:w="9259" w:h="7637" w:wrap="none" w:vAnchor="page" w:hAnchor="page" w:x="1281" w:y="2475"/>
              <w:spacing w:before="100" w:after="0" w:line="240" w:lineRule="auto"/>
            </w:pPr>
            <w:r>
              <w:rPr>
                <w:b/>
                <w:bCs/>
              </w:rPr>
              <w:t>Popis produktu:</w:t>
            </w:r>
          </w:p>
        </w:tc>
        <w:tc>
          <w:tcPr>
            <w:tcW w:w="6014" w:type="dxa"/>
            <w:shd w:val="clear" w:color="auto" w:fill="FFFFFF"/>
            <w:vAlign w:val="center"/>
          </w:tcPr>
          <w:p w14:paraId="07856141" w14:textId="77777777" w:rsidR="000A2212" w:rsidRDefault="001B556E">
            <w:pPr>
              <w:pStyle w:val="Other10"/>
              <w:framePr w:w="9259" w:h="7637" w:wrap="none" w:vAnchor="page" w:hAnchor="page" w:x="1281" w:y="2475"/>
              <w:spacing w:after="0"/>
              <w:ind w:left="440" w:firstLine="20"/>
            </w:pPr>
            <w:r>
              <w:rPr>
                <w:b/>
                <w:bCs/>
              </w:rPr>
              <w:t xml:space="preserve">Dodávka elektřiny v rámci sdružených služeb dodávky elektřiny v napěťové </w:t>
            </w:r>
            <w:r>
              <w:rPr>
                <w:b/>
                <w:bCs/>
              </w:rPr>
              <w:t>hladině vysokého napětí</w:t>
            </w:r>
          </w:p>
        </w:tc>
      </w:tr>
      <w:tr w:rsidR="000A2212" w14:paraId="3CF2145B" w14:textId="77777777">
        <w:tblPrEx>
          <w:tblCellMar>
            <w:top w:w="0" w:type="dxa"/>
            <w:bottom w:w="0" w:type="dxa"/>
          </w:tblCellMar>
        </w:tblPrEx>
        <w:trPr>
          <w:trHeight w:hRule="exact" w:val="451"/>
        </w:trPr>
        <w:tc>
          <w:tcPr>
            <w:tcW w:w="3245" w:type="dxa"/>
            <w:shd w:val="clear" w:color="auto" w:fill="FFFFFF"/>
            <w:vAlign w:val="center"/>
          </w:tcPr>
          <w:p w14:paraId="051FE7DE" w14:textId="77777777" w:rsidR="000A2212" w:rsidRDefault="001B556E">
            <w:pPr>
              <w:pStyle w:val="Other10"/>
              <w:framePr w:w="9259" w:h="7637" w:wrap="none" w:vAnchor="page" w:hAnchor="page" w:x="1281" w:y="2475"/>
              <w:spacing w:after="0" w:line="240" w:lineRule="auto"/>
            </w:pPr>
            <w:r>
              <w:rPr>
                <w:b/>
                <w:bCs/>
              </w:rPr>
              <w:t>Počet odběrných míst:</w:t>
            </w:r>
          </w:p>
        </w:tc>
        <w:tc>
          <w:tcPr>
            <w:tcW w:w="6014" w:type="dxa"/>
            <w:shd w:val="clear" w:color="auto" w:fill="FFFFFF"/>
            <w:vAlign w:val="center"/>
          </w:tcPr>
          <w:p w14:paraId="340EF5A2" w14:textId="77777777" w:rsidR="000A2212" w:rsidRDefault="001B556E">
            <w:pPr>
              <w:pStyle w:val="Other10"/>
              <w:framePr w:w="9259" w:h="7637" w:wrap="none" w:vAnchor="page" w:hAnchor="page" w:x="1281" w:y="2475"/>
              <w:spacing w:after="0" w:line="240" w:lineRule="auto"/>
              <w:ind w:firstLine="440"/>
            </w:pPr>
            <w:r>
              <w:rPr>
                <w:b/>
                <w:bCs/>
              </w:rPr>
              <w:t>7</w:t>
            </w:r>
          </w:p>
        </w:tc>
      </w:tr>
      <w:tr w:rsidR="000A2212" w14:paraId="770D67F6" w14:textId="77777777">
        <w:tblPrEx>
          <w:tblCellMar>
            <w:top w:w="0" w:type="dxa"/>
            <w:bottom w:w="0" w:type="dxa"/>
          </w:tblCellMar>
        </w:tblPrEx>
        <w:trPr>
          <w:trHeight w:hRule="exact" w:val="456"/>
        </w:trPr>
        <w:tc>
          <w:tcPr>
            <w:tcW w:w="3245" w:type="dxa"/>
            <w:shd w:val="clear" w:color="auto" w:fill="FFFFFF"/>
            <w:vAlign w:val="center"/>
          </w:tcPr>
          <w:p w14:paraId="2E03ABFE" w14:textId="77777777" w:rsidR="000A2212" w:rsidRDefault="001B556E">
            <w:pPr>
              <w:pStyle w:val="Other10"/>
              <w:framePr w:w="9259" w:h="7637" w:wrap="none" w:vAnchor="page" w:hAnchor="page" w:x="1281" w:y="2475"/>
              <w:spacing w:after="0" w:line="240" w:lineRule="auto"/>
            </w:pPr>
            <w:r>
              <w:rPr>
                <w:b/>
                <w:bCs/>
              </w:rPr>
              <w:t>Technické parametry dodávky:</w:t>
            </w:r>
          </w:p>
        </w:tc>
        <w:tc>
          <w:tcPr>
            <w:tcW w:w="6014" w:type="dxa"/>
            <w:shd w:val="clear" w:color="auto" w:fill="FFFFFF"/>
            <w:vAlign w:val="center"/>
          </w:tcPr>
          <w:p w14:paraId="5DEA0D4F" w14:textId="77777777" w:rsidR="000A2212" w:rsidRDefault="001B556E">
            <w:pPr>
              <w:pStyle w:val="Other10"/>
              <w:framePr w:w="9259" w:h="7637" w:wrap="none" w:vAnchor="page" w:hAnchor="page" w:x="1281" w:y="2475"/>
              <w:spacing w:after="0" w:line="240" w:lineRule="auto"/>
              <w:ind w:firstLine="440"/>
            </w:pPr>
            <w:r>
              <w:t>viz Příloha závěrkového listu č. 1</w:t>
            </w:r>
          </w:p>
        </w:tc>
      </w:tr>
      <w:tr w:rsidR="000A2212" w14:paraId="536266E8" w14:textId="77777777">
        <w:tblPrEx>
          <w:tblCellMar>
            <w:top w:w="0" w:type="dxa"/>
            <w:bottom w:w="0" w:type="dxa"/>
          </w:tblCellMar>
        </w:tblPrEx>
        <w:trPr>
          <w:trHeight w:hRule="exact" w:val="456"/>
        </w:trPr>
        <w:tc>
          <w:tcPr>
            <w:tcW w:w="3245" w:type="dxa"/>
            <w:shd w:val="clear" w:color="auto" w:fill="FFFFFF"/>
            <w:vAlign w:val="center"/>
          </w:tcPr>
          <w:p w14:paraId="585A4785" w14:textId="77777777" w:rsidR="000A2212" w:rsidRDefault="001B556E">
            <w:pPr>
              <w:pStyle w:val="Other10"/>
              <w:framePr w:w="9259" w:h="7637" w:wrap="none" w:vAnchor="page" w:hAnchor="page" w:x="1281" w:y="2475"/>
              <w:spacing w:after="0" w:line="240" w:lineRule="auto"/>
            </w:pPr>
            <w:r>
              <w:rPr>
                <w:b/>
                <w:bCs/>
              </w:rPr>
              <w:t>Termín dodávky:</w:t>
            </w:r>
          </w:p>
        </w:tc>
        <w:tc>
          <w:tcPr>
            <w:tcW w:w="6014" w:type="dxa"/>
            <w:shd w:val="clear" w:color="auto" w:fill="FFFFFF"/>
            <w:vAlign w:val="center"/>
          </w:tcPr>
          <w:p w14:paraId="1A769C99" w14:textId="77777777" w:rsidR="000A2212" w:rsidRDefault="001B556E">
            <w:pPr>
              <w:pStyle w:val="Other10"/>
              <w:framePr w:w="9259" w:h="7637" w:wrap="none" w:vAnchor="page" w:hAnchor="page" w:x="1281" w:y="2475"/>
              <w:spacing w:after="0" w:line="240" w:lineRule="auto"/>
              <w:ind w:firstLine="440"/>
            </w:pPr>
            <w:r>
              <w:rPr>
                <w:b/>
                <w:bCs/>
              </w:rPr>
              <w:t>01. 01. 2025-31. 12. 2025</w:t>
            </w:r>
          </w:p>
        </w:tc>
      </w:tr>
      <w:tr w:rsidR="000A2212" w14:paraId="6C818AD9" w14:textId="77777777">
        <w:tblPrEx>
          <w:tblCellMar>
            <w:top w:w="0" w:type="dxa"/>
            <w:bottom w:w="0" w:type="dxa"/>
          </w:tblCellMar>
        </w:tblPrEx>
        <w:trPr>
          <w:trHeight w:hRule="exact" w:val="360"/>
        </w:trPr>
        <w:tc>
          <w:tcPr>
            <w:tcW w:w="3245" w:type="dxa"/>
            <w:shd w:val="clear" w:color="auto" w:fill="FFFFFF"/>
            <w:vAlign w:val="bottom"/>
          </w:tcPr>
          <w:p w14:paraId="0112BD82" w14:textId="77777777" w:rsidR="000A2212" w:rsidRDefault="001B556E">
            <w:pPr>
              <w:pStyle w:val="Other10"/>
              <w:framePr w:w="9259" w:h="7637" w:wrap="none" w:vAnchor="page" w:hAnchor="page" w:x="1281" w:y="2475"/>
              <w:spacing w:after="0" w:line="240" w:lineRule="auto"/>
            </w:pPr>
            <w:r>
              <w:rPr>
                <w:b/>
                <w:bCs/>
              </w:rPr>
              <w:t>Celkové množství dodávky:</w:t>
            </w:r>
          </w:p>
        </w:tc>
        <w:tc>
          <w:tcPr>
            <w:tcW w:w="6014" w:type="dxa"/>
            <w:shd w:val="clear" w:color="auto" w:fill="FFFFFF"/>
            <w:vAlign w:val="bottom"/>
          </w:tcPr>
          <w:p w14:paraId="46FCD4EE" w14:textId="77777777" w:rsidR="000A2212" w:rsidRDefault="001B556E">
            <w:pPr>
              <w:pStyle w:val="Other10"/>
              <w:framePr w:w="9259" w:h="7637" w:wrap="none" w:vAnchor="page" w:hAnchor="page" w:x="1281" w:y="2475"/>
              <w:spacing w:after="0" w:line="240" w:lineRule="auto"/>
              <w:ind w:left="1380"/>
            </w:pPr>
            <w:r>
              <w:rPr>
                <w:b/>
                <w:bCs/>
              </w:rPr>
              <w:t xml:space="preserve">9 780 </w:t>
            </w:r>
            <w:proofErr w:type="spellStart"/>
            <w:r>
              <w:rPr>
                <w:b/>
                <w:bCs/>
              </w:rPr>
              <w:t>MWh</w:t>
            </w:r>
            <w:proofErr w:type="spellEnd"/>
          </w:p>
        </w:tc>
      </w:tr>
    </w:tbl>
    <w:p w14:paraId="40B88AB6" w14:textId="77777777" w:rsidR="000A2212" w:rsidRDefault="001B556E">
      <w:pPr>
        <w:pStyle w:val="Tablecaption10"/>
        <w:framePr w:wrap="none" w:vAnchor="page" w:hAnchor="page" w:x="1290" w:y="10333"/>
      </w:pPr>
      <w:r>
        <w:t xml:space="preserve">Rozdělení ročního množství dodávky 9 780 </w:t>
      </w:r>
      <w:proofErr w:type="spellStart"/>
      <w:r>
        <w:t>MWh</w:t>
      </w:r>
      <w:proofErr w:type="spellEnd"/>
      <w:r>
        <w:t xml:space="preserve"> na </w:t>
      </w:r>
      <w:r>
        <w:t>jednotlivé kalendářní měsíce roku 2025:</w:t>
      </w:r>
    </w:p>
    <w:tbl>
      <w:tblPr>
        <w:tblOverlap w:val="never"/>
        <w:tblW w:w="0" w:type="auto"/>
        <w:tblLayout w:type="fixed"/>
        <w:tblCellMar>
          <w:left w:w="10" w:type="dxa"/>
          <w:right w:w="10" w:type="dxa"/>
        </w:tblCellMar>
        <w:tblLook w:val="04A0" w:firstRow="1" w:lastRow="0" w:firstColumn="1" w:lastColumn="0" w:noHBand="0" w:noVBand="1"/>
      </w:tblPr>
      <w:tblGrid>
        <w:gridCol w:w="2314"/>
        <w:gridCol w:w="2304"/>
        <w:gridCol w:w="2304"/>
        <w:gridCol w:w="2323"/>
      </w:tblGrid>
      <w:tr w:rsidR="000A2212" w14:paraId="572BB95E" w14:textId="77777777">
        <w:tblPrEx>
          <w:tblCellMar>
            <w:top w:w="0" w:type="dxa"/>
            <w:bottom w:w="0" w:type="dxa"/>
          </w:tblCellMar>
        </w:tblPrEx>
        <w:trPr>
          <w:trHeight w:hRule="exact" w:val="528"/>
        </w:trPr>
        <w:tc>
          <w:tcPr>
            <w:tcW w:w="2314" w:type="dxa"/>
            <w:tcBorders>
              <w:top w:val="single" w:sz="4" w:space="0" w:color="auto"/>
              <w:left w:val="single" w:sz="4" w:space="0" w:color="auto"/>
            </w:tcBorders>
            <w:shd w:val="clear" w:color="auto" w:fill="FFFFFF"/>
            <w:vAlign w:val="center"/>
          </w:tcPr>
          <w:p w14:paraId="02AE46E8" w14:textId="77777777" w:rsidR="000A2212" w:rsidRDefault="001B556E">
            <w:pPr>
              <w:pStyle w:val="Other10"/>
              <w:framePr w:w="9245" w:h="3082" w:wrap="none" w:vAnchor="page" w:hAnchor="page" w:x="1290" w:y="10554"/>
              <w:spacing w:after="0" w:line="240" w:lineRule="auto"/>
              <w:jc w:val="center"/>
            </w:pPr>
            <w:r>
              <w:rPr>
                <w:b/>
                <w:bCs/>
              </w:rPr>
              <w:t>leden</w:t>
            </w:r>
          </w:p>
        </w:tc>
        <w:tc>
          <w:tcPr>
            <w:tcW w:w="2304" w:type="dxa"/>
            <w:tcBorders>
              <w:top w:val="single" w:sz="4" w:space="0" w:color="auto"/>
              <w:left w:val="single" w:sz="4" w:space="0" w:color="auto"/>
            </w:tcBorders>
            <w:shd w:val="clear" w:color="auto" w:fill="FFFFFF"/>
            <w:vAlign w:val="center"/>
          </w:tcPr>
          <w:p w14:paraId="72E2DD23" w14:textId="77777777" w:rsidR="000A2212" w:rsidRDefault="001B556E">
            <w:pPr>
              <w:pStyle w:val="Other10"/>
              <w:framePr w:w="9245" w:h="3082" w:wrap="none" w:vAnchor="page" w:hAnchor="page" w:x="1290" w:y="10554"/>
              <w:spacing w:after="0" w:line="240" w:lineRule="auto"/>
              <w:jc w:val="center"/>
            </w:pPr>
            <w:r>
              <w:rPr>
                <w:b/>
                <w:bCs/>
              </w:rPr>
              <w:t>1 124</w:t>
            </w:r>
          </w:p>
        </w:tc>
        <w:tc>
          <w:tcPr>
            <w:tcW w:w="2304" w:type="dxa"/>
            <w:tcBorders>
              <w:top w:val="single" w:sz="4" w:space="0" w:color="auto"/>
              <w:left w:val="single" w:sz="4" w:space="0" w:color="auto"/>
            </w:tcBorders>
            <w:shd w:val="clear" w:color="auto" w:fill="FFFFFF"/>
            <w:vAlign w:val="center"/>
          </w:tcPr>
          <w:p w14:paraId="044A8407" w14:textId="77777777" w:rsidR="000A2212" w:rsidRDefault="001B556E">
            <w:pPr>
              <w:pStyle w:val="Other10"/>
              <w:framePr w:w="9245" w:h="3082" w:wrap="none" w:vAnchor="page" w:hAnchor="page" w:x="1290" w:y="10554"/>
              <w:spacing w:after="0" w:line="240" w:lineRule="auto"/>
              <w:jc w:val="center"/>
            </w:pPr>
            <w:r>
              <w:rPr>
                <w:b/>
                <w:bCs/>
              </w:rPr>
              <w:t>červenec</w:t>
            </w:r>
          </w:p>
        </w:tc>
        <w:tc>
          <w:tcPr>
            <w:tcW w:w="2323" w:type="dxa"/>
            <w:tcBorders>
              <w:top w:val="single" w:sz="4" w:space="0" w:color="auto"/>
              <w:left w:val="single" w:sz="4" w:space="0" w:color="auto"/>
              <w:right w:val="single" w:sz="4" w:space="0" w:color="auto"/>
            </w:tcBorders>
            <w:shd w:val="clear" w:color="auto" w:fill="FFFFFF"/>
            <w:vAlign w:val="center"/>
          </w:tcPr>
          <w:p w14:paraId="39B7B1C6" w14:textId="77777777" w:rsidR="000A2212" w:rsidRDefault="001B556E">
            <w:pPr>
              <w:pStyle w:val="Other10"/>
              <w:framePr w:w="9245" w:h="3082" w:wrap="none" w:vAnchor="page" w:hAnchor="page" w:x="1290" w:y="10554"/>
              <w:spacing w:after="0" w:line="240" w:lineRule="auto"/>
              <w:jc w:val="center"/>
            </w:pPr>
            <w:r>
              <w:rPr>
                <w:b/>
                <w:bCs/>
              </w:rPr>
              <w:t>611</w:t>
            </w:r>
          </w:p>
        </w:tc>
      </w:tr>
      <w:tr w:rsidR="000A2212" w14:paraId="2732281A" w14:textId="77777777">
        <w:tblPrEx>
          <w:tblCellMar>
            <w:top w:w="0" w:type="dxa"/>
            <w:bottom w:w="0" w:type="dxa"/>
          </w:tblCellMar>
        </w:tblPrEx>
        <w:trPr>
          <w:trHeight w:hRule="exact" w:val="504"/>
        </w:trPr>
        <w:tc>
          <w:tcPr>
            <w:tcW w:w="2314" w:type="dxa"/>
            <w:tcBorders>
              <w:top w:val="single" w:sz="4" w:space="0" w:color="auto"/>
              <w:left w:val="single" w:sz="4" w:space="0" w:color="auto"/>
            </w:tcBorders>
            <w:shd w:val="clear" w:color="auto" w:fill="FFFFFF"/>
            <w:vAlign w:val="center"/>
          </w:tcPr>
          <w:p w14:paraId="43732D14" w14:textId="77777777" w:rsidR="000A2212" w:rsidRDefault="001B556E">
            <w:pPr>
              <w:pStyle w:val="Other10"/>
              <w:framePr w:w="9245" w:h="3082" w:wrap="none" w:vAnchor="page" w:hAnchor="page" w:x="1290" w:y="10554"/>
              <w:spacing w:after="0" w:line="240" w:lineRule="auto"/>
              <w:jc w:val="center"/>
            </w:pPr>
            <w:r>
              <w:rPr>
                <w:b/>
                <w:bCs/>
              </w:rPr>
              <w:t>únor</w:t>
            </w:r>
          </w:p>
        </w:tc>
        <w:tc>
          <w:tcPr>
            <w:tcW w:w="2304" w:type="dxa"/>
            <w:tcBorders>
              <w:top w:val="single" w:sz="4" w:space="0" w:color="auto"/>
              <w:left w:val="single" w:sz="4" w:space="0" w:color="auto"/>
            </w:tcBorders>
            <w:shd w:val="clear" w:color="auto" w:fill="FFFFFF"/>
            <w:vAlign w:val="center"/>
          </w:tcPr>
          <w:p w14:paraId="3495419E" w14:textId="77777777" w:rsidR="000A2212" w:rsidRDefault="001B556E">
            <w:pPr>
              <w:pStyle w:val="Other10"/>
              <w:framePr w:w="9245" w:h="3082" w:wrap="none" w:vAnchor="page" w:hAnchor="page" w:x="1290" w:y="10554"/>
              <w:spacing w:after="0" w:line="240" w:lineRule="auto"/>
              <w:jc w:val="center"/>
            </w:pPr>
            <w:r>
              <w:rPr>
                <w:b/>
                <w:bCs/>
              </w:rPr>
              <w:t>1 034</w:t>
            </w:r>
          </w:p>
        </w:tc>
        <w:tc>
          <w:tcPr>
            <w:tcW w:w="2304" w:type="dxa"/>
            <w:tcBorders>
              <w:top w:val="single" w:sz="4" w:space="0" w:color="auto"/>
              <w:left w:val="single" w:sz="4" w:space="0" w:color="auto"/>
            </w:tcBorders>
            <w:shd w:val="clear" w:color="auto" w:fill="FFFFFF"/>
            <w:vAlign w:val="center"/>
          </w:tcPr>
          <w:p w14:paraId="5D030CB5" w14:textId="77777777" w:rsidR="000A2212" w:rsidRDefault="001B556E">
            <w:pPr>
              <w:pStyle w:val="Other10"/>
              <w:framePr w:w="9245" w:h="3082" w:wrap="none" w:vAnchor="page" w:hAnchor="page" w:x="1290" w:y="10554"/>
              <w:spacing w:after="0" w:line="240" w:lineRule="auto"/>
              <w:jc w:val="center"/>
            </w:pPr>
            <w:r>
              <w:rPr>
                <w:b/>
                <w:bCs/>
              </w:rPr>
              <w:t>srpen</w:t>
            </w:r>
          </w:p>
        </w:tc>
        <w:tc>
          <w:tcPr>
            <w:tcW w:w="2323" w:type="dxa"/>
            <w:tcBorders>
              <w:top w:val="single" w:sz="4" w:space="0" w:color="auto"/>
              <w:left w:val="single" w:sz="4" w:space="0" w:color="auto"/>
              <w:right w:val="single" w:sz="4" w:space="0" w:color="auto"/>
            </w:tcBorders>
            <w:shd w:val="clear" w:color="auto" w:fill="FFFFFF"/>
            <w:vAlign w:val="center"/>
          </w:tcPr>
          <w:p w14:paraId="590B7270" w14:textId="77777777" w:rsidR="000A2212" w:rsidRDefault="001B556E">
            <w:pPr>
              <w:pStyle w:val="Other10"/>
              <w:framePr w:w="9245" w:h="3082" w:wrap="none" w:vAnchor="page" w:hAnchor="page" w:x="1290" w:y="10554"/>
              <w:spacing w:after="0" w:line="240" w:lineRule="auto"/>
              <w:jc w:val="center"/>
            </w:pPr>
            <w:r>
              <w:rPr>
                <w:b/>
                <w:bCs/>
              </w:rPr>
              <w:t>611</w:t>
            </w:r>
          </w:p>
        </w:tc>
      </w:tr>
      <w:tr w:rsidR="000A2212" w14:paraId="45A6DF8E" w14:textId="77777777">
        <w:tblPrEx>
          <w:tblCellMar>
            <w:top w:w="0" w:type="dxa"/>
            <w:bottom w:w="0" w:type="dxa"/>
          </w:tblCellMar>
        </w:tblPrEx>
        <w:trPr>
          <w:trHeight w:hRule="exact" w:val="509"/>
        </w:trPr>
        <w:tc>
          <w:tcPr>
            <w:tcW w:w="2314" w:type="dxa"/>
            <w:tcBorders>
              <w:top w:val="single" w:sz="4" w:space="0" w:color="auto"/>
              <w:left w:val="single" w:sz="4" w:space="0" w:color="auto"/>
            </w:tcBorders>
            <w:shd w:val="clear" w:color="auto" w:fill="FFFFFF"/>
            <w:vAlign w:val="center"/>
          </w:tcPr>
          <w:p w14:paraId="4A39391F" w14:textId="77777777" w:rsidR="000A2212" w:rsidRDefault="001B556E">
            <w:pPr>
              <w:pStyle w:val="Other10"/>
              <w:framePr w:w="9245" w:h="3082" w:wrap="none" w:vAnchor="page" w:hAnchor="page" w:x="1290" w:y="10554"/>
              <w:spacing w:after="0" w:line="240" w:lineRule="auto"/>
              <w:jc w:val="center"/>
            </w:pPr>
            <w:r>
              <w:rPr>
                <w:b/>
                <w:bCs/>
              </w:rPr>
              <w:t>březen</w:t>
            </w:r>
          </w:p>
        </w:tc>
        <w:tc>
          <w:tcPr>
            <w:tcW w:w="2304" w:type="dxa"/>
            <w:tcBorders>
              <w:top w:val="single" w:sz="4" w:space="0" w:color="auto"/>
              <w:left w:val="single" w:sz="4" w:space="0" w:color="auto"/>
            </w:tcBorders>
            <w:shd w:val="clear" w:color="auto" w:fill="FFFFFF"/>
            <w:vAlign w:val="center"/>
          </w:tcPr>
          <w:p w14:paraId="105145A3" w14:textId="77777777" w:rsidR="000A2212" w:rsidRDefault="001B556E">
            <w:pPr>
              <w:pStyle w:val="Other10"/>
              <w:framePr w:w="9245" w:h="3082" w:wrap="none" w:vAnchor="page" w:hAnchor="page" w:x="1290" w:y="10554"/>
              <w:spacing w:after="0" w:line="240" w:lineRule="auto"/>
              <w:jc w:val="center"/>
            </w:pPr>
            <w:r>
              <w:rPr>
                <w:b/>
                <w:bCs/>
              </w:rPr>
              <w:t>961</w:t>
            </w:r>
          </w:p>
        </w:tc>
        <w:tc>
          <w:tcPr>
            <w:tcW w:w="2304" w:type="dxa"/>
            <w:tcBorders>
              <w:top w:val="single" w:sz="4" w:space="0" w:color="auto"/>
              <w:left w:val="single" w:sz="4" w:space="0" w:color="auto"/>
            </w:tcBorders>
            <w:shd w:val="clear" w:color="auto" w:fill="FFFFFF"/>
            <w:vAlign w:val="center"/>
          </w:tcPr>
          <w:p w14:paraId="18E93CDC" w14:textId="77777777" w:rsidR="000A2212" w:rsidRDefault="001B556E">
            <w:pPr>
              <w:pStyle w:val="Other10"/>
              <w:framePr w:w="9245" w:h="3082" w:wrap="none" w:vAnchor="page" w:hAnchor="page" w:x="1290" w:y="10554"/>
              <w:spacing w:after="0" w:line="240" w:lineRule="auto"/>
              <w:jc w:val="center"/>
            </w:pPr>
            <w:r>
              <w:rPr>
                <w:b/>
                <w:bCs/>
              </w:rPr>
              <w:t>září</w:t>
            </w:r>
          </w:p>
        </w:tc>
        <w:tc>
          <w:tcPr>
            <w:tcW w:w="2323" w:type="dxa"/>
            <w:tcBorders>
              <w:top w:val="single" w:sz="4" w:space="0" w:color="auto"/>
              <w:left w:val="single" w:sz="4" w:space="0" w:color="auto"/>
              <w:right w:val="single" w:sz="4" w:space="0" w:color="auto"/>
            </w:tcBorders>
            <w:shd w:val="clear" w:color="auto" w:fill="FFFFFF"/>
            <w:vAlign w:val="center"/>
          </w:tcPr>
          <w:p w14:paraId="46D071B4" w14:textId="77777777" w:rsidR="000A2212" w:rsidRDefault="001B556E">
            <w:pPr>
              <w:pStyle w:val="Other10"/>
              <w:framePr w:w="9245" w:h="3082" w:wrap="none" w:vAnchor="page" w:hAnchor="page" w:x="1290" w:y="10554"/>
              <w:spacing w:after="0" w:line="240" w:lineRule="auto"/>
              <w:jc w:val="center"/>
            </w:pPr>
            <w:r>
              <w:rPr>
                <w:b/>
                <w:bCs/>
              </w:rPr>
              <w:t>632</w:t>
            </w:r>
          </w:p>
        </w:tc>
      </w:tr>
      <w:tr w:rsidR="000A2212" w14:paraId="3D068578" w14:textId="77777777">
        <w:tblPrEx>
          <w:tblCellMar>
            <w:top w:w="0" w:type="dxa"/>
            <w:bottom w:w="0" w:type="dxa"/>
          </w:tblCellMar>
        </w:tblPrEx>
        <w:trPr>
          <w:trHeight w:hRule="exact" w:val="504"/>
        </w:trPr>
        <w:tc>
          <w:tcPr>
            <w:tcW w:w="2314" w:type="dxa"/>
            <w:tcBorders>
              <w:top w:val="single" w:sz="4" w:space="0" w:color="auto"/>
              <w:left w:val="single" w:sz="4" w:space="0" w:color="auto"/>
            </w:tcBorders>
            <w:shd w:val="clear" w:color="auto" w:fill="FFFFFF"/>
            <w:vAlign w:val="center"/>
          </w:tcPr>
          <w:p w14:paraId="2DDB2A45" w14:textId="77777777" w:rsidR="000A2212" w:rsidRDefault="001B556E">
            <w:pPr>
              <w:pStyle w:val="Other10"/>
              <w:framePr w:w="9245" w:h="3082" w:wrap="none" w:vAnchor="page" w:hAnchor="page" w:x="1290" w:y="10554"/>
              <w:spacing w:after="0" w:line="240" w:lineRule="auto"/>
              <w:jc w:val="center"/>
            </w:pPr>
            <w:r>
              <w:rPr>
                <w:b/>
                <w:bCs/>
              </w:rPr>
              <w:t>duben</w:t>
            </w:r>
          </w:p>
        </w:tc>
        <w:tc>
          <w:tcPr>
            <w:tcW w:w="2304" w:type="dxa"/>
            <w:tcBorders>
              <w:top w:val="single" w:sz="4" w:space="0" w:color="auto"/>
              <w:left w:val="single" w:sz="4" w:space="0" w:color="auto"/>
            </w:tcBorders>
            <w:shd w:val="clear" w:color="auto" w:fill="FFFFFF"/>
            <w:vAlign w:val="center"/>
          </w:tcPr>
          <w:p w14:paraId="4BF1712F" w14:textId="77777777" w:rsidR="000A2212" w:rsidRDefault="001B556E">
            <w:pPr>
              <w:pStyle w:val="Other10"/>
              <w:framePr w:w="9245" w:h="3082" w:wrap="none" w:vAnchor="page" w:hAnchor="page" w:x="1290" w:y="10554"/>
              <w:spacing w:after="0" w:line="240" w:lineRule="auto"/>
              <w:jc w:val="center"/>
            </w:pPr>
            <w:r>
              <w:rPr>
                <w:b/>
                <w:bCs/>
              </w:rPr>
              <w:t>841</w:t>
            </w:r>
          </w:p>
        </w:tc>
        <w:tc>
          <w:tcPr>
            <w:tcW w:w="2304" w:type="dxa"/>
            <w:tcBorders>
              <w:top w:val="single" w:sz="4" w:space="0" w:color="auto"/>
              <w:left w:val="single" w:sz="4" w:space="0" w:color="auto"/>
            </w:tcBorders>
            <w:shd w:val="clear" w:color="auto" w:fill="FFFFFF"/>
            <w:vAlign w:val="center"/>
          </w:tcPr>
          <w:p w14:paraId="088FE2EE" w14:textId="77777777" w:rsidR="000A2212" w:rsidRDefault="001B556E">
            <w:pPr>
              <w:pStyle w:val="Other10"/>
              <w:framePr w:w="9245" w:h="3082" w:wrap="none" w:vAnchor="page" w:hAnchor="page" w:x="1290" w:y="10554"/>
              <w:spacing w:after="0" w:line="240" w:lineRule="auto"/>
              <w:jc w:val="center"/>
            </w:pPr>
            <w:r>
              <w:rPr>
                <w:b/>
                <w:bCs/>
              </w:rPr>
              <w:t>říjen</w:t>
            </w:r>
          </w:p>
        </w:tc>
        <w:tc>
          <w:tcPr>
            <w:tcW w:w="2323" w:type="dxa"/>
            <w:tcBorders>
              <w:top w:val="single" w:sz="4" w:space="0" w:color="auto"/>
              <w:left w:val="single" w:sz="4" w:space="0" w:color="auto"/>
              <w:right w:val="single" w:sz="4" w:space="0" w:color="auto"/>
            </w:tcBorders>
            <w:shd w:val="clear" w:color="auto" w:fill="FFFFFF"/>
            <w:vAlign w:val="center"/>
          </w:tcPr>
          <w:p w14:paraId="1301898C" w14:textId="77777777" w:rsidR="000A2212" w:rsidRDefault="001B556E">
            <w:pPr>
              <w:pStyle w:val="Other10"/>
              <w:framePr w:w="9245" w:h="3082" w:wrap="none" w:vAnchor="page" w:hAnchor="page" w:x="1290" w:y="10554"/>
              <w:spacing w:after="0" w:line="240" w:lineRule="auto"/>
              <w:jc w:val="center"/>
            </w:pPr>
            <w:r>
              <w:rPr>
                <w:b/>
                <w:bCs/>
              </w:rPr>
              <w:t>687</w:t>
            </w:r>
          </w:p>
        </w:tc>
      </w:tr>
      <w:tr w:rsidR="000A2212" w14:paraId="442CE2B9" w14:textId="77777777">
        <w:tblPrEx>
          <w:tblCellMar>
            <w:top w:w="0" w:type="dxa"/>
            <w:bottom w:w="0" w:type="dxa"/>
          </w:tblCellMar>
        </w:tblPrEx>
        <w:trPr>
          <w:trHeight w:hRule="exact" w:val="504"/>
        </w:trPr>
        <w:tc>
          <w:tcPr>
            <w:tcW w:w="2314" w:type="dxa"/>
            <w:tcBorders>
              <w:top w:val="single" w:sz="4" w:space="0" w:color="auto"/>
              <w:left w:val="single" w:sz="4" w:space="0" w:color="auto"/>
            </w:tcBorders>
            <w:shd w:val="clear" w:color="auto" w:fill="FFFFFF"/>
            <w:vAlign w:val="center"/>
          </w:tcPr>
          <w:p w14:paraId="3E3B1C9E" w14:textId="77777777" w:rsidR="000A2212" w:rsidRDefault="001B556E">
            <w:pPr>
              <w:pStyle w:val="Other10"/>
              <w:framePr w:w="9245" w:h="3082" w:wrap="none" w:vAnchor="page" w:hAnchor="page" w:x="1290" w:y="10554"/>
              <w:spacing w:after="0" w:line="240" w:lineRule="auto"/>
              <w:jc w:val="center"/>
            </w:pPr>
            <w:r>
              <w:rPr>
                <w:b/>
                <w:bCs/>
              </w:rPr>
              <w:t>květen</w:t>
            </w:r>
          </w:p>
        </w:tc>
        <w:tc>
          <w:tcPr>
            <w:tcW w:w="2304" w:type="dxa"/>
            <w:tcBorders>
              <w:top w:val="single" w:sz="4" w:space="0" w:color="auto"/>
              <w:left w:val="single" w:sz="4" w:space="0" w:color="auto"/>
            </w:tcBorders>
            <w:shd w:val="clear" w:color="auto" w:fill="FFFFFF"/>
            <w:vAlign w:val="center"/>
          </w:tcPr>
          <w:p w14:paraId="7CC5B2EF" w14:textId="77777777" w:rsidR="000A2212" w:rsidRDefault="001B556E">
            <w:pPr>
              <w:pStyle w:val="Other10"/>
              <w:framePr w:w="9245" w:h="3082" w:wrap="none" w:vAnchor="page" w:hAnchor="page" w:x="1290" w:y="10554"/>
              <w:spacing w:after="0" w:line="240" w:lineRule="auto"/>
              <w:jc w:val="center"/>
            </w:pPr>
            <w:r>
              <w:rPr>
                <w:b/>
                <w:bCs/>
              </w:rPr>
              <w:t>725</w:t>
            </w:r>
          </w:p>
        </w:tc>
        <w:tc>
          <w:tcPr>
            <w:tcW w:w="2304" w:type="dxa"/>
            <w:tcBorders>
              <w:top w:val="single" w:sz="4" w:space="0" w:color="auto"/>
              <w:left w:val="single" w:sz="4" w:space="0" w:color="auto"/>
            </w:tcBorders>
            <w:shd w:val="clear" w:color="auto" w:fill="FFFFFF"/>
            <w:vAlign w:val="center"/>
          </w:tcPr>
          <w:p w14:paraId="476E7D59" w14:textId="77777777" w:rsidR="000A2212" w:rsidRDefault="001B556E">
            <w:pPr>
              <w:pStyle w:val="Other10"/>
              <w:framePr w:w="9245" w:h="3082" w:wrap="none" w:vAnchor="page" w:hAnchor="page" w:x="1290" w:y="10554"/>
              <w:spacing w:after="0" w:line="240" w:lineRule="auto"/>
              <w:jc w:val="center"/>
            </w:pPr>
            <w:r>
              <w:rPr>
                <w:b/>
                <w:bCs/>
              </w:rPr>
              <w:t>listopad</w:t>
            </w:r>
          </w:p>
        </w:tc>
        <w:tc>
          <w:tcPr>
            <w:tcW w:w="2323" w:type="dxa"/>
            <w:tcBorders>
              <w:top w:val="single" w:sz="4" w:space="0" w:color="auto"/>
              <w:left w:val="single" w:sz="4" w:space="0" w:color="auto"/>
              <w:right w:val="single" w:sz="4" w:space="0" w:color="auto"/>
            </w:tcBorders>
            <w:shd w:val="clear" w:color="auto" w:fill="FFFFFF"/>
            <w:vAlign w:val="center"/>
          </w:tcPr>
          <w:p w14:paraId="74CBA95A" w14:textId="77777777" w:rsidR="000A2212" w:rsidRDefault="001B556E">
            <w:pPr>
              <w:pStyle w:val="Other10"/>
              <w:framePr w:w="9245" w:h="3082" w:wrap="none" w:vAnchor="page" w:hAnchor="page" w:x="1290" w:y="10554"/>
              <w:spacing w:after="0" w:line="240" w:lineRule="auto"/>
              <w:jc w:val="center"/>
            </w:pPr>
            <w:r>
              <w:rPr>
                <w:b/>
                <w:bCs/>
              </w:rPr>
              <w:t>849</w:t>
            </w:r>
          </w:p>
        </w:tc>
      </w:tr>
      <w:tr w:rsidR="000A2212" w14:paraId="0AC88DA6" w14:textId="77777777">
        <w:tblPrEx>
          <w:tblCellMar>
            <w:top w:w="0" w:type="dxa"/>
            <w:bottom w:w="0" w:type="dxa"/>
          </w:tblCellMar>
        </w:tblPrEx>
        <w:trPr>
          <w:trHeight w:hRule="exact" w:val="533"/>
        </w:trPr>
        <w:tc>
          <w:tcPr>
            <w:tcW w:w="2314" w:type="dxa"/>
            <w:tcBorders>
              <w:top w:val="single" w:sz="4" w:space="0" w:color="auto"/>
              <w:left w:val="single" w:sz="4" w:space="0" w:color="auto"/>
              <w:bottom w:val="single" w:sz="4" w:space="0" w:color="auto"/>
            </w:tcBorders>
            <w:shd w:val="clear" w:color="auto" w:fill="FFFFFF"/>
            <w:vAlign w:val="center"/>
          </w:tcPr>
          <w:p w14:paraId="0902A4F5" w14:textId="77777777" w:rsidR="000A2212" w:rsidRDefault="001B556E">
            <w:pPr>
              <w:pStyle w:val="Other10"/>
              <w:framePr w:w="9245" w:h="3082" w:wrap="none" w:vAnchor="page" w:hAnchor="page" w:x="1290" w:y="10554"/>
              <w:spacing w:after="0" w:line="240" w:lineRule="auto"/>
              <w:jc w:val="center"/>
            </w:pPr>
            <w:r>
              <w:rPr>
                <w:b/>
                <w:bCs/>
              </w:rPr>
              <w:t>červen</w:t>
            </w:r>
          </w:p>
        </w:tc>
        <w:tc>
          <w:tcPr>
            <w:tcW w:w="2304" w:type="dxa"/>
            <w:tcBorders>
              <w:top w:val="single" w:sz="4" w:space="0" w:color="auto"/>
              <w:left w:val="single" w:sz="4" w:space="0" w:color="auto"/>
              <w:bottom w:val="single" w:sz="4" w:space="0" w:color="auto"/>
            </w:tcBorders>
            <w:shd w:val="clear" w:color="auto" w:fill="FFFFFF"/>
            <w:vAlign w:val="center"/>
          </w:tcPr>
          <w:p w14:paraId="457F0500" w14:textId="77777777" w:rsidR="000A2212" w:rsidRDefault="001B556E">
            <w:pPr>
              <w:pStyle w:val="Other10"/>
              <w:framePr w:w="9245" w:h="3082" w:wrap="none" w:vAnchor="page" w:hAnchor="page" w:x="1290" w:y="10554"/>
              <w:spacing w:after="0" w:line="240" w:lineRule="auto"/>
              <w:jc w:val="center"/>
            </w:pPr>
            <w:r>
              <w:rPr>
                <w:b/>
                <w:bCs/>
              </w:rPr>
              <w:t>644</w:t>
            </w:r>
          </w:p>
        </w:tc>
        <w:tc>
          <w:tcPr>
            <w:tcW w:w="2304" w:type="dxa"/>
            <w:tcBorders>
              <w:top w:val="single" w:sz="4" w:space="0" w:color="auto"/>
              <w:left w:val="single" w:sz="4" w:space="0" w:color="auto"/>
              <w:bottom w:val="single" w:sz="4" w:space="0" w:color="auto"/>
            </w:tcBorders>
            <w:shd w:val="clear" w:color="auto" w:fill="FFFFFF"/>
            <w:vAlign w:val="center"/>
          </w:tcPr>
          <w:p w14:paraId="34EF9B1B" w14:textId="77777777" w:rsidR="000A2212" w:rsidRDefault="001B556E">
            <w:pPr>
              <w:pStyle w:val="Other10"/>
              <w:framePr w:w="9245" w:h="3082" w:wrap="none" w:vAnchor="page" w:hAnchor="page" w:x="1290" w:y="10554"/>
              <w:spacing w:after="0" w:line="240" w:lineRule="auto"/>
              <w:jc w:val="center"/>
            </w:pPr>
            <w:r>
              <w:rPr>
                <w:b/>
                <w:bCs/>
              </w:rPr>
              <w:t>prosinec</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center"/>
          </w:tcPr>
          <w:p w14:paraId="671E26EF" w14:textId="77777777" w:rsidR="000A2212" w:rsidRDefault="001B556E">
            <w:pPr>
              <w:pStyle w:val="Other10"/>
              <w:framePr w:w="9245" w:h="3082" w:wrap="none" w:vAnchor="page" w:hAnchor="page" w:x="1290" w:y="10554"/>
              <w:spacing w:after="0" w:line="240" w:lineRule="auto"/>
              <w:jc w:val="center"/>
            </w:pPr>
            <w:r>
              <w:rPr>
                <w:b/>
                <w:bCs/>
              </w:rPr>
              <w:t>1 061</w:t>
            </w:r>
          </w:p>
        </w:tc>
      </w:tr>
    </w:tbl>
    <w:p w14:paraId="4AEEBF38" w14:textId="77777777" w:rsidR="000A2212" w:rsidRDefault="001B556E">
      <w:pPr>
        <w:pStyle w:val="Tablecaption10"/>
        <w:framePr w:wrap="none" w:vAnchor="page" w:hAnchor="page" w:x="1276" w:y="13827"/>
        <w:tabs>
          <w:tab w:val="left" w:pos="7570"/>
        </w:tabs>
      </w:pPr>
      <w:r>
        <w:rPr>
          <w:u w:val="none"/>
        </w:rPr>
        <w:t xml:space="preserve">Jednotková kupní </w:t>
      </w:r>
      <w:proofErr w:type="gramStart"/>
      <w:r>
        <w:rPr>
          <w:u w:val="none"/>
        </w:rPr>
        <w:t>cena - jednotarif</w:t>
      </w:r>
      <w:proofErr w:type="gramEnd"/>
      <w:r>
        <w:rPr>
          <w:u w:val="none"/>
        </w:rPr>
        <w:t xml:space="preserve"> (bez DPH):</w:t>
      </w:r>
      <w:r>
        <w:rPr>
          <w:u w:val="none"/>
        </w:rPr>
        <w:tab/>
        <w:t>2 498 CZK/</w:t>
      </w:r>
      <w:proofErr w:type="spellStart"/>
      <w:r>
        <w:rPr>
          <w:u w:val="none"/>
        </w:rPr>
        <w:t>MWh</w:t>
      </w:r>
      <w:proofErr w:type="spellEnd"/>
    </w:p>
    <w:p w14:paraId="442A9DBC" w14:textId="77777777" w:rsidR="000A2212" w:rsidRDefault="001B556E">
      <w:pPr>
        <w:pStyle w:val="Bodytext10"/>
        <w:framePr w:wrap="none" w:vAnchor="page" w:hAnchor="page" w:x="1271" w:y="14514"/>
        <w:spacing w:after="0" w:line="240" w:lineRule="auto"/>
      </w:pPr>
      <w:r>
        <w:rPr>
          <w:b/>
          <w:bCs/>
        </w:rPr>
        <w:t>Vyhodnocení tolerance odběru:</w:t>
      </w:r>
    </w:p>
    <w:p w14:paraId="31F21FB2" w14:textId="77777777" w:rsidR="000A2212" w:rsidRDefault="001B556E">
      <w:pPr>
        <w:pStyle w:val="Bodytext10"/>
        <w:framePr w:wrap="none" w:vAnchor="page" w:hAnchor="page" w:x="4967" w:y="14523"/>
        <w:spacing w:after="0" w:line="240" w:lineRule="auto"/>
      </w:pPr>
      <w:r>
        <w:t>bez omezení</w:t>
      </w:r>
    </w:p>
    <w:p w14:paraId="30B6C6CF" w14:textId="77777777" w:rsidR="000A2212" w:rsidRDefault="001B556E">
      <w:pPr>
        <w:pStyle w:val="Bodytext10"/>
        <w:framePr w:wrap="none" w:vAnchor="page" w:hAnchor="page" w:x="1276" w:y="14975"/>
        <w:spacing w:after="0" w:line="240" w:lineRule="auto"/>
      </w:pPr>
      <w:r>
        <w:rPr>
          <w:b/>
          <w:bCs/>
        </w:rPr>
        <w:t>Toleranční pásmo:</w:t>
      </w:r>
    </w:p>
    <w:p w14:paraId="6EF5B030" w14:textId="77777777" w:rsidR="000A2212" w:rsidRDefault="001B556E">
      <w:pPr>
        <w:pStyle w:val="Bodytext10"/>
        <w:framePr w:w="9269" w:h="475" w:hRule="exact" w:wrap="none" w:vAnchor="page" w:hAnchor="page" w:x="1271" w:y="14984"/>
        <w:spacing w:after="0" w:line="240" w:lineRule="auto"/>
        <w:ind w:left="3686"/>
      </w:pPr>
      <w:r>
        <w:t>-- % nad množství uvedené v závěrkovém listu</w:t>
      </w:r>
    </w:p>
    <w:p w14:paraId="62751C18" w14:textId="77777777" w:rsidR="000A2212" w:rsidRDefault="001B556E">
      <w:pPr>
        <w:pStyle w:val="Bodytext10"/>
        <w:framePr w:w="9269" w:h="475" w:hRule="exact" w:wrap="none" w:vAnchor="page" w:hAnchor="page" w:x="1271" w:y="14984"/>
        <w:spacing w:after="0" w:line="240" w:lineRule="auto"/>
        <w:ind w:left="3686"/>
      </w:pPr>
      <w:r>
        <w:t>-- % pod množství uvedené v závěrkovém listu</w:t>
      </w:r>
    </w:p>
    <w:p w14:paraId="41C3ABE5" w14:textId="77777777" w:rsidR="000A2212" w:rsidRDefault="001B556E">
      <w:pPr>
        <w:pStyle w:val="Headerorfooter10"/>
        <w:framePr w:wrap="none" w:vAnchor="page" w:hAnchor="page" w:x="1281" w:y="15906"/>
      </w:pPr>
      <w:r>
        <w:t>Dodávka elektřiny v rámci SSDE v napěťové hladině vysokého napětí</w:t>
      </w:r>
    </w:p>
    <w:p w14:paraId="0AA64E9B" w14:textId="77777777" w:rsidR="000A2212" w:rsidRDefault="001B556E">
      <w:pPr>
        <w:pStyle w:val="Headerorfooter10"/>
        <w:framePr w:wrap="none" w:vAnchor="page" w:hAnchor="page" w:x="9167" w:y="15925"/>
      </w:pPr>
      <w:r>
        <w:t>Strana 1 (celkem 7)</w:t>
      </w:r>
    </w:p>
    <w:p w14:paraId="103F7170" w14:textId="77777777" w:rsidR="00070751" w:rsidRDefault="00070751" w:rsidP="00070751">
      <w:pPr>
        <w:pStyle w:val="Headerorfooter10"/>
        <w:framePr w:w="9221" w:h="283" w:hRule="exact" w:wrap="none" w:vAnchor="page" w:hAnchor="page" w:x="1295" w:y="1007"/>
        <w:tabs>
          <w:tab w:val="left" w:pos="1509"/>
        </w:tabs>
        <w:ind w:firstLine="760"/>
        <w:rPr>
          <w:sz w:val="10"/>
          <w:szCs w:val="10"/>
        </w:rPr>
      </w:pPr>
      <w:r>
        <w:rPr>
          <w:b/>
          <w:bCs/>
          <w:i w:val="0"/>
          <w:iCs w:val="0"/>
          <w:color w:val="405F91"/>
          <w:sz w:val="10"/>
          <w:szCs w:val="10"/>
        </w:rPr>
        <w:tab/>
      </w:r>
      <w:r>
        <w:rPr>
          <w:b/>
          <w:bCs/>
          <w:i w:val="0"/>
          <w:iCs w:val="0"/>
          <w:sz w:val="10"/>
          <w:szCs w:val="10"/>
        </w:rPr>
        <w:t>ČESKOMORAVSKÁ</w:t>
      </w:r>
    </w:p>
    <w:p w14:paraId="6CEF9347" w14:textId="77777777" w:rsidR="00070751" w:rsidRDefault="00070751" w:rsidP="00070751">
      <w:pPr>
        <w:pStyle w:val="Headerorfooter10"/>
        <w:framePr w:w="9221" w:h="283" w:hRule="exact" w:wrap="none" w:vAnchor="page" w:hAnchor="page" w:x="1295" w:y="1007"/>
        <w:ind w:left="1200"/>
        <w:rPr>
          <w:sz w:val="10"/>
          <w:szCs w:val="10"/>
        </w:rPr>
      </w:pPr>
      <w:r>
        <w:rPr>
          <w:b/>
          <w:bCs/>
          <w:i w:val="0"/>
          <w:iCs w:val="0"/>
          <w:sz w:val="10"/>
          <w:szCs w:val="10"/>
        </w:rPr>
        <w:t>KOMODITNÍ BURZA KLADNO</w:t>
      </w:r>
    </w:p>
    <w:p w14:paraId="29223EB1" w14:textId="77777777" w:rsidR="000A2212" w:rsidRDefault="000A2212">
      <w:pPr>
        <w:spacing w:line="1" w:lineRule="exact"/>
        <w:sectPr w:rsidR="000A2212">
          <w:pgSz w:w="11900" w:h="16840"/>
          <w:pgMar w:top="360" w:right="360" w:bottom="360" w:left="360" w:header="0" w:footer="3" w:gutter="0"/>
          <w:cols w:space="720"/>
          <w:noEndnote/>
          <w:docGrid w:linePitch="360"/>
        </w:sectPr>
      </w:pPr>
    </w:p>
    <w:p w14:paraId="21CBD07D" w14:textId="77777777" w:rsidR="000A2212" w:rsidRDefault="001B556E">
      <w:pPr>
        <w:spacing w:line="1" w:lineRule="exact"/>
      </w:pPr>
      <w:r>
        <w:rPr>
          <w:noProof/>
        </w:rPr>
        <w:lastRenderedPageBreak/>
        <mc:AlternateContent>
          <mc:Choice Requires="wps">
            <w:drawing>
              <wp:anchor distT="0" distB="0" distL="114300" distR="114300" simplePos="0" relativeHeight="251654656" behindDoc="1" locked="0" layoutInCell="1" allowOverlap="1" wp14:anchorId="73147D25" wp14:editId="7411EBB9">
                <wp:simplePos x="0" y="0"/>
                <wp:positionH relativeFrom="page">
                  <wp:posOffset>840105</wp:posOffset>
                </wp:positionH>
                <wp:positionV relativeFrom="page">
                  <wp:posOffset>10050780</wp:posOffset>
                </wp:positionV>
                <wp:extent cx="5848985" cy="0"/>
                <wp:effectExtent l="0" t="0" r="0" b="0"/>
                <wp:wrapNone/>
                <wp:docPr id="2" name="Shape 2"/>
                <wp:cNvGraphicFramePr/>
                <a:graphic xmlns:a="http://schemas.openxmlformats.org/drawingml/2006/main">
                  <a:graphicData uri="http://schemas.microsoft.com/office/word/2010/wordprocessingShape">
                    <wps:wsp>
                      <wps:cNvCnPr/>
                      <wps:spPr>
                        <a:xfrm>
                          <a:off x="0" y="0"/>
                          <a:ext cx="5848985" cy="0"/>
                        </a:xfrm>
                        <a:prstGeom prst="straightConnector1">
                          <a:avLst/>
                        </a:prstGeom>
                        <a:ln w="15240">
                          <a:solidFill/>
                        </a:ln>
                      </wps:spPr>
                      <wps:bodyPr/>
                    </wps:wsp>
                  </a:graphicData>
                </a:graphic>
              </wp:anchor>
            </w:drawing>
          </mc:Choice>
          <mc:Fallback>
            <w:pict>
              <v:shape o:spt="32" o:oned="true" path="m,l21600,21600e" style="position:absolute;margin-left:66.150000000000006pt;margin-top:791.39999999999998pt;width:460.55000000000001pt;height:0;z-index:-251658240;mso-position-horizontal-relative:page;mso-position-vertical-relative:page">
                <v:stroke weight="1.2pt"/>
              </v:shape>
            </w:pict>
          </mc:Fallback>
        </mc:AlternateContent>
      </w:r>
    </w:p>
    <w:p w14:paraId="230A0A21" w14:textId="77777777" w:rsidR="000A2212" w:rsidRDefault="001B556E">
      <w:pPr>
        <w:pStyle w:val="Headerorfooter10"/>
        <w:framePr w:w="9202" w:h="355" w:hRule="exact" w:wrap="none" w:vAnchor="page" w:hAnchor="page" w:x="1305" w:y="935"/>
        <w:ind w:firstLine="180"/>
        <w:rPr>
          <w:sz w:val="10"/>
          <w:szCs w:val="10"/>
        </w:rPr>
      </w:pPr>
      <w:r>
        <w:rPr>
          <w:b/>
          <w:bCs/>
          <w:i w:val="0"/>
          <w:iCs w:val="0"/>
          <w:color w:val="405F91"/>
          <w:sz w:val="10"/>
          <w:szCs w:val="10"/>
        </w:rPr>
        <w:t xml:space="preserve">WL/ k </w:t>
      </w:r>
      <w:r>
        <w:rPr>
          <w:b/>
          <w:bCs/>
          <w:i w:val="0"/>
          <w:iCs w:val="0"/>
          <w:sz w:val="10"/>
          <w:szCs w:val="10"/>
        </w:rPr>
        <w:t>ČESKOMORAVSKÁ</w:t>
      </w:r>
    </w:p>
    <w:p w14:paraId="533348BD" w14:textId="77777777" w:rsidR="000A2212" w:rsidRDefault="001B556E">
      <w:pPr>
        <w:pStyle w:val="Headerorfooter10"/>
        <w:framePr w:w="9202" w:h="355" w:hRule="exact" w:wrap="none" w:vAnchor="page" w:hAnchor="page" w:x="1305" w:y="935"/>
        <w:ind w:firstLine="180"/>
        <w:rPr>
          <w:sz w:val="10"/>
          <w:szCs w:val="10"/>
        </w:rPr>
      </w:pPr>
      <w:proofErr w:type="spellStart"/>
      <w:r>
        <w:rPr>
          <w:b/>
          <w:bCs/>
          <w:i w:val="0"/>
          <w:iCs w:val="0"/>
          <w:color w:val="405F91"/>
          <w:sz w:val="10"/>
          <w:szCs w:val="10"/>
        </w:rPr>
        <w:t>Wj</w:t>
      </w:r>
      <w:proofErr w:type="spellEnd"/>
      <w:r>
        <w:rPr>
          <w:b/>
          <w:bCs/>
          <w:i w:val="0"/>
          <w:iCs w:val="0"/>
          <w:color w:val="405F91"/>
          <w:sz w:val="10"/>
          <w:szCs w:val="10"/>
        </w:rPr>
        <w:t xml:space="preserve">* </w:t>
      </w:r>
      <w:r>
        <w:rPr>
          <w:b/>
          <w:bCs/>
          <w:i w:val="0"/>
          <w:iCs w:val="0"/>
          <w:sz w:val="10"/>
          <w:szCs w:val="10"/>
        </w:rPr>
        <w:t>KOMODITNÍ BURZA KLADNO</w:t>
      </w:r>
    </w:p>
    <w:p w14:paraId="717A4FB3" w14:textId="77777777" w:rsidR="000A2212" w:rsidRDefault="001B556E">
      <w:pPr>
        <w:pStyle w:val="Bodytext10"/>
        <w:framePr w:w="9221" w:h="13579" w:hRule="exact" w:wrap="none" w:vAnchor="page" w:hAnchor="page" w:x="1295" w:y="1530"/>
      </w:pPr>
      <w:r>
        <w:rPr>
          <w:b/>
          <w:bCs/>
          <w:u w:val="single"/>
        </w:rPr>
        <w:t>Zúčtovací podmínky</w:t>
      </w:r>
    </w:p>
    <w:p w14:paraId="7C508C72" w14:textId="77777777" w:rsidR="000A2212" w:rsidRDefault="001B556E">
      <w:pPr>
        <w:pStyle w:val="Bodytext10"/>
        <w:framePr w:w="9221" w:h="13579" w:hRule="exact" w:wrap="none" w:vAnchor="page" w:hAnchor="page" w:x="1295" w:y="1530"/>
        <w:tabs>
          <w:tab w:val="left" w:pos="3626"/>
        </w:tabs>
      </w:pPr>
      <w:r>
        <w:rPr>
          <w:b/>
          <w:bCs/>
        </w:rPr>
        <w:t>Zúčtovací období:</w:t>
      </w:r>
      <w:r>
        <w:rPr>
          <w:b/>
          <w:bCs/>
        </w:rPr>
        <w:tab/>
      </w:r>
      <w:r>
        <w:t>měsíc</w:t>
      </w:r>
    </w:p>
    <w:p w14:paraId="3928EC86" w14:textId="77777777" w:rsidR="000A2212" w:rsidRDefault="001B556E">
      <w:pPr>
        <w:pStyle w:val="Bodytext10"/>
        <w:framePr w:w="9221" w:h="13579" w:hRule="exact" w:wrap="none" w:vAnchor="page" w:hAnchor="page" w:x="1295" w:y="1530"/>
        <w:tabs>
          <w:tab w:val="left" w:pos="3626"/>
        </w:tabs>
      </w:pPr>
      <w:r>
        <w:rPr>
          <w:b/>
          <w:bCs/>
        </w:rPr>
        <w:t>Splatnost zúčtovací faktury:</w:t>
      </w:r>
      <w:r>
        <w:rPr>
          <w:b/>
          <w:bCs/>
        </w:rPr>
        <w:tab/>
      </w:r>
      <w:r>
        <w:t>21 dní</w:t>
      </w:r>
    </w:p>
    <w:p w14:paraId="720694F0" w14:textId="77777777" w:rsidR="000A2212" w:rsidRDefault="001B556E">
      <w:pPr>
        <w:pStyle w:val="Bodytext10"/>
        <w:framePr w:w="9221" w:h="13579" w:hRule="exact" w:wrap="none" w:vAnchor="page" w:hAnchor="page" w:x="1295" w:y="1530"/>
      </w:pPr>
      <w:r>
        <w:rPr>
          <w:b/>
          <w:bCs/>
        </w:rPr>
        <w:t xml:space="preserve">Zálohy v průběhu zúčtovacího období: </w:t>
      </w:r>
      <w:r>
        <w:t>bez záloh</w:t>
      </w:r>
    </w:p>
    <w:p w14:paraId="018CA73D" w14:textId="77777777" w:rsidR="000A2212" w:rsidRDefault="001B556E">
      <w:pPr>
        <w:pStyle w:val="Bodytext10"/>
        <w:framePr w:w="9221" w:h="13579" w:hRule="exact" w:wrap="none" w:vAnchor="page" w:hAnchor="page" w:x="1295" w:y="1530"/>
      </w:pPr>
      <w:r>
        <w:rPr>
          <w:b/>
          <w:bCs/>
          <w:u w:val="single"/>
        </w:rPr>
        <w:t>Ostatní podmínky:</w:t>
      </w:r>
    </w:p>
    <w:p w14:paraId="0BF87FF1" w14:textId="77777777" w:rsidR="000A2212" w:rsidRDefault="001B556E">
      <w:pPr>
        <w:pStyle w:val="Bodytext10"/>
        <w:framePr w:w="9221" w:h="13579" w:hRule="exact" w:wrap="none" w:vAnchor="page" w:hAnchor="page" w:x="1295" w:y="1530"/>
      </w:pPr>
      <w:r>
        <w:t>Není-li níže uvedeno jinak, bude dodavatel odběrateli účtovat dodávku samostatnou fakturou v elektronické podobě ve formátu PDF za každé odběrné místo zvlášť.</w:t>
      </w:r>
    </w:p>
    <w:p w14:paraId="5750FD8B" w14:textId="77777777" w:rsidR="000A2212" w:rsidRDefault="001B556E">
      <w:pPr>
        <w:pStyle w:val="Bodytext10"/>
        <w:framePr w:w="9221" w:h="13579" w:hRule="exact" w:wrap="none" w:vAnchor="page" w:hAnchor="page" w:x="1295" w:y="1530"/>
        <w:spacing w:after="0"/>
      </w:pPr>
      <w:r>
        <w:t>Dodavatel je povinen na výslovné vyžádání jednotlivého odběratele:</w:t>
      </w:r>
    </w:p>
    <w:p w14:paraId="591B9D4A" w14:textId="77777777" w:rsidR="000A2212" w:rsidRDefault="001B556E">
      <w:pPr>
        <w:pStyle w:val="Bodytext10"/>
        <w:framePr w:w="9221" w:h="13579" w:hRule="exact" w:wrap="none" w:vAnchor="page" w:hAnchor="page" w:x="1295" w:y="1530"/>
      </w:pPr>
      <w:r>
        <w:t>• namísto faktury za každé jednotlivé odběrné místo používat sloučenou fakturu s rozpisem jednotlivých odběrných míst.</w:t>
      </w:r>
    </w:p>
    <w:p w14:paraId="136E15AC" w14:textId="77777777" w:rsidR="000A2212" w:rsidRDefault="001B556E">
      <w:pPr>
        <w:pStyle w:val="Bodytext10"/>
        <w:framePr w:w="9221" w:h="13579" w:hRule="exact" w:wrap="none" w:vAnchor="page" w:hAnchor="page" w:x="1295" w:y="1530"/>
      </w:pPr>
      <w:r>
        <w:t>Odběratel je oprávněn uplatnit u dodavatele požadavek na změnu výše Roční rezervované kapacity (RRK) v rámci energetických předpisů.</w:t>
      </w:r>
    </w:p>
    <w:p w14:paraId="01422FA5" w14:textId="77777777" w:rsidR="000A2212" w:rsidRDefault="001B556E">
      <w:pPr>
        <w:pStyle w:val="Bodytext10"/>
        <w:framePr w:w="9221" w:h="13579" w:hRule="exact" w:wrap="none" w:vAnchor="page" w:hAnchor="page" w:x="1295" w:y="1530"/>
      </w:pPr>
      <w:r>
        <w:t>Odběratel je oprávněn uplatnit u dodavatele požadavek na zajištění Měsíční rezervované kapacity na příslušný kalendářní měsíc v rámci příslušných energetických předpisů.</w:t>
      </w:r>
    </w:p>
    <w:p w14:paraId="632A7D58" w14:textId="77777777" w:rsidR="000A2212" w:rsidRDefault="001B556E">
      <w:pPr>
        <w:pStyle w:val="Bodytext10"/>
        <w:framePr w:w="9221" w:h="13579" w:hRule="exact" w:wrap="none" w:vAnchor="page" w:hAnchor="page" w:x="1295" w:y="1530"/>
      </w:pPr>
      <w:r>
        <w:t>Dodavatel je povinen po ukončení dodávky poskytnout odběrateli bezplatně odběrový diagram (profil spotřeb) ve formátu .</w:t>
      </w:r>
      <w:proofErr w:type="spellStart"/>
      <w:r>
        <w:t>xls</w:t>
      </w:r>
      <w:proofErr w:type="spellEnd"/>
      <w:r>
        <w:t xml:space="preserve"> za všechna odběrná místa.</w:t>
      </w:r>
    </w:p>
    <w:p w14:paraId="70177FD8" w14:textId="77777777" w:rsidR="000A2212" w:rsidRDefault="001B556E">
      <w:pPr>
        <w:pStyle w:val="Bodytext10"/>
        <w:framePr w:w="9221" w:h="13579" w:hRule="exact" w:wrap="none" w:vAnchor="page" w:hAnchor="page" w:x="1295" w:y="1530"/>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14:paraId="509075D5" w14:textId="77777777" w:rsidR="000A2212" w:rsidRDefault="001B556E">
      <w:pPr>
        <w:pStyle w:val="Bodytext10"/>
        <w:framePr w:w="9221" w:h="13579" w:hRule="exact" w:wrap="none" w:vAnchor="page" w:hAnchor="page" w:x="1295" w:y="1530"/>
      </w:pPr>
      <w:r>
        <w:t>Odběratel je oprávněn zveřejnit závěrkový list ve veřejně přístupných evidencích.</w:t>
      </w:r>
    </w:p>
    <w:p w14:paraId="510549AA" w14:textId="7DE5252B" w:rsidR="000A2212" w:rsidRDefault="001B556E">
      <w:pPr>
        <w:pStyle w:val="Bodytext10"/>
        <w:framePr w:w="9221" w:h="13579" w:hRule="exact" w:wrap="none" w:vAnchor="page" w:hAnchor="page" w:x="1295" w:y="1530"/>
        <w:spacing w:after="0"/>
      </w:pPr>
      <w:r>
        <w:t xml:space="preserve">Dodavatel je povinen po skončení dodávky poskytnout data o odběrech a fakturaci na všech odběrných místech v elektronické podobě ve formátu XLS do 31.1.2026 centrálnímu zadavateli, Ministerstvu kultury ČR na e-mailovou adresu </w:t>
      </w:r>
      <w:r w:rsidR="00B467C4" w:rsidRPr="00B467C4">
        <w:t>XXXXXXXXXXXXXX</w:t>
      </w:r>
      <w:r>
        <w:t xml:space="preserve"> a v kopii na adresu </w:t>
      </w:r>
      <w:r w:rsidR="00B467C4">
        <w:t xml:space="preserve">XXXXXXXXXXXX. </w:t>
      </w:r>
    </w:p>
    <w:p w14:paraId="52E7DE11" w14:textId="77777777" w:rsidR="000A2212" w:rsidRDefault="001B556E">
      <w:pPr>
        <w:pStyle w:val="Bodytext10"/>
        <w:framePr w:w="9221" w:h="13579" w:hRule="exact" w:wrap="none" w:vAnchor="page" w:hAnchor="page" w:x="1295" w:y="1530"/>
        <w:spacing w:after="0"/>
      </w:pPr>
      <w:r>
        <w:t xml:space="preserve">Odběratel je oprávněn požadovat po dodavateli zahájení dodávky </w:t>
      </w:r>
      <w:r>
        <w:t xml:space="preserve">elektřiny i do odběrného místa, které po uzavření burzovního obchodu (závěrkového listu) zřídí nově. V takovém případě je dodavatel povinen zahájit dodávku elektřiny za cenu a za podmínek uzavřeného burzovního obchodu. Dodavatel je oprávněn odmítnout zahájení dodávky pouze v případě, že roční množství dodávky silové elektřiny do nově zřízeného odběrného místa (odběrných míst) </w:t>
      </w:r>
      <w:proofErr w:type="gramStart"/>
      <w:r>
        <w:t>překročí</w:t>
      </w:r>
      <w:proofErr w:type="gramEnd"/>
      <w:r>
        <w:t xml:space="preserve"> 10 % celkového ročního množství dodávky, sjednaného pro odběratele burzovním obchodem (závěrkovým listem).</w:t>
      </w:r>
    </w:p>
    <w:p w14:paraId="243F0DD1" w14:textId="77777777" w:rsidR="000A2212" w:rsidRDefault="001B556E">
      <w:pPr>
        <w:pStyle w:val="Bodytext10"/>
        <w:framePr w:w="9221" w:h="13579" w:hRule="exact" w:wrap="none" w:vAnchor="page" w:hAnchor="page" w:x="1295" w:y="1530"/>
      </w:pPr>
      <w:r>
        <w:t>Dodavatel je povinen nejpozději ke dni zahájení dodávek zpřístupnit odběrateli a jím určeným osobám, a dále po celou dobu plnění burzovního obchodu (závěrkového listu) udržovat nepřetržitý zabezpečený přístup do elektronického zákaznického portálu dodavatele, který bude přístupný z webových stránek dodavatele. Tento zákaznický portál bude ošetřen hesly a musí umožňovat nepřetržité nahlížení do údajů o místech spotřeby, náhledy do historie spotřeby, historie plateb, přehledu záloh, faktur, apod, a elektronic</w:t>
      </w:r>
      <w:r>
        <w:t>kou komunikaci s dodavatelem.</w:t>
      </w:r>
    </w:p>
    <w:p w14:paraId="2201C406" w14:textId="77777777" w:rsidR="000A2212" w:rsidRDefault="001B556E">
      <w:pPr>
        <w:pStyle w:val="Heading310"/>
        <w:framePr w:w="9221" w:h="13579" w:hRule="exact" w:wrap="none" w:vAnchor="page" w:hAnchor="page" w:x="1295" w:y="1530"/>
      </w:pPr>
      <w:bookmarkStart w:id="3" w:name="bookmark3"/>
      <w:bookmarkStart w:id="4" w:name="bookmark4"/>
      <w:bookmarkStart w:id="5" w:name="bookmark5"/>
      <w:r>
        <w:t>Dodací podmínky</w:t>
      </w:r>
      <w:bookmarkEnd w:id="3"/>
      <w:bookmarkEnd w:id="4"/>
      <w:bookmarkEnd w:id="5"/>
    </w:p>
    <w:p w14:paraId="38C9DD64" w14:textId="77777777" w:rsidR="000A2212" w:rsidRDefault="001B556E">
      <w:pPr>
        <w:pStyle w:val="Bodytext10"/>
        <w:framePr w:w="9221" w:h="13579" w:hRule="exact" w:wrap="none" w:vAnchor="page" w:hAnchor="page" w:x="1295" w:y="1530"/>
        <w:numPr>
          <w:ilvl w:val="0"/>
          <w:numId w:val="1"/>
        </w:numPr>
        <w:tabs>
          <w:tab w:val="left" w:pos="265"/>
        </w:tabs>
        <w:spacing w:after="0" w:line="240" w:lineRule="auto"/>
      </w:pPr>
      <w:bookmarkStart w:id="6" w:name="bookmark6"/>
      <w:bookmarkEnd w:id="6"/>
      <w:r>
        <w:t>Dodavatel je povinen dodávat sjednané množství silové elektřiny do odběrného místa odběratele,</w:t>
      </w:r>
    </w:p>
    <w:p w14:paraId="333F1C8C" w14:textId="77777777" w:rsidR="000A2212" w:rsidRDefault="001B556E">
      <w:pPr>
        <w:pStyle w:val="Bodytext10"/>
        <w:framePr w:w="9221" w:h="13579" w:hRule="exact" w:wrap="none" w:vAnchor="page" w:hAnchor="page" w:x="1295" w:y="1530"/>
        <w:spacing w:line="240" w:lineRule="auto"/>
        <w:ind w:left="220"/>
      </w:pPr>
      <w:r>
        <w:t>v rozsahu a za podmínek uzavřeného burzovního obchodu (závěrkového listu) v kvalitě podle příslušných platných právních předpisů, pokud tomu nebrání okolnosti vyvolané provozovatelem distribuční soustavy nebo okolnosti stanovené právními předpisy.</w:t>
      </w:r>
    </w:p>
    <w:p w14:paraId="1736EAD2" w14:textId="77777777" w:rsidR="000A2212" w:rsidRDefault="001B556E">
      <w:pPr>
        <w:pStyle w:val="Bodytext10"/>
        <w:framePr w:w="9221" w:h="13579" w:hRule="exact" w:wrap="none" w:vAnchor="page" w:hAnchor="page" w:x="1295" w:y="1530"/>
        <w:numPr>
          <w:ilvl w:val="0"/>
          <w:numId w:val="1"/>
        </w:numPr>
        <w:tabs>
          <w:tab w:val="left" w:pos="274"/>
        </w:tabs>
        <w:spacing w:after="0"/>
        <w:ind w:left="220" w:hanging="220"/>
      </w:pPr>
      <w:bookmarkStart w:id="7" w:name="bookmark7"/>
      <w:bookmarkEnd w:id="7"/>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14:paraId="30DB4A77" w14:textId="77777777" w:rsidR="000A2212" w:rsidRDefault="001B556E">
      <w:pPr>
        <w:pStyle w:val="Headerorfooter10"/>
        <w:framePr w:wrap="none" w:vAnchor="page" w:hAnchor="page" w:x="1305" w:y="15829"/>
      </w:pPr>
      <w:r>
        <w:t>Dodávka elektřiny v rámci SSDE v napěťové hladině vysokého napětí</w:t>
      </w:r>
    </w:p>
    <w:p w14:paraId="67C47857" w14:textId="77777777" w:rsidR="000A2212" w:rsidRDefault="001B556E">
      <w:pPr>
        <w:pStyle w:val="Headerorfooter10"/>
        <w:framePr w:wrap="none" w:vAnchor="page" w:hAnchor="page" w:x="9182" w:y="15834"/>
      </w:pPr>
      <w:r>
        <w:t>Strana 2 (celkem 7)</w:t>
      </w:r>
    </w:p>
    <w:p w14:paraId="77499BE3" w14:textId="77777777" w:rsidR="000A2212" w:rsidRDefault="000A2212">
      <w:pPr>
        <w:spacing w:line="1" w:lineRule="exact"/>
        <w:sectPr w:rsidR="000A2212">
          <w:pgSz w:w="11900" w:h="16840"/>
          <w:pgMar w:top="360" w:right="360" w:bottom="360" w:left="360" w:header="0" w:footer="3" w:gutter="0"/>
          <w:cols w:space="720"/>
          <w:noEndnote/>
          <w:docGrid w:linePitch="360"/>
        </w:sectPr>
      </w:pPr>
    </w:p>
    <w:p w14:paraId="5DEE3E16" w14:textId="77777777" w:rsidR="000A2212" w:rsidRDefault="001B556E">
      <w:pPr>
        <w:spacing w:line="1" w:lineRule="exact"/>
      </w:pPr>
      <w:r>
        <w:rPr>
          <w:noProof/>
        </w:rPr>
        <w:lastRenderedPageBreak/>
        <mc:AlternateContent>
          <mc:Choice Requires="wps">
            <w:drawing>
              <wp:anchor distT="0" distB="0" distL="114300" distR="114300" simplePos="0" relativeHeight="251655680" behindDoc="1" locked="0" layoutInCell="1" allowOverlap="1" wp14:anchorId="6E8D1F00" wp14:editId="36EB3A83">
                <wp:simplePos x="0" y="0"/>
                <wp:positionH relativeFrom="page">
                  <wp:posOffset>846455</wp:posOffset>
                </wp:positionH>
                <wp:positionV relativeFrom="page">
                  <wp:posOffset>10099675</wp:posOffset>
                </wp:positionV>
                <wp:extent cx="5857875" cy="0"/>
                <wp:effectExtent l="0" t="0" r="0" b="0"/>
                <wp:wrapNone/>
                <wp:docPr id="3" name="Shape 3"/>
                <wp:cNvGraphicFramePr/>
                <a:graphic xmlns:a="http://schemas.openxmlformats.org/drawingml/2006/main">
                  <a:graphicData uri="http://schemas.microsoft.com/office/word/2010/wordprocessingShape">
                    <wps:wsp>
                      <wps:cNvCnPr/>
                      <wps:spPr>
                        <a:xfrm>
                          <a:off x="0" y="0"/>
                          <a:ext cx="5857875" cy="0"/>
                        </a:xfrm>
                        <a:prstGeom prst="straightConnector1">
                          <a:avLst/>
                        </a:prstGeom>
                        <a:ln w="15240">
                          <a:solidFill/>
                        </a:ln>
                      </wps:spPr>
                      <wps:bodyPr/>
                    </wps:wsp>
                  </a:graphicData>
                </a:graphic>
              </wp:anchor>
            </w:drawing>
          </mc:Choice>
          <mc:Fallback>
            <w:pict>
              <v:shape o:spt="32" o:oned="true" path="m,l21600,21600e" style="position:absolute;margin-left:66.650000000000006pt;margin-top:795.25pt;width:461.25pt;height:0;z-index:-251658240;mso-position-horizontal-relative:page;mso-position-vertical-relative:page">
                <v:stroke weight="1.2pt"/>
              </v:shape>
            </w:pict>
          </mc:Fallback>
        </mc:AlternateContent>
      </w:r>
    </w:p>
    <w:p w14:paraId="17D0BE1E" w14:textId="16D534BB" w:rsidR="000A2212" w:rsidRDefault="001B556E">
      <w:pPr>
        <w:pStyle w:val="Headerorfooter10"/>
        <w:framePr w:w="9221" w:h="283" w:hRule="exact" w:wrap="none" w:vAnchor="page" w:hAnchor="page" w:x="1295" w:y="1007"/>
        <w:tabs>
          <w:tab w:val="left" w:pos="1509"/>
        </w:tabs>
        <w:ind w:firstLine="760"/>
        <w:rPr>
          <w:sz w:val="10"/>
          <w:szCs w:val="10"/>
        </w:rPr>
      </w:pPr>
      <w:r>
        <w:rPr>
          <w:b/>
          <w:bCs/>
          <w:i w:val="0"/>
          <w:iCs w:val="0"/>
          <w:color w:val="405F91"/>
          <w:sz w:val="10"/>
          <w:szCs w:val="10"/>
        </w:rPr>
        <w:tab/>
      </w:r>
      <w:r>
        <w:rPr>
          <w:b/>
          <w:bCs/>
          <w:i w:val="0"/>
          <w:iCs w:val="0"/>
          <w:sz w:val="10"/>
          <w:szCs w:val="10"/>
        </w:rPr>
        <w:t>ČESKOMORAVSKÁ</w:t>
      </w:r>
    </w:p>
    <w:p w14:paraId="3E1A3C7F" w14:textId="77777777" w:rsidR="000A2212" w:rsidRDefault="001B556E">
      <w:pPr>
        <w:pStyle w:val="Headerorfooter10"/>
        <w:framePr w:w="9221" w:h="283" w:hRule="exact" w:wrap="none" w:vAnchor="page" w:hAnchor="page" w:x="1295" w:y="1007"/>
        <w:ind w:left="1200"/>
        <w:rPr>
          <w:sz w:val="10"/>
          <w:szCs w:val="10"/>
        </w:rPr>
      </w:pPr>
      <w:r>
        <w:rPr>
          <w:b/>
          <w:bCs/>
          <w:i w:val="0"/>
          <w:iCs w:val="0"/>
          <w:sz w:val="10"/>
          <w:szCs w:val="10"/>
        </w:rPr>
        <w:t>KOMODITNÍ BURZA KLADNO</w:t>
      </w:r>
    </w:p>
    <w:p w14:paraId="0F8FA570" w14:textId="77777777" w:rsidR="000A2212" w:rsidRDefault="001B556E">
      <w:pPr>
        <w:pStyle w:val="Bodytext10"/>
        <w:framePr w:w="9221" w:h="13819" w:hRule="exact" w:wrap="none" w:vAnchor="page" w:hAnchor="page" w:x="1295" w:y="1602"/>
        <w:numPr>
          <w:ilvl w:val="0"/>
          <w:numId w:val="1"/>
        </w:numPr>
        <w:tabs>
          <w:tab w:val="left" w:pos="265"/>
        </w:tabs>
        <w:ind w:left="220" w:hanging="220"/>
      </w:pPr>
      <w:bookmarkStart w:id="8" w:name="bookmark8"/>
      <w:bookmarkEnd w:id="8"/>
      <w:r>
        <w:t>Dodávka silové elektřiny se uskutečňuje v napěťové hladině vysokého napětí v souladu s hodnotou rezervované kapacity a rezervovaného příkonu.</w:t>
      </w:r>
    </w:p>
    <w:p w14:paraId="14CA703D" w14:textId="77777777" w:rsidR="000A2212" w:rsidRDefault="001B556E">
      <w:pPr>
        <w:pStyle w:val="Bodytext10"/>
        <w:framePr w:w="9221" w:h="13819" w:hRule="exact" w:wrap="none" w:vAnchor="page" w:hAnchor="page" w:x="1295" w:y="1602"/>
        <w:numPr>
          <w:ilvl w:val="0"/>
          <w:numId w:val="1"/>
        </w:numPr>
        <w:tabs>
          <w:tab w:val="left" w:pos="279"/>
        </w:tabs>
        <w:ind w:left="220" w:hanging="220"/>
      </w:pPr>
      <w:bookmarkStart w:id="9" w:name="bookmark9"/>
      <w:bookmarkEnd w:id="9"/>
      <w:r>
        <w:t>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354090A1" w14:textId="77777777" w:rsidR="000A2212" w:rsidRDefault="001B556E">
      <w:pPr>
        <w:pStyle w:val="Bodytext10"/>
        <w:framePr w:w="9221" w:h="13819" w:hRule="exact" w:wrap="none" w:vAnchor="page" w:hAnchor="page" w:x="1295" w:y="1602"/>
        <w:numPr>
          <w:ilvl w:val="0"/>
          <w:numId w:val="1"/>
        </w:numPr>
        <w:tabs>
          <w:tab w:val="left" w:pos="279"/>
        </w:tabs>
        <w:ind w:left="220" w:hanging="220"/>
      </w:pPr>
      <w:bookmarkStart w:id="10" w:name="bookmark10"/>
      <w:bookmarkEnd w:id="10"/>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14:paraId="08F93A5F" w14:textId="77777777" w:rsidR="000A2212" w:rsidRDefault="001B556E">
      <w:pPr>
        <w:pStyle w:val="Bodytext10"/>
        <w:framePr w:w="9221" w:h="13819" w:hRule="exact" w:wrap="none" w:vAnchor="page" w:hAnchor="page" w:x="1295" w:y="1602"/>
        <w:numPr>
          <w:ilvl w:val="0"/>
          <w:numId w:val="1"/>
        </w:numPr>
        <w:tabs>
          <w:tab w:val="left" w:pos="279"/>
        </w:tabs>
        <w:spacing w:after="0"/>
        <w:ind w:left="220" w:hanging="220"/>
      </w:pPr>
      <w:bookmarkStart w:id="11" w:name="bookmark11"/>
      <w:bookmarkEnd w:id="11"/>
      <w:r>
        <w:t>Odběratel uzavřením burzovního obchodu souhlasí, aby dodavatel uzavřel s provozovatelem distribuční soustavy smlouvu o distribuci elektřiny do odběrného místa a dále je povinen poskytnout dodavateli</w:t>
      </w:r>
    </w:p>
    <w:p w14:paraId="5C4105BC" w14:textId="77777777" w:rsidR="000A2212" w:rsidRDefault="001B556E">
      <w:pPr>
        <w:pStyle w:val="Bodytext10"/>
        <w:framePr w:w="9221" w:h="13819" w:hRule="exact" w:wrap="none" w:vAnchor="page" w:hAnchor="page" w:x="1295" w:y="1602"/>
        <w:ind w:left="220" w:firstLine="20"/>
      </w:pPr>
      <w:r>
        <w:t>k uzavření smlouvy o distribuci elektřiny nezbytnou součinnost. Dodavatel je oprávněn pověřit uzavřením smlouvy o distribuci elektřiny do odběrného místa třetí osobu, avšak odpovědnost vůči odběrateli za uzavření takové smlouvy nese sám.</w:t>
      </w:r>
    </w:p>
    <w:p w14:paraId="4585D21E" w14:textId="77777777" w:rsidR="000A2212" w:rsidRDefault="001B556E">
      <w:pPr>
        <w:pStyle w:val="Bodytext10"/>
        <w:framePr w:w="9221" w:h="13819" w:hRule="exact" w:wrap="none" w:vAnchor="page" w:hAnchor="page" w:x="1295" w:y="1602"/>
        <w:numPr>
          <w:ilvl w:val="0"/>
          <w:numId w:val="1"/>
        </w:numPr>
        <w:tabs>
          <w:tab w:val="left" w:pos="279"/>
        </w:tabs>
        <w:ind w:left="220" w:hanging="220"/>
      </w:pPr>
      <w:bookmarkStart w:id="12" w:name="bookmark12"/>
      <w:bookmarkEnd w:id="12"/>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14:paraId="39DA940D" w14:textId="45B8ADC5" w:rsidR="000A2212" w:rsidRDefault="001B556E">
      <w:pPr>
        <w:pStyle w:val="Bodytext10"/>
        <w:framePr w:w="9221" w:h="13819" w:hRule="exact" w:wrap="none" w:vAnchor="page" w:hAnchor="page" w:x="1295" w:y="1602"/>
        <w:numPr>
          <w:ilvl w:val="0"/>
          <w:numId w:val="1"/>
        </w:numPr>
        <w:tabs>
          <w:tab w:val="left" w:pos="279"/>
        </w:tabs>
        <w:spacing w:after="0"/>
        <w:ind w:left="220" w:hanging="220"/>
      </w:pPr>
      <w:bookmarkStart w:id="13" w:name="bookmark13"/>
      <w:bookmarkEnd w:id="13"/>
      <w: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vyšším než 1 </w:t>
      </w:r>
      <w:proofErr w:type="spellStart"/>
      <w:r>
        <w:t>kV</w:t>
      </w:r>
      <w:proofErr w:type="spellEnd"/>
      <w:r>
        <w:t xml:space="preserve"> s hodnotou rezervovaného příkonu do 100 </w:t>
      </w:r>
      <w:proofErr w:type="spellStart"/>
      <w:r w:rsidR="006B359D">
        <w:t>kw</w:t>
      </w:r>
      <w:proofErr w:type="spellEnd"/>
      <w:r w:rsidR="006B359D">
        <w:t xml:space="preserve"> </w:t>
      </w:r>
      <w:r>
        <w:t>jsou zařazena v souladu s platnými právními předpisy do regulačního stupně č. 2. Odběrná místa s odběrem elektřiny ze zařízení přenosové soustavy nebo ze zařízení distribučních soustav s napětím vyšším než 1 k\Z s hodnotou rezervovaného příkonu</w:t>
      </w:r>
    </w:p>
    <w:p w14:paraId="116E97AF" w14:textId="77777777" w:rsidR="000A2212" w:rsidRDefault="001B556E">
      <w:pPr>
        <w:pStyle w:val="Bodytext10"/>
        <w:framePr w:w="9221" w:h="13819" w:hRule="exact" w:wrap="none" w:vAnchor="page" w:hAnchor="page" w:x="1295" w:y="1602"/>
        <w:ind w:left="220" w:firstLine="20"/>
      </w:pPr>
      <w:r>
        <w:t xml:space="preserve">1 MW a vyšší jsou zařazena v regulačních stupních č. 3 a 5. Odběrná místa s odběrem elektřiny ze zařízení distribučních soustav s napětím od 1 </w:t>
      </w:r>
      <w:proofErr w:type="spellStart"/>
      <w:r>
        <w:t>kV</w:t>
      </w:r>
      <w:proofErr w:type="spellEnd"/>
      <w:r>
        <w:t xml:space="preserve"> s hodnotou rezervovaného příkonu od 100 kW do 1 MW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5ABDC9B2" w14:textId="77777777" w:rsidR="000A2212" w:rsidRDefault="001B556E">
      <w:pPr>
        <w:pStyle w:val="Bodytext10"/>
        <w:framePr w:w="9221" w:h="13819" w:hRule="exact" w:wrap="none" w:vAnchor="page" w:hAnchor="page" w:x="1295" w:y="1602"/>
        <w:numPr>
          <w:ilvl w:val="0"/>
          <w:numId w:val="1"/>
        </w:numPr>
        <w:tabs>
          <w:tab w:val="left" w:pos="279"/>
        </w:tabs>
        <w:ind w:left="220" w:hanging="220"/>
      </w:pPr>
      <w:bookmarkStart w:id="14" w:name="bookmark14"/>
      <w:bookmarkEnd w:id="14"/>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14:paraId="3DEFA98D" w14:textId="77777777" w:rsidR="000A2212" w:rsidRDefault="001B556E">
      <w:pPr>
        <w:pStyle w:val="Heading310"/>
        <w:framePr w:w="9221" w:h="13819" w:hRule="exact" w:wrap="none" w:vAnchor="page" w:hAnchor="page" w:x="1295" w:y="1602"/>
      </w:pPr>
      <w:bookmarkStart w:id="15" w:name="bookmark15"/>
      <w:bookmarkStart w:id="16" w:name="bookmark16"/>
      <w:bookmarkStart w:id="17" w:name="bookmark17"/>
      <w:r>
        <w:t>Platební podmínky</w:t>
      </w:r>
      <w:bookmarkEnd w:id="15"/>
      <w:bookmarkEnd w:id="16"/>
      <w:bookmarkEnd w:id="17"/>
    </w:p>
    <w:p w14:paraId="2E4851AD" w14:textId="77777777" w:rsidR="000A2212" w:rsidRDefault="001B556E">
      <w:pPr>
        <w:pStyle w:val="Bodytext10"/>
        <w:framePr w:w="9221" w:h="13819" w:hRule="exact" w:wrap="none" w:vAnchor="page" w:hAnchor="page" w:x="1295" w:y="1602"/>
        <w:numPr>
          <w:ilvl w:val="0"/>
          <w:numId w:val="2"/>
        </w:numPr>
        <w:tabs>
          <w:tab w:val="left" w:pos="265"/>
        </w:tabs>
        <w:spacing w:after="0" w:line="240" w:lineRule="auto"/>
      </w:pPr>
      <w:bookmarkStart w:id="18" w:name="bookmark18"/>
      <w:bookmarkEnd w:id="18"/>
      <w:r>
        <w:t>Odběratel je povinen zaplatit dodavateli za dodávku elektřiny cenu, která je tvořena:</w:t>
      </w:r>
    </w:p>
    <w:p w14:paraId="27723051" w14:textId="77777777" w:rsidR="000A2212" w:rsidRDefault="001B556E">
      <w:pPr>
        <w:pStyle w:val="Bodytext10"/>
        <w:framePr w:w="9221" w:h="13819" w:hRule="exact" w:wrap="none" w:vAnchor="page" w:hAnchor="page" w:x="1295" w:y="1602"/>
        <w:numPr>
          <w:ilvl w:val="0"/>
          <w:numId w:val="3"/>
        </w:numPr>
        <w:tabs>
          <w:tab w:val="left" w:pos="514"/>
        </w:tabs>
        <w:spacing w:after="0" w:line="240" w:lineRule="auto"/>
        <w:ind w:firstLine="220"/>
      </w:pPr>
      <w:bookmarkStart w:id="19" w:name="bookmark19"/>
      <w:bookmarkEnd w:id="19"/>
      <w:r>
        <w:t>cenou za silovou elektřinu,</w:t>
      </w:r>
    </w:p>
    <w:p w14:paraId="62B45E6D" w14:textId="77777777" w:rsidR="000A2212" w:rsidRDefault="001B556E">
      <w:pPr>
        <w:pStyle w:val="Bodytext10"/>
        <w:framePr w:w="9221" w:h="13819" w:hRule="exact" w:wrap="none" w:vAnchor="page" w:hAnchor="page" w:x="1295" w:y="1602"/>
        <w:numPr>
          <w:ilvl w:val="0"/>
          <w:numId w:val="3"/>
        </w:numPr>
        <w:tabs>
          <w:tab w:val="left" w:pos="534"/>
        </w:tabs>
        <w:spacing w:line="240" w:lineRule="auto"/>
        <w:ind w:left="440" w:hanging="200"/>
      </w:pPr>
      <w:bookmarkStart w:id="20" w:name="bookmark20"/>
      <w:bookmarkEnd w:id="20"/>
      <w:r>
        <w:t xml:space="preserve">cenou za distribuci elektřiny, systémové služby a ostatní související služby, která bude stanovena v souladu s </w:t>
      </w:r>
      <w:r>
        <w:t>všeobecně závaznými právními předpisy, zejména cenovými rozhodnutími příslušných správních a regulačních orgánů.</w:t>
      </w:r>
    </w:p>
    <w:p w14:paraId="3C9774FB" w14:textId="77777777" w:rsidR="000A2212" w:rsidRDefault="001B556E">
      <w:pPr>
        <w:pStyle w:val="Bodytext10"/>
        <w:framePr w:w="9221" w:h="13819" w:hRule="exact" w:wrap="none" w:vAnchor="page" w:hAnchor="page" w:x="1295" w:y="1602"/>
        <w:numPr>
          <w:ilvl w:val="0"/>
          <w:numId w:val="2"/>
        </w:numPr>
        <w:tabs>
          <w:tab w:val="left" w:pos="274"/>
        </w:tabs>
        <w:ind w:left="220" w:hanging="220"/>
      </w:pPr>
      <w:bookmarkStart w:id="21" w:name="bookmark21"/>
      <w:bookmarkEnd w:id="21"/>
      <w:r>
        <w:t>Dodávky elektřiny se účtují v zúčtovacím období fakturami, které musí mít náležitosti daňových dokladů podle příslušných právních předpisů.</w:t>
      </w:r>
    </w:p>
    <w:p w14:paraId="196FA4EA" w14:textId="77777777" w:rsidR="000A2212" w:rsidRDefault="001B556E">
      <w:pPr>
        <w:pStyle w:val="Bodytext10"/>
        <w:framePr w:w="9221" w:h="13819" w:hRule="exact" w:wrap="none" w:vAnchor="page" w:hAnchor="page" w:x="1295" w:y="1602"/>
        <w:numPr>
          <w:ilvl w:val="0"/>
          <w:numId w:val="2"/>
        </w:numPr>
        <w:tabs>
          <w:tab w:val="left" w:pos="274"/>
        </w:tabs>
        <w:ind w:left="220" w:hanging="220"/>
      </w:pPr>
      <w:bookmarkStart w:id="22" w:name="bookmark22"/>
      <w:bookmarkEnd w:id="22"/>
      <w:r>
        <w:t>K účtované ceně dodávky elektřiny se připočítává daň z elektřiny, daň z přidané hodnoty, poplatky a jiné nepřímé daně stanovené v souladu s příslušnými právními předpisy.</w:t>
      </w:r>
    </w:p>
    <w:p w14:paraId="6B1675C7" w14:textId="77777777" w:rsidR="000A2212" w:rsidRDefault="001B556E">
      <w:pPr>
        <w:pStyle w:val="Bodytext10"/>
        <w:framePr w:w="9221" w:h="13819" w:hRule="exact" w:wrap="none" w:vAnchor="page" w:hAnchor="page" w:x="1295" w:y="1602"/>
        <w:numPr>
          <w:ilvl w:val="0"/>
          <w:numId w:val="2"/>
        </w:numPr>
        <w:tabs>
          <w:tab w:val="left" w:pos="279"/>
        </w:tabs>
        <w:spacing w:after="0" w:line="257" w:lineRule="auto"/>
        <w:ind w:left="220" w:hanging="220"/>
      </w:pPr>
      <w:bookmarkStart w:id="23" w:name="bookmark23"/>
      <w:bookmarkEnd w:id="23"/>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w:t>
      </w:r>
    </w:p>
    <w:p w14:paraId="57B14C27" w14:textId="77777777" w:rsidR="000A2212" w:rsidRDefault="001B556E">
      <w:pPr>
        <w:pStyle w:val="Headerorfooter10"/>
        <w:framePr w:wrap="none" w:vAnchor="page" w:hAnchor="page" w:x="1314" w:y="15906"/>
      </w:pPr>
      <w:r>
        <w:t xml:space="preserve">Dodávka elektřiny v rámci SSDE v napěťové hladině vysokého </w:t>
      </w:r>
      <w:proofErr w:type="gramStart"/>
      <w:r>
        <w:t>napěti</w:t>
      </w:r>
      <w:proofErr w:type="gramEnd"/>
    </w:p>
    <w:p w14:paraId="47C34D8F" w14:textId="77777777" w:rsidR="000A2212" w:rsidRDefault="001B556E">
      <w:pPr>
        <w:pStyle w:val="Headerorfooter10"/>
        <w:framePr w:wrap="none" w:vAnchor="page" w:hAnchor="page" w:x="9206" w:y="15911"/>
      </w:pPr>
      <w:r>
        <w:t>Strana 3 (celkem 7)</w:t>
      </w:r>
    </w:p>
    <w:p w14:paraId="069BCB1B" w14:textId="77777777" w:rsidR="000A2212" w:rsidRDefault="000A2212">
      <w:pPr>
        <w:spacing w:line="1" w:lineRule="exact"/>
        <w:sectPr w:rsidR="000A2212">
          <w:pgSz w:w="11900" w:h="16840"/>
          <w:pgMar w:top="360" w:right="360" w:bottom="360" w:left="360" w:header="0" w:footer="3" w:gutter="0"/>
          <w:cols w:space="720"/>
          <w:noEndnote/>
          <w:docGrid w:linePitch="360"/>
        </w:sectPr>
      </w:pPr>
    </w:p>
    <w:p w14:paraId="21CB706D" w14:textId="77777777" w:rsidR="000A2212" w:rsidRDefault="001B556E">
      <w:pPr>
        <w:spacing w:line="1" w:lineRule="exact"/>
      </w:pPr>
      <w:r>
        <w:rPr>
          <w:noProof/>
        </w:rPr>
        <w:lastRenderedPageBreak/>
        <mc:AlternateContent>
          <mc:Choice Requires="wps">
            <w:drawing>
              <wp:anchor distT="0" distB="0" distL="114300" distR="114300" simplePos="0" relativeHeight="251656704" behindDoc="1" locked="0" layoutInCell="1" allowOverlap="1" wp14:anchorId="793082A3" wp14:editId="55109941">
                <wp:simplePos x="0" y="0"/>
                <wp:positionH relativeFrom="page">
                  <wp:posOffset>846455</wp:posOffset>
                </wp:positionH>
                <wp:positionV relativeFrom="page">
                  <wp:posOffset>10096500</wp:posOffset>
                </wp:positionV>
                <wp:extent cx="5845810" cy="0"/>
                <wp:effectExtent l="0" t="0" r="0" b="0"/>
                <wp:wrapNone/>
                <wp:docPr id="4" name="Shape 4"/>
                <wp:cNvGraphicFramePr/>
                <a:graphic xmlns:a="http://schemas.openxmlformats.org/drawingml/2006/main">
                  <a:graphicData uri="http://schemas.microsoft.com/office/word/2010/wordprocessingShape">
                    <wps:wsp>
                      <wps:cNvCnPr/>
                      <wps:spPr>
                        <a:xfrm>
                          <a:off x="0" y="0"/>
                          <a:ext cx="5845810" cy="0"/>
                        </a:xfrm>
                        <a:prstGeom prst="straightConnector1">
                          <a:avLst/>
                        </a:prstGeom>
                        <a:ln w="15240">
                          <a:solidFill/>
                        </a:ln>
                      </wps:spPr>
                      <wps:bodyPr/>
                    </wps:wsp>
                  </a:graphicData>
                </a:graphic>
              </wp:anchor>
            </w:drawing>
          </mc:Choice>
          <mc:Fallback>
            <w:pict>
              <v:shape o:spt="32" o:oned="true" path="m,l21600,21600e" style="position:absolute;margin-left:66.650000000000006pt;margin-top:795.pt;width:460.30000000000001pt;height:0;z-index:-251658240;mso-position-horizontal-relative:page;mso-position-vertical-relative:page">
                <v:stroke weight="1.2pt"/>
              </v:shape>
            </w:pict>
          </mc:Fallback>
        </mc:AlternateContent>
      </w:r>
    </w:p>
    <w:p w14:paraId="14A4C01F" w14:textId="2025ACE1" w:rsidR="000A2212" w:rsidRDefault="00546F84">
      <w:pPr>
        <w:pStyle w:val="Headerorfooter10"/>
        <w:framePr w:w="9206" w:h="283" w:hRule="exact" w:wrap="none" w:vAnchor="page" w:hAnchor="page" w:x="1310" w:y="1007"/>
        <w:ind w:firstLine="560"/>
        <w:rPr>
          <w:sz w:val="10"/>
          <w:szCs w:val="10"/>
        </w:rPr>
      </w:pPr>
      <w:r>
        <w:rPr>
          <w:b/>
          <w:bCs/>
          <w:i w:val="0"/>
          <w:iCs w:val="0"/>
          <w:sz w:val="10"/>
          <w:szCs w:val="10"/>
        </w:rPr>
        <w:t xml:space="preserve">                      </w:t>
      </w:r>
      <w:r w:rsidR="001B556E">
        <w:rPr>
          <w:b/>
          <w:bCs/>
          <w:i w:val="0"/>
          <w:iCs w:val="0"/>
          <w:sz w:val="10"/>
          <w:szCs w:val="10"/>
        </w:rPr>
        <w:t>ČESKOMORAVSKÁ</w:t>
      </w:r>
    </w:p>
    <w:p w14:paraId="0F6B136C" w14:textId="77777777" w:rsidR="000A2212" w:rsidRDefault="001B556E">
      <w:pPr>
        <w:pStyle w:val="Headerorfooter10"/>
        <w:framePr w:w="9206" w:h="283" w:hRule="exact" w:wrap="none" w:vAnchor="page" w:hAnchor="page" w:x="1310" w:y="1007"/>
        <w:ind w:left="1180"/>
        <w:rPr>
          <w:sz w:val="10"/>
          <w:szCs w:val="10"/>
        </w:rPr>
      </w:pPr>
      <w:r>
        <w:rPr>
          <w:b/>
          <w:bCs/>
          <w:i w:val="0"/>
          <w:iCs w:val="0"/>
          <w:sz w:val="10"/>
          <w:szCs w:val="10"/>
        </w:rPr>
        <w:t>KOMODITNÍ BURZA KLADNO</w:t>
      </w:r>
    </w:p>
    <w:p w14:paraId="19D4C584" w14:textId="77777777" w:rsidR="000A2212" w:rsidRDefault="001B556E">
      <w:pPr>
        <w:pStyle w:val="Bodytext10"/>
        <w:framePr w:w="9221" w:h="13574" w:hRule="exact" w:wrap="none" w:vAnchor="page" w:hAnchor="page" w:x="1295" w:y="1602"/>
        <w:ind w:left="220"/>
      </w:pPr>
      <w:r>
        <w:t xml:space="preserve">uzavření burzovního obchodu (závěrkového listu) vystavit odběrateli v souladu s podmínkami uzavřeného burzovního obchodu (závěrkového listu) </w:t>
      </w:r>
      <w:r>
        <w:t>platební kalendář s uvedením počtu, výše a splatnosti záloh.</w:t>
      </w:r>
    </w:p>
    <w:p w14:paraId="12AA2409" w14:textId="77777777" w:rsidR="000A2212" w:rsidRDefault="001B556E">
      <w:pPr>
        <w:pStyle w:val="Bodytext10"/>
        <w:framePr w:w="9221" w:h="13574" w:hRule="exact" w:wrap="none" w:vAnchor="page" w:hAnchor="page" w:x="1295" w:y="1602"/>
        <w:numPr>
          <w:ilvl w:val="0"/>
          <w:numId w:val="2"/>
        </w:numPr>
        <w:tabs>
          <w:tab w:val="left" w:pos="270"/>
        </w:tabs>
        <w:spacing w:after="0" w:line="254" w:lineRule="auto"/>
        <w:ind w:left="220" w:hanging="220"/>
      </w:pPr>
      <w:bookmarkStart w:id="24" w:name="bookmark24"/>
      <w:bookmarkEnd w:id="24"/>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w:t>
      </w:r>
    </w:p>
    <w:p w14:paraId="243520E6" w14:textId="77777777" w:rsidR="000A2212" w:rsidRDefault="001B556E">
      <w:pPr>
        <w:pStyle w:val="Bodytext10"/>
        <w:framePr w:w="9221" w:h="13574" w:hRule="exact" w:wrap="none" w:vAnchor="page" w:hAnchor="page" w:x="1295" w:y="1602"/>
        <w:spacing w:line="254" w:lineRule="auto"/>
        <w:ind w:left="220"/>
      </w:pPr>
      <w:r>
        <w:t>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w:t>
      </w:r>
      <w:r>
        <w:t>čtení těchto částek je povinen vždy oznámit odběrateli.</w:t>
      </w:r>
    </w:p>
    <w:p w14:paraId="253BD0CD" w14:textId="77777777" w:rsidR="000A2212" w:rsidRDefault="001B556E">
      <w:pPr>
        <w:pStyle w:val="Bodytext10"/>
        <w:framePr w:w="9221" w:h="13574" w:hRule="exact" w:wrap="none" w:vAnchor="page" w:hAnchor="page" w:x="1295" w:y="1602"/>
        <w:numPr>
          <w:ilvl w:val="0"/>
          <w:numId w:val="2"/>
        </w:numPr>
        <w:tabs>
          <w:tab w:val="left" w:pos="274"/>
        </w:tabs>
        <w:spacing w:after="0"/>
        <w:ind w:left="220" w:hanging="220"/>
      </w:pPr>
      <w:bookmarkStart w:id="25" w:name="bookmark25"/>
      <w:bookmarkEnd w:id="25"/>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02C619A0" w14:textId="77777777" w:rsidR="000A2212" w:rsidRDefault="001B556E">
      <w:pPr>
        <w:pStyle w:val="Bodytext10"/>
        <w:framePr w:w="9221" w:h="13574" w:hRule="exact" w:wrap="none" w:vAnchor="page" w:hAnchor="page" w:x="1295" w:y="1602"/>
        <w:ind w:left="220"/>
      </w:pPr>
      <w:r>
        <w:t xml:space="preserve">s nesprávným variabilním symbolem, nebo ji poukáže na jiný </w:t>
      </w:r>
      <w:r>
        <w:t>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04D1B7BD" w14:textId="77777777" w:rsidR="000A2212" w:rsidRDefault="001B556E">
      <w:pPr>
        <w:pStyle w:val="Bodytext10"/>
        <w:framePr w:w="9221" w:h="13574" w:hRule="exact" w:wrap="none" w:vAnchor="page" w:hAnchor="page" w:x="1295" w:y="1602"/>
        <w:numPr>
          <w:ilvl w:val="0"/>
          <w:numId w:val="2"/>
        </w:numPr>
        <w:tabs>
          <w:tab w:val="left" w:pos="274"/>
        </w:tabs>
        <w:ind w:left="220" w:hanging="220"/>
      </w:pPr>
      <w:bookmarkStart w:id="26" w:name="bookmark26"/>
      <w:bookmarkEnd w:id="26"/>
      <w:r>
        <w:t>Zaplacením plateb se rozumí připsání příslušné částky na bankovní účet dodavatele. Připadne-li den splatnosti faktury nebo zálohy na den pracovního volna nebo klidu, je dnem splatnosti nejbližší následující pracovní den.</w:t>
      </w:r>
    </w:p>
    <w:p w14:paraId="7C82925E" w14:textId="77777777" w:rsidR="000A2212" w:rsidRDefault="001B556E">
      <w:pPr>
        <w:pStyle w:val="Bodytext10"/>
        <w:framePr w:w="9221" w:h="13574" w:hRule="exact" w:wrap="none" w:vAnchor="page" w:hAnchor="page" w:x="1295" w:y="1602"/>
        <w:numPr>
          <w:ilvl w:val="0"/>
          <w:numId w:val="2"/>
        </w:numPr>
        <w:tabs>
          <w:tab w:val="left" w:pos="274"/>
        </w:tabs>
        <w:ind w:left="220" w:hanging="220"/>
      </w:pPr>
      <w:bookmarkStart w:id="27" w:name="bookmark27"/>
      <w:bookmarkEnd w:id="27"/>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383626A3" w14:textId="77777777" w:rsidR="000A2212" w:rsidRDefault="001B556E">
      <w:pPr>
        <w:pStyle w:val="Bodytext10"/>
        <w:framePr w:w="9221" w:h="13574" w:hRule="exact" w:wrap="none" w:vAnchor="page" w:hAnchor="page" w:x="1295" w:y="1602"/>
        <w:numPr>
          <w:ilvl w:val="0"/>
          <w:numId w:val="2"/>
        </w:numPr>
        <w:tabs>
          <w:tab w:val="left" w:pos="274"/>
        </w:tabs>
        <w:spacing w:after="0"/>
        <w:ind w:left="220" w:hanging="220"/>
      </w:pPr>
      <w:bookmarkStart w:id="28" w:name="bookmark28"/>
      <w:bookmarkEnd w:id="28"/>
      <w:r>
        <w:t>V případě, že je odběratel v prodlení s úhradou jakékoliv částky vyplývající z uzavřeného burzovního obchodu, má dodavatel právo zaslat odběrateli písemné výzvy či upomínky k placení. Odběratel je</w:t>
      </w:r>
    </w:p>
    <w:p w14:paraId="10750792" w14:textId="77777777" w:rsidR="000A2212" w:rsidRDefault="001B556E">
      <w:pPr>
        <w:pStyle w:val="Bodytext10"/>
        <w:framePr w:w="9221" w:h="13574" w:hRule="exact" w:wrap="none" w:vAnchor="page" w:hAnchor="page" w:x="1295" w:y="1602"/>
        <w:ind w:left="220"/>
      </w:pPr>
      <w:r>
        <w:t>v takovém případě povinen uhradit dodavateli náklady spojené se zasláním písemné výzvy či upomínky k placení.</w:t>
      </w:r>
    </w:p>
    <w:p w14:paraId="74B02309" w14:textId="77777777" w:rsidR="000A2212" w:rsidRDefault="001B556E">
      <w:pPr>
        <w:pStyle w:val="Bodytext10"/>
        <w:framePr w:w="9221" w:h="13574" w:hRule="exact" w:wrap="none" w:vAnchor="page" w:hAnchor="page" w:x="1295" w:y="1602"/>
        <w:numPr>
          <w:ilvl w:val="0"/>
          <w:numId w:val="2"/>
        </w:numPr>
        <w:tabs>
          <w:tab w:val="left" w:pos="370"/>
        </w:tabs>
        <w:spacing w:line="240" w:lineRule="auto"/>
        <w:ind w:left="220" w:hanging="220"/>
      </w:pPr>
      <w:bookmarkStart w:id="29" w:name="bookmark29"/>
      <w:bookmarkEnd w:id="29"/>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243CF68C" w14:textId="77777777" w:rsidR="000A2212" w:rsidRDefault="001B556E">
      <w:pPr>
        <w:pStyle w:val="Heading310"/>
        <w:framePr w:w="9221" w:h="13574" w:hRule="exact" w:wrap="none" w:vAnchor="page" w:hAnchor="page" w:x="1295" w:y="1602"/>
      </w:pPr>
      <w:bookmarkStart w:id="30" w:name="bookmark30"/>
      <w:bookmarkStart w:id="31" w:name="bookmark31"/>
      <w:bookmarkStart w:id="32" w:name="bookmark32"/>
      <w:r>
        <w:t>Reklamace</w:t>
      </w:r>
      <w:bookmarkEnd w:id="30"/>
      <w:bookmarkEnd w:id="31"/>
      <w:bookmarkEnd w:id="32"/>
    </w:p>
    <w:p w14:paraId="51CB3073" w14:textId="77777777" w:rsidR="000A2212" w:rsidRDefault="001B556E">
      <w:pPr>
        <w:pStyle w:val="Bodytext10"/>
        <w:framePr w:w="9221" w:h="13574" w:hRule="exact" w:wrap="none" w:vAnchor="page" w:hAnchor="page" w:x="1295" w:y="1602"/>
        <w:numPr>
          <w:ilvl w:val="0"/>
          <w:numId w:val="4"/>
        </w:numPr>
        <w:tabs>
          <w:tab w:val="left" w:pos="260"/>
        </w:tabs>
        <w:ind w:left="220" w:hanging="220"/>
      </w:pPr>
      <w:bookmarkStart w:id="33" w:name="bookmark33"/>
      <w:bookmarkEnd w:id="33"/>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14:paraId="7B0E9293" w14:textId="77777777" w:rsidR="000A2212" w:rsidRDefault="001B556E">
      <w:pPr>
        <w:pStyle w:val="Bodytext10"/>
        <w:framePr w:w="9221" w:h="13574" w:hRule="exact" w:wrap="none" w:vAnchor="page" w:hAnchor="page" w:x="1295" w:y="1602"/>
        <w:numPr>
          <w:ilvl w:val="0"/>
          <w:numId w:val="4"/>
        </w:numPr>
        <w:tabs>
          <w:tab w:val="left" w:pos="274"/>
        </w:tabs>
        <w:spacing w:line="240" w:lineRule="auto"/>
        <w:ind w:left="220" w:hanging="220"/>
      </w:pPr>
      <w:bookmarkStart w:id="34" w:name="bookmark34"/>
      <w:bookmarkEnd w:id="34"/>
      <w:r>
        <w:t>Dodavatel je povinen reklamaci přezkoumat a výsledek přezkoumání je povinen oznámit odběrateli ve lhůtách stanovených příslušnými právními předpisy.</w:t>
      </w:r>
    </w:p>
    <w:p w14:paraId="791A19B2" w14:textId="77777777" w:rsidR="000A2212" w:rsidRDefault="001B556E">
      <w:pPr>
        <w:pStyle w:val="Heading310"/>
        <w:framePr w:w="9221" w:h="13574" w:hRule="exact" w:wrap="none" w:vAnchor="page" w:hAnchor="page" w:x="1295" w:y="1602"/>
      </w:pPr>
      <w:bookmarkStart w:id="35" w:name="bookmark35"/>
      <w:bookmarkStart w:id="36" w:name="bookmark36"/>
      <w:bookmarkStart w:id="37" w:name="bookmark37"/>
      <w:r>
        <w:t>Omezení a přerušení dodávky</w:t>
      </w:r>
      <w:bookmarkEnd w:id="35"/>
      <w:bookmarkEnd w:id="36"/>
      <w:bookmarkEnd w:id="37"/>
    </w:p>
    <w:p w14:paraId="7958AB16" w14:textId="77777777" w:rsidR="000A2212" w:rsidRDefault="001B556E">
      <w:pPr>
        <w:pStyle w:val="Bodytext10"/>
        <w:framePr w:w="9221" w:h="13574" w:hRule="exact" w:wrap="none" w:vAnchor="page" w:hAnchor="page" w:x="1295" w:y="1602"/>
        <w:numPr>
          <w:ilvl w:val="0"/>
          <w:numId w:val="5"/>
        </w:numPr>
        <w:tabs>
          <w:tab w:val="left" w:pos="265"/>
        </w:tabs>
        <w:ind w:left="220" w:hanging="220"/>
      </w:pPr>
      <w:bookmarkStart w:id="38" w:name="bookmark38"/>
      <w:bookmarkEnd w:id="38"/>
      <w:r>
        <w:t xml:space="preserve">Dodavatel je </w:t>
      </w:r>
      <w:r>
        <w:t>oprávněn přerušit nebo omezit v nezbytném rozsahu dodávku elektřiny dle burzovního obchodu (závěrkového listu) v odběrném místě v případech neoprávněného odběru, který je definován příslušnými platnými právními předpisy.</w:t>
      </w:r>
    </w:p>
    <w:p w14:paraId="59A85AB6" w14:textId="77777777" w:rsidR="000A2212" w:rsidRDefault="001B556E">
      <w:pPr>
        <w:pStyle w:val="Bodytext10"/>
        <w:framePr w:w="9221" w:h="13574" w:hRule="exact" w:wrap="none" w:vAnchor="page" w:hAnchor="page" w:x="1295" w:y="1602"/>
        <w:numPr>
          <w:ilvl w:val="0"/>
          <w:numId w:val="5"/>
        </w:numPr>
        <w:tabs>
          <w:tab w:val="left" w:pos="274"/>
        </w:tabs>
        <w:ind w:left="220" w:hanging="220"/>
      </w:pPr>
      <w:bookmarkStart w:id="39" w:name="bookmark39"/>
      <w:bookmarkEnd w:id="39"/>
      <w:r>
        <w:t>Přerušení nebo omezení dodávky elektřiny z důvodu neoprávněného odběru bude provedeno provozovatelem distribuční soustavy na žádost dodavatele bezprostředně po zjištění neoprávněného odběru a bude provedeno na náklady odběratele.</w:t>
      </w:r>
    </w:p>
    <w:p w14:paraId="2AACCB5D" w14:textId="77777777" w:rsidR="000A2212" w:rsidRDefault="001B556E">
      <w:pPr>
        <w:pStyle w:val="Bodytext10"/>
        <w:framePr w:w="9221" w:h="13574" w:hRule="exact" w:wrap="none" w:vAnchor="page" w:hAnchor="page" w:x="1295" w:y="1602"/>
        <w:numPr>
          <w:ilvl w:val="0"/>
          <w:numId w:val="5"/>
        </w:numPr>
        <w:tabs>
          <w:tab w:val="left" w:pos="274"/>
        </w:tabs>
        <w:spacing w:after="0"/>
        <w:ind w:left="220" w:hanging="220"/>
      </w:pPr>
      <w:bookmarkStart w:id="40" w:name="bookmark40"/>
      <w:bookmarkEnd w:id="40"/>
      <w:r>
        <w:t>Přerušením nebo omezením dodávky elektřiny v případech neoprávněného odběru nevzniká odběrateli právo na náhradu škody a ušlého zisku na dodavateli a na provozovateli distribuční soustavy.</w:t>
      </w:r>
    </w:p>
    <w:p w14:paraId="4202810E" w14:textId="77777777" w:rsidR="000A2212" w:rsidRDefault="001B556E">
      <w:pPr>
        <w:pStyle w:val="Headerorfooter10"/>
        <w:framePr w:wrap="none" w:vAnchor="page" w:hAnchor="page" w:x="1314" w:y="15901"/>
      </w:pPr>
      <w:r>
        <w:t>Dodávka elektřiny v rámci SSDE v napěťové hladině vysokého napětí</w:t>
      </w:r>
    </w:p>
    <w:p w14:paraId="751DE0DB" w14:textId="77777777" w:rsidR="000A2212" w:rsidRDefault="001B556E">
      <w:pPr>
        <w:pStyle w:val="Headerorfooter10"/>
        <w:framePr w:wrap="none" w:vAnchor="page" w:hAnchor="page" w:x="9191" w:y="15901"/>
      </w:pPr>
      <w:r>
        <w:t>Strana 4 (celkem 7)</w:t>
      </w:r>
    </w:p>
    <w:p w14:paraId="16482B8B" w14:textId="77777777" w:rsidR="000A2212" w:rsidRDefault="000A2212">
      <w:pPr>
        <w:spacing w:line="1" w:lineRule="exact"/>
        <w:sectPr w:rsidR="000A2212">
          <w:pgSz w:w="11900" w:h="16840"/>
          <w:pgMar w:top="360" w:right="360" w:bottom="360" w:left="360" w:header="0" w:footer="3" w:gutter="0"/>
          <w:cols w:space="720"/>
          <w:noEndnote/>
          <w:docGrid w:linePitch="360"/>
        </w:sectPr>
      </w:pPr>
    </w:p>
    <w:p w14:paraId="69BB423E" w14:textId="77777777" w:rsidR="000A2212" w:rsidRDefault="001B556E">
      <w:pPr>
        <w:spacing w:line="1" w:lineRule="exact"/>
      </w:pPr>
      <w:r>
        <w:rPr>
          <w:noProof/>
        </w:rPr>
        <w:lastRenderedPageBreak/>
        <mc:AlternateContent>
          <mc:Choice Requires="wps">
            <w:drawing>
              <wp:anchor distT="0" distB="0" distL="114300" distR="114300" simplePos="0" relativeHeight="251657728" behindDoc="1" locked="0" layoutInCell="1" allowOverlap="1" wp14:anchorId="78D43E22" wp14:editId="0160914C">
                <wp:simplePos x="0" y="0"/>
                <wp:positionH relativeFrom="page">
                  <wp:posOffset>846455</wp:posOffset>
                </wp:positionH>
                <wp:positionV relativeFrom="page">
                  <wp:posOffset>10087610</wp:posOffset>
                </wp:positionV>
                <wp:extent cx="5857875" cy="0"/>
                <wp:effectExtent l="0" t="0" r="0" b="0"/>
                <wp:wrapNone/>
                <wp:docPr id="5" name="Shape 5"/>
                <wp:cNvGraphicFramePr/>
                <a:graphic xmlns:a="http://schemas.openxmlformats.org/drawingml/2006/main">
                  <a:graphicData uri="http://schemas.microsoft.com/office/word/2010/wordprocessingShape">
                    <wps:wsp>
                      <wps:cNvCnPr/>
                      <wps:spPr>
                        <a:xfrm>
                          <a:off x="0" y="0"/>
                          <a:ext cx="5857875" cy="0"/>
                        </a:xfrm>
                        <a:prstGeom prst="straightConnector1">
                          <a:avLst/>
                        </a:prstGeom>
                        <a:ln w="15240">
                          <a:solidFill/>
                        </a:ln>
                      </wps:spPr>
                      <wps:bodyPr/>
                    </wps:wsp>
                  </a:graphicData>
                </a:graphic>
              </wp:anchor>
            </w:drawing>
          </mc:Choice>
          <mc:Fallback>
            <w:pict>
              <v:shape o:spt="32" o:oned="true" path="m,l21600,21600e" style="position:absolute;margin-left:66.650000000000006pt;margin-top:794.30000000000007pt;width:461.25pt;height:0;z-index:-251658240;mso-position-horizontal-relative:page;mso-position-vertical-relative:page">
                <v:stroke weight="1.2pt"/>
              </v:shape>
            </w:pict>
          </mc:Fallback>
        </mc:AlternateContent>
      </w:r>
    </w:p>
    <w:p w14:paraId="4FE9410E" w14:textId="0E0EC04F" w:rsidR="000A2212" w:rsidRDefault="00653A75" w:rsidP="00653A75">
      <w:pPr>
        <w:pStyle w:val="Headerorfooter10"/>
        <w:framePr w:w="9182" w:h="302" w:hRule="exact" w:wrap="none" w:vAnchor="page" w:hAnchor="page" w:x="1314" w:y="987"/>
        <w:rPr>
          <w:sz w:val="10"/>
          <w:szCs w:val="10"/>
        </w:rPr>
      </w:pPr>
      <w:r>
        <w:rPr>
          <w:b/>
          <w:bCs/>
          <w:i w:val="0"/>
          <w:iCs w:val="0"/>
          <w:color w:val="4F5968"/>
          <w:sz w:val="10"/>
          <w:szCs w:val="10"/>
        </w:rPr>
        <w:t xml:space="preserve">                                         </w:t>
      </w:r>
      <w:r w:rsidR="001B556E">
        <w:rPr>
          <w:b/>
          <w:bCs/>
          <w:i w:val="0"/>
          <w:iCs w:val="0"/>
          <w:color w:val="4F5968"/>
          <w:sz w:val="10"/>
          <w:szCs w:val="10"/>
        </w:rPr>
        <w:t>ČESKOMORAVSKÁ</w:t>
      </w:r>
    </w:p>
    <w:p w14:paraId="42718B94" w14:textId="43BBEE5F" w:rsidR="000A2212" w:rsidRDefault="001B556E">
      <w:pPr>
        <w:pStyle w:val="Headerorfooter10"/>
        <w:framePr w:w="9182" w:h="302" w:hRule="exact" w:wrap="none" w:vAnchor="page" w:hAnchor="page" w:x="1314" w:y="987"/>
        <w:tabs>
          <w:tab w:val="left" w:pos="1135"/>
        </w:tabs>
        <w:ind w:firstLine="180"/>
        <w:rPr>
          <w:sz w:val="10"/>
          <w:szCs w:val="10"/>
        </w:rPr>
      </w:pPr>
      <w:r>
        <w:rPr>
          <w:b/>
          <w:bCs/>
          <w:i w:val="0"/>
          <w:iCs w:val="0"/>
          <w:color w:val="4F5968"/>
          <w:sz w:val="10"/>
          <w:szCs w:val="10"/>
        </w:rPr>
        <w:tab/>
        <w:t>KOMODITNÍ BURZA KLADNO</w:t>
      </w:r>
    </w:p>
    <w:p w14:paraId="19049046" w14:textId="77777777" w:rsidR="000A2212" w:rsidRDefault="001B556E">
      <w:pPr>
        <w:pStyle w:val="Bodytext10"/>
        <w:framePr w:w="9182" w:h="14045" w:hRule="exact" w:wrap="none" w:vAnchor="page" w:hAnchor="page" w:x="1314" w:y="1583"/>
        <w:numPr>
          <w:ilvl w:val="0"/>
          <w:numId w:val="5"/>
        </w:numPr>
        <w:tabs>
          <w:tab w:val="left" w:pos="313"/>
        </w:tabs>
        <w:ind w:left="220" w:hanging="220"/>
      </w:pPr>
      <w:bookmarkStart w:id="41" w:name="bookmark41"/>
      <w:bookmarkEnd w:id="41"/>
      <w:r>
        <w:t>Odběratel je povinen uhradit dodavateli náklady spojené s přerušením, obnovením nebo ukončením dodávky elektřiny z důvodu neoprávněného odběru.</w:t>
      </w:r>
    </w:p>
    <w:p w14:paraId="5F1F894C" w14:textId="77777777" w:rsidR="000A2212" w:rsidRDefault="001B556E">
      <w:pPr>
        <w:pStyle w:val="Heading310"/>
        <w:framePr w:w="9182" w:h="14045" w:hRule="exact" w:wrap="none" w:vAnchor="page" w:hAnchor="page" w:x="1314" w:y="1583"/>
        <w:spacing w:line="240" w:lineRule="auto"/>
      </w:pPr>
      <w:bookmarkStart w:id="42" w:name="bookmark42"/>
      <w:bookmarkStart w:id="43" w:name="bookmark43"/>
      <w:bookmarkStart w:id="44" w:name="bookmark44"/>
      <w:r>
        <w:t>Odstoupení od burzovního obchodu (závěrkového listu)</w:t>
      </w:r>
      <w:bookmarkEnd w:id="42"/>
      <w:bookmarkEnd w:id="43"/>
      <w:bookmarkEnd w:id="44"/>
    </w:p>
    <w:p w14:paraId="57E30778" w14:textId="77777777" w:rsidR="000A2212" w:rsidRDefault="001B556E">
      <w:pPr>
        <w:pStyle w:val="Bodytext10"/>
        <w:framePr w:w="9182" w:h="14045" w:hRule="exact" w:wrap="none" w:vAnchor="page" w:hAnchor="page" w:x="1314" w:y="1583"/>
        <w:numPr>
          <w:ilvl w:val="0"/>
          <w:numId w:val="6"/>
        </w:numPr>
        <w:tabs>
          <w:tab w:val="left" w:pos="289"/>
        </w:tabs>
        <w:spacing w:after="0"/>
      </w:pPr>
      <w:bookmarkStart w:id="45" w:name="bookmark45"/>
      <w:bookmarkEnd w:id="45"/>
      <w:r>
        <w:t xml:space="preserve">Dodavatel je </w:t>
      </w:r>
      <w:r>
        <w:t>oprávněn odstoupit od burzovního obchodu (závěrkového listu) v případě:</w:t>
      </w:r>
    </w:p>
    <w:p w14:paraId="3BA25EC9" w14:textId="77777777" w:rsidR="000A2212" w:rsidRDefault="001B556E">
      <w:pPr>
        <w:pStyle w:val="Bodytext10"/>
        <w:framePr w:w="9182" w:h="14045" w:hRule="exact" w:wrap="none" w:vAnchor="page" w:hAnchor="page" w:x="1314" w:y="1583"/>
        <w:numPr>
          <w:ilvl w:val="0"/>
          <w:numId w:val="7"/>
        </w:numPr>
        <w:tabs>
          <w:tab w:val="left" w:pos="537"/>
        </w:tabs>
        <w:spacing w:after="0"/>
        <w:ind w:firstLine="220"/>
      </w:pPr>
      <w:bookmarkStart w:id="46" w:name="bookmark46"/>
      <w:bookmarkEnd w:id="46"/>
      <w:r>
        <w:t xml:space="preserve">podstatného porušení </w:t>
      </w:r>
      <w:proofErr w:type="gramStart"/>
      <w:r>
        <w:t>povinností - podmínek</w:t>
      </w:r>
      <w:proofErr w:type="gramEnd"/>
      <w:r>
        <w:t xml:space="preserve"> burzovního obchodu (závěrkového listu) odběratelem,</w:t>
      </w:r>
    </w:p>
    <w:p w14:paraId="5F1B16D7" w14:textId="77777777" w:rsidR="000A2212" w:rsidRDefault="001B556E">
      <w:pPr>
        <w:pStyle w:val="Bodytext10"/>
        <w:framePr w:w="9182" w:h="14045" w:hRule="exact" w:wrap="none" w:vAnchor="page" w:hAnchor="page" w:x="1314" w:y="1583"/>
        <w:numPr>
          <w:ilvl w:val="0"/>
          <w:numId w:val="7"/>
        </w:numPr>
        <w:tabs>
          <w:tab w:val="left" w:pos="537"/>
        </w:tabs>
        <w:spacing w:after="0"/>
        <w:ind w:left="420" w:hanging="200"/>
      </w:pPr>
      <w:bookmarkStart w:id="47" w:name="bookmark47"/>
      <w:bookmarkEnd w:id="47"/>
      <w:r>
        <w:t>je-li déle než 30 kalendářních dní z důvodu nečinnosti nebo neplnění povinností odběratele přerušena dodávka elektřiny ze strany dodavatele nebo provozovatele distribuční soustavy z důvodu neoprávněného odběru elektřiny,</w:t>
      </w:r>
    </w:p>
    <w:p w14:paraId="2D481D6F" w14:textId="77777777" w:rsidR="000A2212" w:rsidRDefault="001B556E">
      <w:pPr>
        <w:pStyle w:val="Bodytext10"/>
        <w:framePr w:w="9182" w:h="14045" w:hRule="exact" w:wrap="none" w:vAnchor="page" w:hAnchor="page" w:x="1314" w:y="1583"/>
        <w:numPr>
          <w:ilvl w:val="0"/>
          <w:numId w:val="7"/>
        </w:numPr>
        <w:tabs>
          <w:tab w:val="left" w:pos="537"/>
        </w:tabs>
        <w:ind w:firstLine="220"/>
      </w:pPr>
      <w:bookmarkStart w:id="48" w:name="bookmark48"/>
      <w:bookmarkEnd w:id="48"/>
      <w:r>
        <w:t>je-li odběratel v úpadku nebo je mu povoleno vyrovnání.</w:t>
      </w:r>
    </w:p>
    <w:p w14:paraId="429DF14F" w14:textId="77777777" w:rsidR="000A2212" w:rsidRDefault="001B556E">
      <w:pPr>
        <w:pStyle w:val="Bodytext10"/>
        <w:framePr w:w="9182" w:h="14045" w:hRule="exact" w:wrap="none" w:vAnchor="page" w:hAnchor="page" w:x="1314" w:y="1583"/>
        <w:numPr>
          <w:ilvl w:val="0"/>
          <w:numId w:val="6"/>
        </w:numPr>
        <w:tabs>
          <w:tab w:val="left" w:pos="303"/>
        </w:tabs>
        <w:spacing w:after="0"/>
        <w:ind w:left="220" w:hanging="220"/>
      </w:pPr>
      <w:bookmarkStart w:id="49" w:name="bookmark49"/>
      <w:bookmarkEnd w:id="49"/>
      <w:r>
        <w:t xml:space="preserve">Za podstatné porušení </w:t>
      </w:r>
      <w:proofErr w:type="gramStart"/>
      <w:r>
        <w:t>povinností - podmínek</w:t>
      </w:r>
      <w:proofErr w:type="gramEnd"/>
      <w:r>
        <w:t xml:space="preserve"> burzovního </w:t>
      </w:r>
      <w:r>
        <w:t>obchodu (závěrkového listu) odběratelem se považuje zejména:</w:t>
      </w:r>
    </w:p>
    <w:p w14:paraId="403F3034" w14:textId="77777777" w:rsidR="000A2212" w:rsidRDefault="001B556E">
      <w:pPr>
        <w:pStyle w:val="Bodytext10"/>
        <w:framePr w:w="9182" w:h="14045" w:hRule="exact" w:wrap="none" w:vAnchor="page" w:hAnchor="page" w:x="1314" w:y="1583"/>
        <w:numPr>
          <w:ilvl w:val="0"/>
          <w:numId w:val="8"/>
        </w:numPr>
        <w:tabs>
          <w:tab w:val="left" w:pos="537"/>
        </w:tabs>
        <w:spacing w:after="0"/>
        <w:ind w:left="420" w:hanging="200"/>
      </w:pPr>
      <w:bookmarkStart w:id="50" w:name="bookmark50"/>
      <w:bookmarkEnd w:id="50"/>
      <w:r>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14:paraId="5328FFD3" w14:textId="77777777" w:rsidR="000A2212" w:rsidRDefault="001B556E">
      <w:pPr>
        <w:pStyle w:val="Bodytext10"/>
        <w:framePr w:w="9182" w:h="14045" w:hRule="exact" w:wrap="none" w:vAnchor="page" w:hAnchor="page" w:x="1314" w:y="1583"/>
        <w:numPr>
          <w:ilvl w:val="0"/>
          <w:numId w:val="8"/>
        </w:numPr>
        <w:tabs>
          <w:tab w:val="left" w:pos="537"/>
        </w:tabs>
        <w:ind w:left="420" w:hanging="200"/>
      </w:pPr>
      <w:bookmarkStart w:id="51" w:name="bookmark51"/>
      <w:bookmarkEnd w:id="51"/>
      <w:r>
        <w:t xml:space="preserve">poruší-li odběratel podstatně </w:t>
      </w:r>
      <w:proofErr w:type="gramStart"/>
      <w:r>
        <w:t>povinnosti - podmínky</w:t>
      </w:r>
      <w:proofErr w:type="gramEnd"/>
      <w:r>
        <w:t xml:space="preserve"> zvlášť specifikované burzovním obchodem (závěrkovým listem).</w:t>
      </w:r>
    </w:p>
    <w:p w14:paraId="66EB1FAF" w14:textId="77777777" w:rsidR="000A2212" w:rsidRDefault="001B556E">
      <w:pPr>
        <w:pStyle w:val="Bodytext10"/>
        <w:framePr w:w="9182" w:h="14045" w:hRule="exact" w:wrap="none" w:vAnchor="page" w:hAnchor="page" w:x="1314" w:y="1583"/>
        <w:numPr>
          <w:ilvl w:val="0"/>
          <w:numId w:val="6"/>
        </w:numPr>
        <w:tabs>
          <w:tab w:val="left" w:pos="303"/>
        </w:tabs>
        <w:spacing w:after="0" w:line="240" w:lineRule="auto"/>
      </w:pPr>
      <w:bookmarkStart w:id="52" w:name="bookmark52"/>
      <w:bookmarkEnd w:id="52"/>
      <w:r>
        <w:t>Odběratel je oprávněn odstoupit od burzovního obchodu (závěrkového listu) v případě:</w:t>
      </w:r>
    </w:p>
    <w:p w14:paraId="652B7B33" w14:textId="77777777" w:rsidR="000A2212" w:rsidRDefault="001B556E">
      <w:pPr>
        <w:pStyle w:val="Bodytext10"/>
        <w:framePr w:w="9182" w:h="14045" w:hRule="exact" w:wrap="none" w:vAnchor="page" w:hAnchor="page" w:x="1314" w:y="1583"/>
        <w:numPr>
          <w:ilvl w:val="0"/>
          <w:numId w:val="9"/>
        </w:numPr>
        <w:tabs>
          <w:tab w:val="left" w:pos="537"/>
        </w:tabs>
        <w:spacing w:after="0" w:line="240" w:lineRule="auto"/>
        <w:ind w:firstLine="220"/>
      </w:pPr>
      <w:bookmarkStart w:id="53" w:name="bookmark53"/>
      <w:bookmarkEnd w:id="53"/>
      <w:r>
        <w:t xml:space="preserve">podstatného porušení </w:t>
      </w:r>
      <w:proofErr w:type="gramStart"/>
      <w:r>
        <w:t>povinností - podmínek</w:t>
      </w:r>
      <w:proofErr w:type="gramEnd"/>
      <w:r>
        <w:t xml:space="preserve"> burzovního obchodu (závěrkového listu) dodavatelem,</w:t>
      </w:r>
    </w:p>
    <w:p w14:paraId="502252AE" w14:textId="77777777" w:rsidR="000A2212" w:rsidRDefault="001B556E">
      <w:pPr>
        <w:pStyle w:val="Bodytext10"/>
        <w:framePr w:w="9182" w:h="14045" w:hRule="exact" w:wrap="none" w:vAnchor="page" w:hAnchor="page" w:x="1314" w:y="1583"/>
        <w:numPr>
          <w:ilvl w:val="0"/>
          <w:numId w:val="9"/>
        </w:numPr>
        <w:tabs>
          <w:tab w:val="left" w:pos="537"/>
        </w:tabs>
        <w:spacing w:line="240" w:lineRule="auto"/>
        <w:ind w:firstLine="220"/>
      </w:pPr>
      <w:bookmarkStart w:id="54" w:name="bookmark54"/>
      <w:bookmarkEnd w:id="54"/>
      <w:r>
        <w:t>je-li dodavatel v úpadku nebo je mu povoleno vyrovnání.</w:t>
      </w:r>
    </w:p>
    <w:p w14:paraId="4FCAC06A" w14:textId="77777777" w:rsidR="000A2212" w:rsidRDefault="001B556E">
      <w:pPr>
        <w:pStyle w:val="Bodytext10"/>
        <w:framePr w:w="9182" w:h="14045" w:hRule="exact" w:wrap="none" w:vAnchor="page" w:hAnchor="page" w:x="1314" w:y="1583"/>
        <w:numPr>
          <w:ilvl w:val="0"/>
          <w:numId w:val="6"/>
        </w:numPr>
        <w:tabs>
          <w:tab w:val="left" w:pos="308"/>
        </w:tabs>
        <w:spacing w:after="0" w:line="240" w:lineRule="auto"/>
        <w:ind w:left="220" w:hanging="220"/>
      </w:pPr>
      <w:bookmarkStart w:id="55" w:name="bookmark55"/>
      <w:bookmarkEnd w:id="55"/>
      <w:r>
        <w:t xml:space="preserve">Za podstatné porušení </w:t>
      </w:r>
      <w:proofErr w:type="gramStart"/>
      <w:r>
        <w:t>povinností - podmínek</w:t>
      </w:r>
      <w:proofErr w:type="gramEnd"/>
      <w:r>
        <w:t xml:space="preserve"> burzovního obchodu (závěrkového listu) dodavatelem se považuje zejména:</w:t>
      </w:r>
    </w:p>
    <w:p w14:paraId="30448F3B" w14:textId="77777777" w:rsidR="000A2212" w:rsidRDefault="001B556E">
      <w:pPr>
        <w:pStyle w:val="Bodytext10"/>
        <w:framePr w:w="9182" w:h="14045" w:hRule="exact" w:wrap="none" w:vAnchor="page" w:hAnchor="page" w:x="1314" w:y="1583"/>
        <w:numPr>
          <w:ilvl w:val="0"/>
          <w:numId w:val="10"/>
        </w:numPr>
        <w:tabs>
          <w:tab w:val="left" w:pos="542"/>
        </w:tabs>
        <w:spacing w:after="0" w:line="240" w:lineRule="auto"/>
        <w:ind w:firstLine="220"/>
      </w:pPr>
      <w:bookmarkStart w:id="56" w:name="bookmark56"/>
      <w:bookmarkEnd w:id="56"/>
      <w:r>
        <w:t xml:space="preserve">bezdůvodné přerušení, omezení nebo ukončení dodávky </w:t>
      </w:r>
      <w:r>
        <w:t>elektřiny dodavatelem,</w:t>
      </w:r>
    </w:p>
    <w:p w14:paraId="5137936A" w14:textId="77777777" w:rsidR="000A2212" w:rsidRDefault="001B556E">
      <w:pPr>
        <w:pStyle w:val="Bodytext10"/>
        <w:framePr w:w="9182" w:h="14045" w:hRule="exact" w:wrap="none" w:vAnchor="page" w:hAnchor="page" w:x="1314" w:y="1583"/>
        <w:numPr>
          <w:ilvl w:val="0"/>
          <w:numId w:val="10"/>
        </w:numPr>
        <w:tabs>
          <w:tab w:val="left" w:pos="542"/>
        </w:tabs>
        <w:spacing w:after="0" w:line="240" w:lineRule="auto"/>
        <w:ind w:firstLine="220"/>
      </w:pPr>
      <w:bookmarkStart w:id="57" w:name="bookmark57"/>
      <w:bookmarkEnd w:id="57"/>
      <w:r>
        <w:t>bezdůvodné nezajištění dopravy elektřiny a souvisejících služeb ze strany dodavatele,</w:t>
      </w:r>
    </w:p>
    <w:p w14:paraId="5C1F2033" w14:textId="77777777" w:rsidR="000A2212" w:rsidRDefault="001B556E">
      <w:pPr>
        <w:pStyle w:val="Bodytext10"/>
        <w:framePr w:w="9182" w:h="14045" w:hRule="exact" w:wrap="none" w:vAnchor="page" w:hAnchor="page" w:x="1314" w:y="1583"/>
        <w:numPr>
          <w:ilvl w:val="0"/>
          <w:numId w:val="10"/>
        </w:numPr>
        <w:tabs>
          <w:tab w:val="left" w:pos="542"/>
        </w:tabs>
        <w:spacing w:after="0" w:line="240" w:lineRule="auto"/>
        <w:ind w:left="420" w:hanging="200"/>
      </w:pPr>
      <w:bookmarkStart w:id="58" w:name="bookmark58"/>
      <w:bookmarkEnd w:id="58"/>
      <w:r>
        <w:t>je-li dodavatel i přes doručení výzvy nebo upomínky k placení v prodlení se zaplacením peněžitého závazku vyplývajícího ze závěrkového listu trvajícího déle než 14 kalendářních dnů,</w:t>
      </w:r>
    </w:p>
    <w:p w14:paraId="31232470" w14:textId="77777777" w:rsidR="000A2212" w:rsidRDefault="001B556E">
      <w:pPr>
        <w:pStyle w:val="Bodytext10"/>
        <w:framePr w:w="9182" w:h="14045" w:hRule="exact" w:wrap="none" w:vAnchor="page" w:hAnchor="page" w:x="1314" w:y="1583"/>
        <w:numPr>
          <w:ilvl w:val="0"/>
          <w:numId w:val="10"/>
        </w:numPr>
        <w:tabs>
          <w:tab w:val="left" w:pos="542"/>
        </w:tabs>
        <w:spacing w:line="240" w:lineRule="auto"/>
        <w:ind w:left="420" w:hanging="200"/>
      </w:pPr>
      <w:bookmarkStart w:id="59" w:name="bookmark59"/>
      <w:bookmarkEnd w:id="59"/>
      <w:r>
        <w:t xml:space="preserve">poruší-li dodavatel podstatně </w:t>
      </w:r>
      <w:proofErr w:type="gramStart"/>
      <w:r>
        <w:t>povinnosti - podmínky</w:t>
      </w:r>
      <w:proofErr w:type="gramEnd"/>
      <w:r>
        <w:t xml:space="preserve"> zvlášť specifikované burzovním obchodem (závěrkovým listem).</w:t>
      </w:r>
    </w:p>
    <w:p w14:paraId="2C39A359" w14:textId="77777777" w:rsidR="000A2212" w:rsidRDefault="001B556E">
      <w:pPr>
        <w:pStyle w:val="Bodytext10"/>
        <w:framePr w:w="9182" w:h="14045" w:hRule="exact" w:wrap="none" w:vAnchor="page" w:hAnchor="page" w:x="1314" w:y="1583"/>
        <w:numPr>
          <w:ilvl w:val="0"/>
          <w:numId w:val="6"/>
        </w:numPr>
        <w:tabs>
          <w:tab w:val="left" w:pos="308"/>
        </w:tabs>
        <w:spacing w:after="0" w:line="240" w:lineRule="auto"/>
        <w:ind w:left="220" w:hanging="220"/>
      </w:pPr>
      <w:bookmarkStart w:id="60" w:name="bookmark60"/>
      <w:bookmarkEnd w:id="60"/>
      <w:r>
        <w:t>Odstoupení od burzovního obchodu (závěrkového listu) musí být provedeno písemně a je účinné dnem doručení písemného oznámení o odstoupení druhé smluvní straně, nebo pozdějším dnem, který je</w:t>
      </w:r>
    </w:p>
    <w:p w14:paraId="3A3C4BD3" w14:textId="77777777" w:rsidR="000A2212" w:rsidRDefault="001B556E">
      <w:pPr>
        <w:pStyle w:val="Bodytext10"/>
        <w:framePr w:w="9182" w:h="14045" w:hRule="exact" w:wrap="none" w:vAnchor="page" w:hAnchor="page" w:x="1314" w:y="1583"/>
        <w:spacing w:line="240" w:lineRule="auto"/>
        <w:ind w:left="220"/>
      </w:pPr>
      <w:r>
        <w:t>v oznámení o odstoupení odstupující smluvní stranou stanoven. Odstupující smluvní strana je povinna oznámit odstoupení od burzovního obchodu (závěrkového listu) příslušnému provozovateli distribuční soustavy.</w:t>
      </w:r>
    </w:p>
    <w:p w14:paraId="3635A3DC" w14:textId="77777777" w:rsidR="000A2212" w:rsidRDefault="001B556E">
      <w:pPr>
        <w:pStyle w:val="Heading310"/>
        <w:framePr w:w="9182" w:h="14045" w:hRule="exact" w:wrap="none" w:vAnchor="page" w:hAnchor="page" w:x="1314" w:y="1583"/>
        <w:spacing w:line="240" w:lineRule="auto"/>
      </w:pPr>
      <w:bookmarkStart w:id="61" w:name="bookmark61"/>
      <w:bookmarkStart w:id="62" w:name="bookmark62"/>
      <w:bookmarkStart w:id="63" w:name="bookmark63"/>
      <w:r>
        <w:t>Komunikace a doručování</w:t>
      </w:r>
      <w:bookmarkEnd w:id="61"/>
      <w:bookmarkEnd w:id="62"/>
      <w:bookmarkEnd w:id="63"/>
    </w:p>
    <w:p w14:paraId="42DC1054" w14:textId="77777777" w:rsidR="000A2212" w:rsidRDefault="001B556E">
      <w:pPr>
        <w:pStyle w:val="Bodytext10"/>
        <w:framePr w:w="9182" w:h="14045" w:hRule="exact" w:wrap="none" w:vAnchor="page" w:hAnchor="page" w:x="1314" w:y="1583"/>
        <w:numPr>
          <w:ilvl w:val="0"/>
          <w:numId w:val="11"/>
        </w:numPr>
        <w:tabs>
          <w:tab w:val="left" w:pos="293"/>
        </w:tabs>
        <w:spacing w:line="240" w:lineRule="auto"/>
        <w:ind w:left="220" w:hanging="220"/>
      </w:pPr>
      <w:bookmarkStart w:id="64" w:name="bookmark64"/>
      <w:bookmarkEnd w:id="64"/>
      <w:r>
        <w:t xml:space="preserve">Korespondence, oznámení či jiné sdělení učiněné mezi smluvními stranami na základě uzavřeného burzovního obchodu (závěrkového listu) musí mít písemnou podobu a musí být v českém jazyce (dále </w:t>
      </w:r>
      <w:r>
        <w:t>„písemnost“).</w:t>
      </w:r>
    </w:p>
    <w:p w14:paraId="0F6B4574" w14:textId="77777777" w:rsidR="000A2212" w:rsidRDefault="001B556E">
      <w:pPr>
        <w:pStyle w:val="Bodytext10"/>
        <w:framePr w:w="9182" w:h="14045" w:hRule="exact" w:wrap="none" w:vAnchor="page" w:hAnchor="page" w:x="1314" w:y="1583"/>
        <w:numPr>
          <w:ilvl w:val="0"/>
          <w:numId w:val="11"/>
        </w:numPr>
        <w:tabs>
          <w:tab w:val="left" w:pos="308"/>
        </w:tabs>
        <w:spacing w:after="0" w:line="240" w:lineRule="auto"/>
      </w:pPr>
      <w:bookmarkStart w:id="65" w:name="bookmark65"/>
      <w:bookmarkEnd w:id="65"/>
      <w:r>
        <w:t>Písemnosti se považují za doručené:</w:t>
      </w:r>
    </w:p>
    <w:p w14:paraId="21542BF0" w14:textId="77777777" w:rsidR="000A2212" w:rsidRDefault="001B556E">
      <w:pPr>
        <w:pStyle w:val="Bodytext10"/>
        <w:framePr w:w="9182" w:h="14045" w:hRule="exact" w:wrap="none" w:vAnchor="page" w:hAnchor="page" w:x="1314" w:y="1583"/>
        <w:numPr>
          <w:ilvl w:val="0"/>
          <w:numId w:val="12"/>
        </w:numPr>
        <w:tabs>
          <w:tab w:val="left" w:pos="537"/>
        </w:tabs>
        <w:spacing w:after="0" w:line="240" w:lineRule="auto"/>
        <w:ind w:firstLine="220"/>
      </w:pPr>
      <w:bookmarkStart w:id="66" w:name="bookmark66"/>
      <w:bookmarkEnd w:id="66"/>
      <w:r>
        <w:t>osobním doručením a předáním kontaktní osobě smluvní strany, která je adresátem,</w:t>
      </w:r>
    </w:p>
    <w:p w14:paraId="352663E4" w14:textId="77777777" w:rsidR="000A2212" w:rsidRDefault="001B556E">
      <w:pPr>
        <w:pStyle w:val="Bodytext10"/>
        <w:framePr w:w="9182" w:h="14045" w:hRule="exact" w:wrap="none" w:vAnchor="page" w:hAnchor="page" w:x="1314" w:y="1583"/>
        <w:numPr>
          <w:ilvl w:val="0"/>
          <w:numId w:val="12"/>
        </w:numPr>
        <w:tabs>
          <w:tab w:val="left" w:pos="537"/>
        </w:tabs>
        <w:spacing w:after="0" w:line="240" w:lineRule="auto"/>
        <w:ind w:left="420" w:hanging="200"/>
      </w:pPr>
      <w:bookmarkStart w:id="67" w:name="bookmark67"/>
      <w:bookmarkEnd w:id="67"/>
      <w:r>
        <w:t>pátým kalendářním dnem ode dne odeslání doporučeného dopisu na kontaktní adresu smluvní strany, která je adresátem, nebo dřívějším dnem doručení,</w:t>
      </w:r>
    </w:p>
    <w:p w14:paraId="1CD2E32B" w14:textId="77777777" w:rsidR="000A2212" w:rsidRDefault="001B556E">
      <w:pPr>
        <w:pStyle w:val="Bodytext10"/>
        <w:framePr w:w="9182" w:h="14045" w:hRule="exact" w:wrap="none" w:vAnchor="page" w:hAnchor="page" w:x="1314" w:y="1583"/>
        <w:numPr>
          <w:ilvl w:val="0"/>
          <w:numId w:val="12"/>
        </w:numPr>
        <w:tabs>
          <w:tab w:val="left" w:pos="537"/>
        </w:tabs>
        <w:spacing w:line="240" w:lineRule="auto"/>
        <w:ind w:left="420" w:hanging="200"/>
      </w:pPr>
      <w:bookmarkStart w:id="68" w:name="bookmark68"/>
      <w:bookmarkEnd w:id="68"/>
      <w:r>
        <w:t>zpětným potvrzením faxové nebo elektronické zprávy, která byla odeslána na kontaktní faxové číslo nebo e-mailovou adresu smluvní strany, která je adresátem.</w:t>
      </w:r>
    </w:p>
    <w:p w14:paraId="6161AB15" w14:textId="77777777" w:rsidR="000A2212" w:rsidRDefault="001B556E">
      <w:pPr>
        <w:pStyle w:val="Bodytext10"/>
        <w:framePr w:w="9182" w:h="14045" w:hRule="exact" w:wrap="none" w:vAnchor="page" w:hAnchor="page" w:x="1314" w:y="1583"/>
        <w:numPr>
          <w:ilvl w:val="0"/>
          <w:numId w:val="11"/>
        </w:numPr>
        <w:tabs>
          <w:tab w:val="left" w:pos="308"/>
        </w:tabs>
        <w:ind w:left="220" w:hanging="220"/>
      </w:pPr>
      <w:bookmarkStart w:id="69" w:name="bookmark69"/>
      <w:bookmarkEnd w:id="69"/>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7AED22E3" w14:textId="77777777" w:rsidR="000A2212" w:rsidRDefault="001B556E">
      <w:pPr>
        <w:pStyle w:val="Heading310"/>
        <w:framePr w:w="9182" w:h="14045" w:hRule="exact" w:wrap="none" w:vAnchor="page" w:hAnchor="page" w:x="1314" w:y="1583"/>
        <w:spacing w:line="240" w:lineRule="auto"/>
      </w:pPr>
      <w:bookmarkStart w:id="70" w:name="bookmark70"/>
      <w:bookmarkStart w:id="71" w:name="bookmark71"/>
      <w:bookmarkStart w:id="72" w:name="bookmark72"/>
      <w:r>
        <w:rPr>
          <w:u w:val="none"/>
        </w:rPr>
        <w:t>Kontaktní údaje:</w:t>
      </w:r>
      <w:bookmarkEnd w:id="70"/>
      <w:bookmarkEnd w:id="71"/>
      <w:bookmarkEnd w:id="72"/>
    </w:p>
    <w:p w14:paraId="76604BA2" w14:textId="3110460E" w:rsidR="000A2212" w:rsidRDefault="001B556E">
      <w:pPr>
        <w:pStyle w:val="Bodytext10"/>
        <w:framePr w:w="9182" w:h="14045" w:hRule="exact" w:wrap="none" w:vAnchor="page" w:hAnchor="page" w:x="1314" w:y="1583"/>
        <w:spacing w:after="0" w:line="240" w:lineRule="auto"/>
      </w:pPr>
      <w:r>
        <w:t xml:space="preserve">Dodavatel: </w:t>
      </w:r>
      <w:r w:rsidR="00133466">
        <w:t>XXXXXXXXXXXXXXXXXXXXXXXXXXXXXXXXXXXXXXXXXXXXXXXXX</w:t>
      </w:r>
    </w:p>
    <w:p w14:paraId="674278B7" w14:textId="77777777" w:rsidR="000A2212" w:rsidRDefault="001B556E">
      <w:pPr>
        <w:pStyle w:val="Headerorfooter10"/>
        <w:framePr w:wrap="none" w:vAnchor="page" w:hAnchor="page" w:x="1314" w:y="15882"/>
      </w:pPr>
      <w:r>
        <w:t>Dodávka elektřiny v rámci SSDE v napěťové hladině vysokého napětí</w:t>
      </w:r>
    </w:p>
    <w:p w14:paraId="7C1DEFD9" w14:textId="77777777" w:rsidR="000A2212" w:rsidRDefault="001B556E">
      <w:pPr>
        <w:pStyle w:val="Headerorfooter10"/>
        <w:framePr w:wrap="none" w:vAnchor="page" w:hAnchor="page" w:x="9206" w:y="15891"/>
      </w:pPr>
      <w:r>
        <w:t>Strana 5 (celkem 7)</w:t>
      </w:r>
    </w:p>
    <w:p w14:paraId="23876333" w14:textId="77777777" w:rsidR="000A2212" w:rsidRDefault="000A2212">
      <w:pPr>
        <w:spacing w:line="1" w:lineRule="exact"/>
        <w:sectPr w:rsidR="000A2212">
          <w:pgSz w:w="11900" w:h="16840"/>
          <w:pgMar w:top="360" w:right="360" w:bottom="360" w:left="360" w:header="0" w:footer="3" w:gutter="0"/>
          <w:cols w:space="720"/>
          <w:noEndnote/>
          <w:docGrid w:linePitch="360"/>
        </w:sectPr>
      </w:pPr>
    </w:p>
    <w:p w14:paraId="1BF56FAD" w14:textId="77777777" w:rsidR="000A2212" w:rsidRDefault="001B556E">
      <w:pPr>
        <w:spacing w:line="1" w:lineRule="exact"/>
      </w:pPr>
      <w:r>
        <w:rPr>
          <w:noProof/>
        </w:rPr>
        <w:lastRenderedPageBreak/>
        <mc:AlternateContent>
          <mc:Choice Requires="wps">
            <w:drawing>
              <wp:anchor distT="0" distB="0" distL="114300" distR="114300" simplePos="0" relativeHeight="251658752" behindDoc="1" locked="0" layoutInCell="1" allowOverlap="1" wp14:anchorId="70B2B64C" wp14:editId="13086977">
                <wp:simplePos x="0" y="0"/>
                <wp:positionH relativeFrom="page">
                  <wp:posOffset>831215</wp:posOffset>
                </wp:positionH>
                <wp:positionV relativeFrom="page">
                  <wp:posOffset>10057130</wp:posOffset>
                </wp:positionV>
                <wp:extent cx="5845810" cy="0"/>
                <wp:effectExtent l="0" t="0" r="0" b="0"/>
                <wp:wrapNone/>
                <wp:docPr id="6" name="Shape 6"/>
                <wp:cNvGraphicFramePr/>
                <a:graphic xmlns:a="http://schemas.openxmlformats.org/drawingml/2006/main">
                  <a:graphicData uri="http://schemas.microsoft.com/office/word/2010/wordprocessingShape">
                    <wps:wsp>
                      <wps:cNvCnPr/>
                      <wps:spPr>
                        <a:xfrm>
                          <a:off x="0" y="0"/>
                          <a:ext cx="5845810" cy="0"/>
                        </a:xfrm>
                        <a:prstGeom prst="straightConnector1">
                          <a:avLst/>
                        </a:prstGeom>
                        <a:ln w="15240">
                          <a:solidFill/>
                        </a:ln>
                      </wps:spPr>
                      <wps:bodyPr/>
                    </wps:wsp>
                  </a:graphicData>
                </a:graphic>
              </wp:anchor>
            </w:drawing>
          </mc:Choice>
          <mc:Fallback>
            <w:pict>
              <v:shape o:spt="32" o:oned="true" path="m,l21600,21600e" style="position:absolute;margin-left:65.450000000000003pt;margin-top:791.89999999999998pt;width:460.30000000000001pt;height:0;z-index:-251658240;mso-position-horizontal-relative:page;mso-position-vertical-relative:page">
                <v:stroke weight="1.2pt"/>
              </v:shape>
            </w:pict>
          </mc:Fallback>
        </mc:AlternateContent>
      </w:r>
    </w:p>
    <w:p w14:paraId="31C9F2A6" w14:textId="67FD2ED8" w:rsidR="000A2212" w:rsidRDefault="001B556E">
      <w:pPr>
        <w:pStyle w:val="Headerorfooter10"/>
        <w:framePr w:w="9221" w:h="350" w:hRule="exact" w:wrap="none" w:vAnchor="page" w:hAnchor="page" w:x="1295" w:y="939"/>
        <w:ind w:firstLine="180"/>
        <w:rPr>
          <w:sz w:val="10"/>
          <w:szCs w:val="10"/>
        </w:rPr>
      </w:pPr>
      <w:r>
        <w:rPr>
          <w:b/>
          <w:bCs/>
          <w:i w:val="0"/>
          <w:iCs w:val="0"/>
          <w:color w:val="405F91"/>
          <w:sz w:val="10"/>
          <w:szCs w:val="10"/>
        </w:rPr>
        <w:t xml:space="preserve"> </w:t>
      </w:r>
      <w:r>
        <w:rPr>
          <w:b/>
          <w:bCs/>
          <w:i w:val="0"/>
          <w:iCs w:val="0"/>
          <w:sz w:val="10"/>
          <w:szCs w:val="10"/>
        </w:rPr>
        <w:t>ČESKOMORAVSKÁ</w:t>
      </w:r>
    </w:p>
    <w:p w14:paraId="2B6EA9FD" w14:textId="78FCE337" w:rsidR="000A2212" w:rsidRDefault="00E87D02">
      <w:pPr>
        <w:pStyle w:val="Headerorfooter10"/>
        <w:framePr w:w="9221" w:h="350" w:hRule="exact" w:wrap="none" w:vAnchor="page" w:hAnchor="page" w:x="1295" w:y="939"/>
        <w:ind w:firstLine="180"/>
        <w:rPr>
          <w:sz w:val="10"/>
          <w:szCs w:val="10"/>
        </w:rPr>
      </w:pPr>
      <w:r>
        <w:rPr>
          <w:b/>
          <w:bCs/>
          <w:i w:val="0"/>
          <w:iCs w:val="0"/>
          <w:color w:val="405F91"/>
          <w:sz w:val="10"/>
          <w:szCs w:val="10"/>
        </w:rPr>
        <w:t xml:space="preserve"> </w:t>
      </w:r>
      <w:r w:rsidR="001B556E">
        <w:rPr>
          <w:b/>
          <w:bCs/>
          <w:i w:val="0"/>
          <w:iCs w:val="0"/>
          <w:sz w:val="10"/>
          <w:szCs w:val="10"/>
        </w:rPr>
        <w:t>KOMODITNÍ BURZA KLADNO</w:t>
      </w:r>
    </w:p>
    <w:p w14:paraId="4F7C2706" w14:textId="48A41A0D" w:rsidR="000A2212" w:rsidRDefault="001B556E">
      <w:pPr>
        <w:pStyle w:val="Bodytext10"/>
        <w:framePr w:w="9221" w:h="13099" w:hRule="exact" w:wrap="none" w:vAnchor="page" w:hAnchor="page" w:x="1295" w:y="1535"/>
      </w:pPr>
      <w:r>
        <w:t xml:space="preserve">Odběratel: </w:t>
      </w:r>
      <w:r w:rsidR="00E87D02">
        <w:t>XXXXXXXXXXXXXXXXXXXXXXXXXXXXXXXX</w:t>
      </w:r>
    </w:p>
    <w:p w14:paraId="68F20265" w14:textId="77777777" w:rsidR="000A2212" w:rsidRDefault="001B556E">
      <w:pPr>
        <w:pStyle w:val="Heading310"/>
        <w:framePr w:w="9221" w:h="13099" w:hRule="exact" w:wrap="none" w:vAnchor="page" w:hAnchor="page" w:x="1295" w:y="1535"/>
      </w:pPr>
      <w:bookmarkStart w:id="73" w:name="bookmark73"/>
      <w:bookmarkStart w:id="74" w:name="bookmark74"/>
      <w:bookmarkStart w:id="75" w:name="bookmark75"/>
      <w:r>
        <w:t>Mlčenlivost</w:t>
      </w:r>
      <w:bookmarkEnd w:id="73"/>
      <w:bookmarkEnd w:id="74"/>
      <w:bookmarkEnd w:id="75"/>
    </w:p>
    <w:p w14:paraId="2752C824" w14:textId="77777777" w:rsidR="000A2212" w:rsidRDefault="001B556E">
      <w:pPr>
        <w:pStyle w:val="Bodytext10"/>
        <w:framePr w:w="9221" w:h="13099" w:hRule="exact" w:wrap="none" w:vAnchor="page" w:hAnchor="page" w:x="1295" w:y="1535"/>
        <w:numPr>
          <w:ilvl w:val="0"/>
          <w:numId w:val="13"/>
        </w:numPr>
        <w:tabs>
          <w:tab w:val="left" w:pos="260"/>
        </w:tabs>
        <w:ind w:left="200" w:hanging="200"/>
      </w:pPr>
      <w:bookmarkStart w:id="76" w:name="bookmark76"/>
      <w:bookmarkEnd w:id="76"/>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2DD4D2B0" w14:textId="77777777" w:rsidR="000A2212" w:rsidRDefault="001B556E">
      <w:pPr>
        <w:pStyle w:val="Bodytext10"/>
        <w:framePr w:w="9221" w:h="13099" w:hRule="exact" w:wrap="none" w:vAnchor="page" w:hAnchor="page" w:x="1295" w:y="1535"/>
        <w:numPr>
          <w:ilvl w:val="0"/>
          <w:numId w:val="13"/>
        </w:numPr>
        <w:tabs>
          <w:tab w:val="left" w:pos="274"/>
        </w:tabs>
        <w:spacing w:line="240" w:lineRule="auto"/>
        <w:ind w:left="200" w:hanging="200"/>
      </w:pPr>
      <w:bookmarkStart w:id="77" w:name="bookmark77"/>
      <w:bookmarkEnd w:id="77"/>
      <w:r>
        <w:t>Dodavatel a odběratel se zavazují přijmout technická a organizační vnitřní opatření k ochraně neveřejných informací, zejména důvěrných informací a osobních údajů.</w:t>
      </w:r>
    </w:p>
    <w:p w14:paraId="58A379F6" w14:textId="77777777" w:rsidR="000A2212" w:rsidRDefault="001B556E">
      <w:pPr>
        <w:pStyle w:val="Heading310"/>
        <w:framePr w:w="9221" w:h="13099" w:hRule="exact" w:wrap="none" w:vAnchor="page" w:hAnchor="page" w:x="1295" w:y="1535"/>
      </w:pPr>
      <w:bookmarkStart w:id="78" w:name="bookmark78"/>
      <w:bookmarkStart w:id="79" w:name="bookmark79"/>
      <w:bookmarkStart w:id="80" w:name="bookmark80"/>
      <w:r>
        <w:t>Předcházení škodám</w:t>
      </w:r>
      <w:bookmarkEnd w:id="78"/>
      <w:bookmarkEnd w:id="79"/>
      <w:bookmarkEnd w:id="80"/>
    </w:p>
    <w:p w14:paraId="128AABE9" w14:textId="77777777" w:rsidR="000A2212" w:rsidRDefault="001B556E">
      <w:pPr>
        <w:pStyle w:val="Bodytext10"/>
        <w:framePr w:w="9221" w:h="13099" w:hRule="exact" w:wrap="none" w:vAnchor="page" w:hAnchor="page" w:x="1295" w:y="1535"/>
        <w:numPr>
          <w:ilvl w:val="0"/>
          <w:numId w:val="14"/>
        </w:numPr>
        <w:tabs>
          <w:tab w:val="left" w:pos="265"/>
        </w:tabs>
        <w:ind w:left="200" w:hanging="200"/>
      </w:pPr>
      <w:bookmarkStart w:id="81" w:name="bookmark81"/>
      <w:bookmarkEnd w:id="81"/>
      <w:r>
        <w:t>Dodavatel a odběratel jsou povinni navzájem se informovat o všech skutečnostech, kterých jsou si vědomi, a které by mohly vést ke škodám, a jsou povinni usilovat o odvrácení hrozících škod.</w:t>
      </w:r>
    </w:p>
    <w:p w14:paraId="6CF1BF71" w14:textId="77777777" w:rsidR="000A2212" w:rsidRDefault="001B556E">
      <w:pPr>
        <w:pStyle w:val="Bodytext10"/>
        <w:framePr w:w="9221" w:h="13099" w:hRule="exact" w:wrap="none" w:vAnchor="page" w:hAnchor="page" w:x="1295" w:y="1535"/>
        <w:numPr>
          <w:ilvl w:val="0"/>
          <w:numId w:val="14"/>
        </w:numPr>
        <w:tabs>
          <w:tab w:val="left" w:pos="274"/>
        </w:tabs>
        <w:spacing w:after="0" w:line="240" w:lineRule="auto"/>
        <w:ind w:left="200" w:hanging="200"/>
      </w:pPr>
      <w:bookmarkStart w:id="82" w:name="bookmark82"/>
      <w:bookmarkEnd w:id="82"/>
      <w:r>
        <w:t xml:space="preserve">Dodavatel a </w:t>
      </w:r>
      <w:r>
        <w:t xml:space="preserve">odběratel se zprostí povinnosti k náhradě škody za podmínek dle </w:t>
      </w:r>
      <w:proofErr w:type="spellStart"/>
      <w:r>
        <w:t>ust</w:t>
      </w:r>
      <w:proofErr w:type="spellEnd"/>
      <w:r>
        <w:t>. § 2913 zákona č. 89/2012 Sb., občanský zákoník v platném znění, nebo za podmínek vyplývajících ze zákona</w:t>
      </w:r>
    </w:p>
    <w:p w14:paraId="114A3BED" w14:textId="77777777" w:rsidR="000A2212" w:rsidRDefault="001B556E">
      <w:pPr>
        <w:pStyle w:val="Bodytext10"/>
        <w:framePr w:w="9221" w:h="13099" w:hRule="exact" w:wrap="none" w:vAnchor="page" w:hAnchor="page" w:x="1295" w:y="1535"/>
        <w:spacing w:line="240" w:lineRule="auto"/>
        <w:ind w:left="200" w:firstLine="20"/>
      </w:pPr>
      <w:r>
        <w:t>č. 458/2000 Sb., o podmínkách podnikání a o výkonu státní správy v energetických odvětvích v platném znění.</w:t>
      </w:r>
    </w:p>
    <w:p w14:paraId="67E9BFE6" w14:textId="77777777" w:rsidR="000A2212" w:rsidRDefault="001B556E">
      <w:pPr>
        <w:pStyle w:val="Heading310"/>
        <w:framePr w:w="9221" w:h="13099" w:hRule="exact" w:wrap="none" w:vAnchor="page" w:hAnchor="page" w:x="1295" w:y="1535"/>
      </w:pPr>
      <w:bookmarkStart w:id="83" w:name="bookmark83"/>
      <w:bookmarkStart w:id="84" w:name="bookmark84"/>
      <w:bookmarkStart w:id="85" w:name="bookmark85"/>
      <w:r>
        <w:t>Ostatní ujednáni</w:t>
      </w:r>
      <w:bookmarkEnd w:id="83"/>
      <w:bookmarkEnd w:id="84"/>
      <w:bookmarkEnd w:id="85"/>
    </w:p>
    <w:p w14:paraId="0D73BB5E" w14:textId="77777777" w:rsidR="000A2212" w:rsidRDefault="001B556E">
      <w:pPr>
        <w:pStyle w:val="Bodytext10"/>
        <w:framePr w:w="9221" w:h="13099" w:hRule="exact" w:wrap="none" w:vAnchor="page" w:hAnchor="page" w:x="1295" w:y="1535"/>
        <w:numPr>
          <w:ilvl w:val="0"/>
          <w:numId w:val="15"/>
        </w:numPr>
        <w:tabs>
          <w:tab w:val="left" w:pos="260"/>
        </w:tabs>
        <w:spacing w:line="240" w:lineRule="auto"/>
        <w:ind w:left="200" w:hanging="200"/>
      </w:pPr>
      <w:bookmarkStart w:id="86" w:name="bookmark86"/>
      <w:bookmarkEnd w:id="86"/>
      <w:r>
        <w:t>Závěrkový list je Smlouvou o sdružených službách dodávky elektřiny mezi držitelem licence na 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2BE7AC56" w14:textId="77777777" w:rsidR="000A2212" w:rsidRDefault="001B556E">
      <w:pPr>
        <w:pStyle w:val="Bodytext10"/>
        <w:framePr w:w="9221" w:h="13099" w:hRule="exact" w:wrap="none" w:vAnchor="page" w:hAnchor="page" w:x="1295" w:y="1535"/>
        <w:numPr>
          <w:ilvl w:val="0"/>
          <w:numId w:val="15"/>
        </w:numPr>
        <w:tabs>
          <w:tab w:val="left" w:pos="274"/>
        </w:tabs>
        <w:ind w:left="200" w:hanging="200"/>
      </w:pPr>
      <w:bookmarkStart w:id="87" w:name="bookmark87"/>
      <w:bookmarkEnd w:id="87"/>
      <w:r>
        <w:t>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71CB3901" w14:textId="77777777" w:rsidR="000A2212" w:rsidRDefault="001B556E">
      <w:pPr>
        <w:pStyle w:val="Bodytext10"/>
        <w:framePr w:w="9221" w:h="13099" w:hRule="exact" w:wrap="none" w:vAnchor="page" w:hAnchor="page" w:x="1295" w:y="1535"/>
        <w:numPr>
          <w:ilvl w:val="0"/>
          <w:numId w:val="15"/>
        </w:numPr>
        <w:tabs>
          <w:tab w:val="left" w:pos="274"/>
        </w:tabs>
        <w:ind w:left="200" w:hanging="200"/>
      </w:pPr>
      <w:bookmarkStart w:id="88" w:name="bookmark88"/>
      <w:bookmarkEnd w:id="88"/>
      <w:r>
        <w:t xml:space="preserve">Odběratel je oprávněn ukončit odběr elektřiny v odběrném místě v případě, kdy dodavateli </w:t>
      </w:r>
      <w:proofErr w:type="gramStart"/>
      <w:r>
        <w:t>doloží</w:t>
      </w:r>
      <w:proofErr w:type="gramEnd"/>
      <w:r>
        <w:t>,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14:paraId="1C56CC6F" w14:textId="77777777" w:rsidR="000A2212" w:rsidRDefault="001B556E">
      <w:pPr>
        <w:pStyle w:val="Bodytext10"/>
        <w:framePr w:w="9221" w:h="13099" w:hRule="exact" w:wrap="none" w:vAnchor="page" w:hAnchor="page" w:x="1295" w:y="1535"/>
        <w:numPr>
          <w:ilvl w:val="0"/>
          <w:numId w:val="15"/>
        </w:numPr>
        <w:tabs>
          <w:tab w:val="left" w:pos="279"/>
        </w:tabs>
        <w:ind w:left="200" w:hanging="200"/>
      </w:pPr>
      <w:bookmarkStart w:id="89" w:name="bookmark89"/>
      <w:bookmarkEnd w:id="89"/>
      <w:r>
        <w:t>Dodavatel a odběratel jsou se souhlasem burzy oprávněni ukončit plnění burzovního obchodu (závěrkového listu) rovněž vzájemnou písemnou dohodou.</w:t>
      </w:r>
    </w:p>
    <w:p w14:paraId="48ED758C" w14:textId="77777777" w:rsidR="000A2212" w:rsidRDefault="001B556E">
      <w:pPr>
        <w:pStyle w:val="Bodytext10"/>
        <w:framePr w:w="9221" w:h="13099" w:hRule="exact" w:wrap="none" w:vAnchor="page" w:hAnchor="page" w:x="1295" w:y="1535"/>
        <w:numPr>
          <w:ilvl w:val="0"/>
          <w:numId w:val="15"/>
        </w:numPr>
        <w:tabs>
          <w:tab w:val="left" w:pos="279"/>
        </w:tabs>
        <w:ind w:left="200" w:hanging="200"/>
      </w:pPr>
      <w:bookmarkStart w:id="90" w:name="bookmark90"/>
      <w:bookmarkEnd w:id="90"/>
      <w:r>
        <w:t xml:space="preserve">Uzavřením burzovního obchodu (závěrkového listu) se ke dni zahájení sjednané dodávky elektřiny do odběrného místa </w:t>
      </w:r>
      <w:proofErr w:type="gramStart"/>
      <w:r>
        <w:t>ruší</w:t>
      </w:r>
      <w:proofErr w:type="gramEnd"/>
      <w:r>
        <w:t xml:space="preserve"> všechny </w:t>
      </w:r>
      <w:r>
        <w:t>smluvní vztahy související s dodávkou elektřiny do tohoto odběrného místa, které byly uzavřeny mezi dodavatelem a odběratelem nebo jejich právními předchůdci před uzavřením burzovního obchodu.</w:t>
      </w:r>
    </w:p>
    <w:p w14:paraId="58C350AD" w14:textId="77777777" w:rsidR="000A2212" w:rsidRDefault="001B556E">
      <w:pPr>
        <w:pStyle w:val="Bodytext10"/>
        <w:framePr w:w="9221" w:h="13099" w:hRule="exact" w:wrap="none" w:vAnchor="page" w:hAnchor="page" w:x="1295" w:y="1535"/>
        <w:numPr>
          <w:ilvl w:val="0"/>
          <w:numId w:val="15"/>
        </w:numPr>
        <w:tabs>
          <w:tab w:val="left" w:pos="279"/>
        </w:tabs>
        <w:ind w:left="200" w:hanging="200"/>
      </w:pPr>
      <w:bookmarkStart w:id="91" w:name="bookmark91"/>
      <w:bookmarkEnd w:id="91"/>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57FAEE5D" w14:textId="77777777" w:rsidR="000A2212" w:rsidRDefault="001B556E">
      <w:pPr>
        <w:pStyle w:val="Bodytext10"/>
        <w:framePr w:w="9221" w:h="13099" w:hRule="exact" w:wrap="none" w:vAnchor="page" w:hAnchor="page" w:x="1295" w:y="1535"/>
        <w:numPr>
          <w:ilvl w:val="0"/>
          <w:numId w:val="15"/>
        </w:numPr>
        <w:tabs>
          <w:tab w:val="left" w:pos="279"/>
        </w:tabs>
        <w:spacing w:after="0" w:line="240" w:lineRule="auto"/>
        <w:ind w:left="200" w:hanging="200"/>
      </w:pPr>
      <w:bookmarkStart w:id="92" w:name="bookmark92"/>
      <w:bookmarkEnd w:id="92"/>
      <w:r>
        <w:t>Dodavatel a odběratel jsou povinni vynaložit veškeré úsilí k tomu, aby byly případné spory vyplývající z burzovního obchodu (závěrkového listu) urovnány smírnou cestou, k tomuto vyvinou vzájemnou součinnost.</w:t>
      </w:r>
    </w:p>
    <w:p w14:paraId="509746BE" w14:textId="77777777" w:rsidR="000A2212" w:rsidRDefault="001B556E">
      <w:pPr>
        <w:pStyle w:val="Headerorfooter10"/>
        <w:framePr w:wrap="none" w:vAnchor="page" w:hAnchor="page" w:x="1290" w:y="15834"/>
      </w:pPr>
      <w:r>
        <w:t xml:space="preserve">Dodávka elektřiny v rámci SSDE v napěťové hladině vysokého </w:t>
      </w:r>
      <w:proofErr w:type="gramStart"/>
      <w:r>
        <w:t>napěti</w:t>
      </w:r>
      <w:proofErr w:type="gramEnd"/>
    </w:p>
    <w:p w14:paraId="5681C283" w14:textId="77777777" w:rsidR="000A2212" w:rsidRDefault="001B556E">
      <w:pPr>
        <w:pStyle w:val="Headerorfooter10"/>
        <w:framePr w:wrap="none" w:vAnchor="page" w:hAnchor="page" w:x="9162" w:y="15843"/>
      </w:pPr>
      <w:r>
        <w:t>Strana 6 (celkem 7)</w:t>
      </w:r>
    </w:p>
    <w:p w14:paraId="4B0FED1D" w14:textId="77777777" w:rsidR="000A2212" w:rsidRDefault="000A2212">
      <w:pPr>
        <w:spacing w:line="1" w:lineRule="exact"/>
        <w:sectPr w:rsidR="000A2212">
          <w:pgSz w:w="11900" w:h="16840"/>
          <w:pgMar w:top="360" w:right="360" w:bottom="360" w:left="360" w:header="0" w:footer="3" w:gutter="0"/>
          <w:cols w:space="720"/>
          <w:noEndnote/>
          <w:docGrid w:linePitch="360"/>
        </w:sectPr>
      </w:pPr>
    </w:p>
    <w:p w14:paraId="3D083CFD" w14:textId="77777777" w:rsidR="000A2212" w:rsidRDefault="001B556E">
      <w:pPr>
        <w:spacing w:line="1" w:lineRule="exact"/>
      </w:pPr>
      <w:r>
        <w:rPr>
          <w:noProof/>
        </w:rPr>
        <w:lastRenderedPageBreak/>
        <mc:AlternateContent>
          <mc:Choice Requires="wps">
            <w:drawing>
              <wp:anchor distT="0" distB="0" distL="114300" distR="114300" simplePos="0" relativeHeight="251659776" behindDoc="1" locked="0" layoutInCell="1" allowOverlap="1" wp14:anchorId="44C2AFCE" wp14:editId="7BDF46CD">
                <wp:simplePos x="0" y="0"/>
                <wp:positionH relativeFrom="page">
                  <wp:posOffset>804545</wp:posOffset>
                </wp:positionH>
                <wp:positionV relativeFrom="page">
                  <wp:posOffset>10080625</wp:posOffset>
                </wp:positionV>
                <wp:extent cx="5854700" cy="0"/>
                <wp:effectExtent l="0" t="0" r="0" b="0"/>
                <wp:wrapNone/>
                <wp:docPr id="7" name="Shape 7"/>
                <wp:cNvGraphicFramePr/>
                <a:graphic xmlns:a="http://schemas.openxmlformats.org/drawingml/2006/main">
                  <a:graphicData uri="http://schemas.microsoft.com/office/word/2010/wordprocessingShape">
                    <wps:wsp>
                      <wps:cNvCnPr/>
                      <wps:spPr>
                        <a:xfrm>
                          <a:off x="0" y="0"/>
                          <a:ext cx="5854700" cy="0"/>
                        </a:xfrm>
                        <a:prstGeom prst="straightConnector1">
                          <a:avLst/>
                        </a:prstGeom>
                        <a:ln w="18415">
                          <a:solidFill/>
                        </a:ln>
                      </wps:spPr>
                      <wps:bodyPr/>
                    </wps:wsp>
                  </a:graphicData>
                </a:graphic>
              </wp:anchor>
            </w:drawing>
          </mc:Choice>
          <mc:Fallback>
            <w:pict>
              <v:shape o:spt="32" o:oned="true" path="m,l21600,21600e" style="position:absolute;margin-left:63.350000000000001pt;margin-top:793.75pt;width:461.pt;height:0;z-index:-251658240;mso-position-horizontal-relative:page;mso-position-vertical-relative:page">
                <v:stroke weight="1.45pt"/>
              </v:shape>
            </w:pict>
          </mc:Fallback>
        </mc:AlternateContent>
      </w:r>
      <w:r>
        <w:rPr>
          <w:noProof/>
        </w:rPr>
        <mc:AlternateContent>
          <mc:Choice Requires="wps">
            <w:drawing>
              <wp:anchor distT="0" distB="0" distL="114300" distR="114300" simplePos="0" relativeHeight="251660800" behindDoc="1" locked="0" layoutInCell="1" allowOverlap="1" wp14:anchorId="3FAC25ED" wp14:editId="4A37CDE3">
                <wp:simplePos x="0" y="0"/>
                <wp:positionH relativeFrom="page">
                  <wp:posOffset>2590165</wp:posOffset>
                </wp:positionH>
                <wp:positionV relativeFrom="page">
                  <wp:posOffset>3834765</wp:posOffset>
                </wp:positionV>
                <wp:extent cx="2280285" cy="0"/>
                <wp:effectExtent l="0" t="0" r="0" b="0"/>
                <wp:wrapNone/>
                <wp:docPr id="8" name="Shape 8"/>
                <wp:cNvGraphicFramePr/>
                <a:graphic xmlns:a="http://schemas.openxmlformats.org/drawingml/2006/main">
                  <a:graphicData uri="http://schemas.microsoft.com/office/word/2010/wordprocessingShape">
                    <wps:wsp>
                      <wps:cNvCnPr/>
                      <wps:spPr>
                        <a:xfrm>
                          <a:off x="0" y="0"/>
                          <a:ext cx="2280285" cy="0"/>
                        </a:xfrm>
                        <a:prstGeom prst="straightConnector1">
                          <a:avLst/>
                        </a:prstGeom>
                        <a:ln w="15240">
                          <a:solidFill/>
                          <a:prstDash val="sysDot"/>
                        </a:ln>
                      </wps:spPr>
                      <wps:bodyPr/>
                    </wps:wsp>
                  </a:graphicData>
                </a:graphic>
              </wp:anchor>
            </w:drawing>
          </mc:Choice>
          <mc:Fallback>
            <w:pict>
              <v:shape o:spt="32" o:oned="true" path="m,l21600,21600e" style="position:absolute;margin-left:203.95000000000002pt;margin-top:301.94999999999999pt;width:179.55000000000001pt;height:0;z-index:-251658240;mso-position-horizontal-relative:page;mso-position-vertical-relative:page">
                <v:stroke weight="1.2pt" endcap="round" dashstyle="1 1"/>
              </v:shape>
            </w:pict>
          </mc:Fallback>
        </mc:AlternateContent>
      </w:r>
    </w:p>
    <w:p w14:paraId="00188C62" w14:textId="77777777" w:rsidR="000A2212" w:rsidRDefault="001B556E">
      <w:pPr>
        <w:pStyle w:val="Headerorfooter10"/>
        <w:framePr w:w="1646" w:h="355" w:hRule="exact" w:wrap="none" w:vAnchor="page" w:hAnchor="page" w:x="2429" w:y="972"/>
        <w:spacing w:line="302" w:lineRule="auto"/>
        <w:jc w:val="center"/>
        <w:rPr>
          <w:sz w:val="10"/>
          <w:szCs w:val="10"/>
        </w:rPr>
      </w:pPr>
      <w:r>
        <w:rPr>
          <w:b/>
          <w:bCs/>
          <w:i w:val="0"/>
          <w:iCs w:val="0"/>
          <w:sz w:val="10"/>
          <w:szCs w:val="10"/>
          <w:shd w:val="clear" w:color="auto" w:fill="FFFFFF"/>
        </w:rPr>
        <w:t>ČESKOMORAVSKÁ</w:t>
      </w:r>
    </w:p>
    <w:p w14:paraId="48CE303E" w14:textId="77777777" w:rsidR="000A2212" w:rsidRDefault="001B556E">
      <w:pPr>
        <w:pStyle w:val="Headerorfooter10"/>
        <w:framePr w:w="1646" w:h="355" w:hRule="exact" w:wrap="none" w:vAnchor="page" w:hAnchor="page" w:x="2429" w:y="972"/>
        <w:spacing w:line="302" w:lineRule="auto"/>
        <w:jc w:val="center"/>
        <w:rPr>
          <w:sz w:val="10"/>
          <w:szCs w:val="10"/>
        </w:rPr>
      </w:pPr>
      <w:r>
        <w:rPr>
          <w:b/>
          <w:bCs/>
          <w:i w:val="0"/>
          <w:iCs w:val="0"/>
          <w:sz w:val="10"/>
          <w:szCs w:val="10"/>
        </w:rPr>
        <w:t>KOMODITNÍ BURZA KLADNO</w:t>
      </w:r>
    </w:p>
    <w:p w14:paraId="6DCBFEDC" w14:textId="77777777" w:rsidR="000A2212" w:rsidRDefault="001B556E">
      <w:pPr>
        <w:pStyle w:val="Heading310"/>
        <w:framePr w:w="9250" w:h="1867" w:hRule="exact" w:wrap="none" w:vAnchor="page" w:hAnchor="page" w:x="1253" w:y="1533"/>
        <w:spacing w:after="0"/>
      </w:pPr>
      <w:bookmarkStart w:id="93" w:name="bookmark96"/>
      <w:bookmarkStart w:id="94" w:name="bookmark97"/>
      <w:bookmarkStart w:id="95" w:name="bookmark98"/>
      <w:r>
        <w:rPr>
          <w:u w:val="none"/>
        </w:rPr>
        <w:t>Rozhodčí doložka:</w:t>
      </w:r>
      <w:bookmarkEnd w:id="93"/>
      <w:bookmarkEnd w:id="94"/>
      <w:bookmarkEnd w:id="95"/>
    </w:p>
    <w:p w14:paraId="45FD374E" w14:textId="77777777" w:rsidR="000A2212" w:rsidRDefault="001B556E">
      <w:pPr>
        <w:pStyle w:val="Bodytext10"/>
        <w:framePr w:w="9250" w:h="1867" w:hRule="exact" w:wrap="none" w:vAnchor="page" w:hAnchor="page" w:x="1253" w:y="1533"/>
      </w:pPr>
      <w:r>
        <w:t xml:space="preserve">Veškeré spory vznikající z burzovního obchodu (závěrkového listu) a v </w:t>
      </w:r>
      <w:r>
        <w:t xml:space="preserve">souvislosti s ním, které se </w:t>
      </w:r>
      <w:proofErr w:type="gramStart"/>
      <w:r>
        <w:t>nepodaří</w:t>
      </w:r>
      <w:proofErr w:type="gramEnd"/>
      <w:r>
        <w:t xml:space="preserve"> odstranit jednáním mezi stranami, budou s konečnou platností rozhodnuty Mezinárodním rozhodčím soudem v Praze při Českomoravské komoditní burze Kladno, který je stálým rozhodčím soudem podle ustanovení § 13 zákona č. 216/1994 Sb. o rozhodčím řízení a o výkonu rozhodčích nálezů, podle jeho Řádu, a to jedním nebo třemi rozhodci ustanovenými v souladu s uvedeným Řádem.</w:t>
      </w:r>
    </w:p>
    <w:p w14:paraId="1E3F8F11" w14:textId="1D6BB94C" w:rsidR="000A2212" w:rsidRDefault="001B556E">
      <w:pPr>
        <w:pStyle w:val="Bodytext10"/>
        <w:framePr w:w="9250" w:h="1867" w:hRule="exact" w:wrap="none" w:vAnchor="page" w:hAnchor="page" w:x="1253" w:y="1533"/>
        <w:spacing w:after="0"/>
      </w:pPr>
      <w:r>
        <w:t>V Kladně dne</w:t>
      </w:r>
    </w:p>
    <w:p w14:paraId="07604FF4" w14:textId="48B06530" w:rsidR="000A2212" w:rsidRDefault="000A2212">
      <w:pPr>
        <w:framePr w:wrap="none" w:vAnchor="page" w:hAnchor="page" w:x="1282" w:y="3597"/>
        <w:rPr>
          <w:sz w:val="2"/>
          <w:szCs w:val="2"/>
        </w:rPr>
      </w:pPr>
    </w:p>
    <w:p w14:paraId="14E7EFC7" w14:textId="77777777" w:rsidR="000A2212" w:rsidRDefault="001B556E">
      <w:pPr>
        <w:pStyle w:val="Picturecaption10"/>
        <w:framePr w:wrap="none" w:vAnchor="page" w:hAnchor="page" w:x="1882" w:y="4687"/>
        <w:spacing w:line="240" w:lineRule="auto"/>
        <w:rPr>
          <w:sz w:val="19"/>
          <w:szCs w:val="19"/>
        </w:rPr>
      </w:pPr>
      <w:r>
        <w:rPr>
          <w:sz w:val="19"/>
          <w:szCs w:val="19"/>
        </w:rPr>
        <w:t>za dodavatele</w:t>
      </w:r>
    </w:p>
    <w:p w14:paraId="20E6583F" w14:textId="3226AE57" w:rsidR="000A2212" w:rsidRDefault="000A2212">
      <w:pPr>
        <w:framePr w:wrap="none" w:vAnchor="page" w:hAnchor="page" w:x="6874" w:y="3828"/>
        <w:rPr>
          <w:sz w:val="2"/>
          <w:szCs w:val="2"/>
        </w:rPr>
      </w:pPr>
    </w:p>
    <w:p w14:paraId="3FD43025" w14:textId="77777777" w:rsidR="000A2212" w:rsidRDefault="001B556E">
      <w:pPr>
        <w:pStyle w:val="Picturecaption10"/>
        <w:framePr w:wrap="none" w:vAnchor="page" w:hAnchor="page" w:x="8669" w:y="4696"/>
        <w:spacing w:line="240" w:lineRule="auto"/>
        <w:rPr>
          <w:sz w:val="19"/>
          <w:szCs w:val="19"/>
        </w:rPr>
      </w:pPr>
      <w:r>
        <w:rPr>
          <w:sz w:val="19"/>
          <w:szCs w:val="19"/>
        </w:rPr>
        <w:t>za odběratele</w:t>
      </w:r>
    </w:p>
    <w:p w14:paraId="4A47CB51" w14:textId="77777777" w:rsidR="000A2212" w:rsidRDefault="001B556E">
      <w:pPr>
        <w:pStyle w:val="Bodytext10"/>
        <w:framePr w:w="9250" w:h="1445" w:hRule="exact" w:wrap="none" w:vAnchor="page" w:hAnchor="page" w:x="1253" w:y="6223"/>
        <w:spacing w:after="60"/>
        <w:jc w:val="center"/>
      </w:pPr>
      <w:r>
        <w:t xml:space="preserve">Mgr. Petra </w:t>
      </w:r>
      <w:proofErr w:type="spellStart"/>
      <w:r>
        <w:t>Mošovská</w:t>
      </w:r>
      <w:proofErr w:type="spellEnd"/>
      <w:r>
        <w:br/>
        <w:t>za ČMKB</w:t>
      </w:r>
    </w:p>
    <w:p w14:paraId="4739827A" w14:textId="6453E488" w:rsidR="000A2212" w:rsidRDefault="000A2212">
      <w:pPr>
        <w:pStyle w:val="Bodytext10"/>
        <w:framePr w:w="9250" w:h="1445" w:hRule="exact" w:wrap="none" w:vAnchor="page" w:hAnchor="page" w:x="1253" w:y="6223"/>
        <w:spacing w:after="0"/>
        <w:jc w:val="center"/>
      </w:pPr>
    </w:p>
    <w:p w14:paraId="044F65FB" w14:textId="77777777" w:rsidR="000A2212" w:rsidRDefault="001B556E">
      <w:pPr>
        <w:pStyle w:val="Headerorfooter10"/>
        <w:framePr w:wrap="none" w:vAnchor="page" w:hAnchor="page" w:x="1248" w:y="15866"/>
      </w:pPr>
      <w:r>
        <w:t xml:space="preserve">Dodávka elektřiny v rámci SSDE v napěťové hladině vysokého </w:t>
      </w:r>
      <w:proofErr w:type="gramStart"/>
      <w:r>
        <w:t>napěti</w:t>
      </w:r>
      <w:proofErr w:type="gramEnd"/>
    </w:p>
    <w:p w14:paraId="7507F19F" w14:textId="77777777" w:rsidR="000A2212" w:rsidRDefault="001B556E">
      <w:pPr>
        <w:pStyle w:val="Headerorfooter10"/>
        <w:framePr w:wrap="none" w:vAnchor="page" w:hAnchor="page" w:x="9130" w:y="15880"/>
      </w:pPr>
      <w:r>
        <w:t>Strana</w:t>
      </w:r>
      <w:r>
        <w:rPr>
          <w:i w:val="0"/>
          <w:iCs w:val="0"/>
        </w:rPr>
        <w:t xml:space="preserve"> 7 </w:t>
      </w:r>
      <w:r>
        <w:t>(celkem 7)</w:t>
      </w:r>
    </w:p>
    <w:p w14:paraId="4CCD5DBE" w14:textId="77777777" w:rsidR="000A2212" w:rsidRDefault="000A2212">
      <w:pPr>
        <w:spacing w:line="1" w:lineRule="exact"/>
        <w:sectPr w:rsidR="000A2212">
          <w:pgSz w:w="11900" w:h="16840"/>
          <w:pgMar w:top="360" w:right="360" w:bottom="360" w:left="360" w:header="0" w:footer="3" w:gutter="0"/>
          <w:cols w:space="720"/>
          <w:noEndnote/>
          <w:docGrid w:linePitch="360"/>
        </w:sectPr>
      </w:pPr>
    </w:p>
    <w:p w14:paraId="7D921AF6" w14:textId="3176932D" w:rsidR="000A2212" w:rsidRDefault="001B556E">
      <w:pPr>
        <w:spacing w:line="1" w:lineRule="exact"/>
      </w:pPr>
      <w:r>
        <w:rPr>
          <w:noProof/>
        </w:rPr>
        <w:lastRenderedPageBreak/>
        <w:drawing>
          <wp:anchor distT="0" distB="0" distL="114300" distR="114300" simplePos="0" relativeHeight="251661824" behindDoc="0" locked="0" layoutInCell="1" allowOverlap="1" wp14:anchorId="373114A7" wp14:editId="2C005DC6">
            <wp:simplePos x="0" y="0"/>
            <wp:positionH relativeFrom="column">
              <wp:posOffset>-309585</wp:posOffset>
            </wp:positionH>
            <wp:positionV relativeFrom="paragraph">
              <wp:posOffset>3496650</wp:posOffset>
            </wp:positionV>
            <wp:extent cx="10093370" cy="3073400"/>
            <wp:effectExtent l="4763" t="0" r="7937" b="7938"/>
            <wp:wrapNone/>
            <wp:docPr id="343287443" name="Obrázek 9" descr="Obsah obrázku text, snímek obrazovky, Písmo, čí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87443" name="Obrázek 9" descr="Obsah obrázku text, snímek obrazovky, Písmo, číslo"/>
                    <pic:cNvPicPr/>
                  </pic:nvPicPr>
                  <pic:blipFill>
                    <a:blip r:embed="rId7">
                      <a:extLst>
                        <a:ext uri="{28A0092B-C50C-407E-A947-70E740481C1C}">
                          <a14:useLocalDpi xmlns:a14="http://schemas.microsoft.com/office/drawing/2010/main" val="0"/>
                        </a:ext>
                      </a:extLst>
                    </a:blip>
                    <a:stretch>
                      <a:fillRect/>
                    </a:stretch>
                  </pic:blipFill>
                  <pic:spPr>
                    <a:xfrm rot="5400000">
                      <a:off x="0" y="0"/>
                      <a:ext cx="10095561" cy="3074067"/>
                    </a:xfrm>
                    <a:prstGeom prst="rect">
                      <a:avLst/>
                    </a:prstGeom>
                  </pic:spPr>
                </pic:pic>
              </a:graphicData>
            </a:graphic>
            <wp14:sizeRelH relativeFrom="margin">
              <wp14:pctWidth>0</wp14:pctWidth>
            </wp14:sizeRelH>
            <wp14:sizeRelV relativeFrom="margin">
              <wp14:pctHeight>0</wp14:pctHeight>
            </wp14:sizeRelV>
          </wp:anchor>
        </w:drawing>
      </w:r>
    </w:p>
    <w:p w14:paraId="69214082" w14:textId="77777777" w:rsidR="000A2212" w:rsidRDefault="001B556E">
      <w:pPr>
        <w:pStyle w:val="Bodytext30"/>
        <w:framePr w:w="206" w:h="15653" w:hRule="exact" w:wrap="none" w:vAnchor="page" w:hAnchor="page" w:x="468" w:y="517"/>
        <w:tabs>
          <w:tab w:val="left" w:pos="15034"/>
        </w:tabs>
        <w:textDirection w:val="tbRl"/>
      </w:pPr>
      <w:r>
        <w:t>ZL č. EL-20240516-4124-3</w:t>
      </w:r>
      <w:r>
        <w:tab/>
        <w:t>strana 1</w:t>
      </w:r>
    </w:p>
    <w:p w14:paraId="3BB49FDB" w14:textId="77777777" w:rsidR="000A2212" w:rsidRDefault="001B556E">
      <w:pPr>
        <w:pStyle w:val="Picturecaption10"/>
        <w:framePr w:w="350" w:h="1800" w:hRule="exact" w:wrap="none" w:vAnchor="page" w:hAnchor="page" w:x="10308" w:y="541"/>
        <w:tabs>
          <w:tab w:val="left" w:leader="underscore" w:pos="1776"/>
        </w:tabs>
        <w:spacing w:line="254" w:lineRule="auto"/>
        <w:textDirection w:val="tbRl"/>
      </w:pPr>
      <w:r>
        <w:t xml:space="preserve">Příloha č. 1 závěrkového listu </w:t>
      </w:r>
      <w:r>
        <w:rPr>
          <w:u w:val="single"/>
        </w:rPr>
        <w:t>Soupis odběrných míst</w:t>
      </w:r>
      <w:r>
        <w:tab/>
      </w:r>
    </w:p>
    <w:p w14:paraId="1B656C3A" w14:textId="77777777" w:rsidR="000A2212" w:rsidRDefault="001B556E">
      <w:pPr>
        <w:pStyle w:val="Other10"/>
        <w:framePr w:wrap="none" w:vAnchor="page" w:hAnchor="page" w:x="10903" w:y="3210"/>
        <w:spacing w:after="0" w:line="240" w:lineRule="auto"/>
        <w:jc w:val="both"/>
        <w:rPr>
          <w:sz w:val="15"/>
          <w:szCs w:val="15"/>
        </w:rPr>
      </w:pPr>
      <w:r>
        <w:rPr>
          <w:sz w:val="15"/>
          <w:szCs w:val="15"/>
        </w:rPr>
        <w:t>c</w:t>
      </w:r>
    </w:p>
    <w:p w14:paraId="1CF5B47B" w14:textId="77777777" w:rsidR="000A2212" w:rsidRDefault="001B556E">
      <w:pPr>
        <w:pStyle w:val="Other10"/>
        <w:framePr w:wrap="none" w:vAnchor="page" w:hAnchor="page" w:x="11052" w:y="2394"/>
        <w:spacing w:after="0" w:line="240" w:lineRule="auto"/>
        <w:jc w:val="both"/>
        <w:rPr>
          <w:sz w:val="12"/>
          <w:szCs w:val="12"/>
        </w:rPr>
      </w:pPr>
      <w:r>
        <w:rPr>
          <w:sz w:val="12"/>
          <w:szCs w:val="12"/>
        </w:rPr>
        <w:t>ž</w:t>
      </w:r>
    </w:p>
    <w:p w14:paraId="19198A22" w14:textId="128FCB4A" w:rsidR="000A2212" w:rsidRDefault="000A2212">
      <w:pPr>
        <w:spacing w:line="1" w:lineRule="exact"/>
      </w:pPr>
    </w:p>
    <w:sectPr w:rsidR="000A221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A07C" w14:textId="77777777" w:rsidR="001B556E" w:rsidRDefault="001B556E">
      <w:r>
        <w:separator/>
      </w:r>
    </w:p>
  </w:endnote>
  <w:endnote w:type="continuationSeparator" w:id="0">
    <w:p w14:paraId="65BF1A4A" w14:textId="77777777" w:rsidR="001B556E" w:rsidRDefault="001B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D831" w14:textId="77777777" w:rsidR="000A2212" w:rsidRDefault="000A2212"/>
  </w:footnote>
  <w:footnote w:type="continuationSeparator" w:id="0">
    <w:p w14:paraId="10A8FD10" w14:textId="77777777" w:rsidR="000A2212" w:rsidRDefault="000A22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690C"/>
    <w:multiLevelType w:val="multilevel"/>
    <w:tmpl w:val="5BB0DF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92A31"/>
    <w:multiLevelType w:val="multilevel"/>
    <w:tmpl w:val="CAF6C8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93487"/>
    <w:multiLevelType w:val="multilevel"/>
    <w:tmpl w:val="CA2CAA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60463"/>
    <w:multiLevelType w:val="multilevel"/>
    <w:tmpl w:val="D604EB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FC55CC"/>
    <w:multiLevelType w:val="multilevel"/>
    <w:tmpl w:val="52BC6C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512E3"/>
    <w:multiLevelType w:val="multilevel"/>
    <w:tmpl w:val="A79ED4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87563"/>
    <w:multiLevelType w:val="multilevel"/>
    <w:tmpl w:val="338C0C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0D1250"/>
    <w:multiLevelType w:val="multilevel"/>
    <w:tmpl w:val="53E861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86913"/>
    <w:multiLevelType w:val="multilevel"/>
    <w:tmpl w:val="8DD0D1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686F5B"/>
    <w:multiLevelType w:val="multilevel"/>
    <w:tmpl w:val="A3B6F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6E0B86"/>
    <w:multiLevelType w:val="multilevel"/>
    <w:tmpl w:val="7EF4EA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FD6A53"/>
    <w:multiLevelType w:val="multilevel"/>
    <w:tmpl w:val="613223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5E6F4E"/>
    <w:multiLevelType w:val="multilevel"/>
    <w:tmpl w:val="A5D8DA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5A01F3"/>
    <w:multiLevelType w:val="multilevel"/>
    <w:tmpl w:val="0A5251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6A4127"/>
    <w:multiLevelType w:val="multilevel"/>
    <w:tmpl w:val="7CB23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4709174">
    <w:abstractNumId w:val="10"/>
  </w:num>
  <w:num w:numId="2" w16cid:durableId="621182652">
    <w:abstractNumId w:val="9"/>
  </w:num>
  <w:num w:numId="3" w16cid:durableId="1620408342">
    <w:abstractNumId w:val="12"/>
  </w:num>
  <w:num w:numId="4" w16cid:durableId="671104155">
    <w:abstractNumId w:val="8"/>
  </w:num>
  <w:num w:numId="5" w16cid:durableId="289477957">
    <w:abstractNumId w:val="4"/>
  </w:num>
  <w:num w:numId="6" w16cid:durableId="1805349213">
    <w:abstractNumId w:val="5"/>
  </w:num>
  <w:num w:numId="7" w16cid:durableId="481237820">
    <w:abstractNumId w:val="6"/>
  </w:num>
  <w:num w:numId="8" w16cid:durableId="254869641">
    <w:abstractNumId w:val="0"/>
  </w:num>
  <w:num w:numId="9" w16cid:durableId="753673855">
    <w:abstractNumId w:val="13"/>
  </w:num>
  <w:num w:numId="10" w16cid:durableId="1627152905">
    <w:abstractNumId w:val="1"/>
  </w:num>
  <w:num w:numId="11" w16cid:durableId="784158059">
    <w:abstractNumId w:val="11"/>
  </w:num>
  <w:num w:numId="12" w16cid:durableId="1847019772">
    <w:abstractNumId w:val="3"/>
  </w:num>
  <w:num w:numId="13" w16cid:durableId="1037587961">
    <w:abstractNumId w:val="14"/>
  </w:num>
  <w:num w:numId="14" w16cid:durableId="1588490421">
    <w:abstractNumId w:val="2"/>
  </w:num>
  <w:num w:numId="15" w16cid:durableId="1546134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12"/>
    <w:rsid w:val="00070751"/>
    <w:rsid w:val="000A2212"/>
    <w:rsid w:val="00133466"/>
    <w:rsid w:val="001B556E"/>
    <w:rsid w:val="00546F84"/>
    <w:rsid w:val="00604291"/>
    <w:rsid w:val="00653A75"/>
    <w:rsid w:val="006B359D"/>
    <w:rsid w:val="006C529A"/>
    <w:rsid w:val="007569F1"/>
    <w:rsid w:val="00A337EF"/>
    <w:rsid w:val="00A84F2C"/>
    <w:rsid w:val="00B467C4"/>
    <w:rsid w:val="00CC43F8"/>
    <w:rsid w:val="00E87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C1FC"/>
  <w15:docId w15:val="{2CFC9F07-7575-4E31-945C-6C95E45E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iCs/>
      <w:smallCaps w:val="0"/>
      <w:strike w:val="0"/>
      <w:sz w:val="15"/>
      <w:szCs w:val="15"/>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30"/>
      <w:szCs w:val="30"/>
      <w:u w:val="singl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shd w:val="clear" w:color="auto" w:fill="auto"/>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9"/>
      <w:szCs w:val="19"/>
      <w:u w:val="singl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singl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405F91"/>
      <w:sz w:val="64"/>
      <w:szCs w:val="64"/>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3"/>
      <w:szCs w:val="13"/>
      <w:u w:val="none"/>
      <w:shd w:val="clear" w:color="auto" w:fill="auto"/>
    </w:rPr>
  </w:style>
  <w:style w:type="character" w:customStyle="1" w:styleId="Bodytext2">
    <w:name w:val="Body text|2_"/>
    <w:basedOn w:val="Standardnpsmoodstavce"/>
    <w:link w:val="Bodytext20"/>
    <w:rPr>
      <w:b/>
      <w:bCs/>
      <w:i w:val="0"/>
      <w:iCs w:val="0"/>
      <w:smallCaps w:val="0"/>
      <w:strike w:val="0"/>
      <w:color w:val="1778CF"/>
      <w:sz w:val="15"/>
      <w:szCs w:val="15"/>
      <w:u w:val="none"/>
      <w:shd w:val="clear" w:color="auto" w:fill="auto"/>
    </w:rPr>
  </w:style>
  <w:style w:type="character" w:customStyle="1" w:styleId="Bodytext3">
    <w:name w:val="Body text|3_"/>
    <w:basedOn w:val="Standardnpsmoodstavce"/>
    <w:link w:val="Bodytext30"/>
    <w:rPr>
      <w:rFonts w:ascii="Arial" w:eastAsia="Arial" w:hAnsi="Arial" w:cs="Arial"/>
      <w:b w:val="0"/>
      <w:bCs w:val="0"/>
      <w:i/>
      <w:iCs/>
      <w:smallCaps w:val="0"/>
      <w:strike w:val="0"/>
      <w:sz w:val="15"/>
      <w:szCs w:val="15"/>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Headerorfooter10">
    <w:name w:val="Header or footer|1"/>
    <w:basedOn w:val="Normln"/>
    <w:link w:val="Headerorfooter1"/>
    <w:rPr>
      <w:rFonts w:ascii="Arial" w:eastAsia="Arial" w:hAnsi="Arial" w:cs="Arial"/>
      <w:i/>
      <w:iCs/>
      <w:sz w:val="15"/>
      <w:szCs w:val="15"/>
    </w:rPr>
  </w:style>
  <w:style w:type="paragraph" w:customStyle="1" w:styleId="Heading210">
    <w:name w:val="Heading #2|1"/>
    <w:basedOn w:val="Normln"/>
    <w:link w:val="Heading21"/>
    <w:pPr>
      <w:spacing w:after="60"/>
      <w:jc w:val="center"/>
      <w:outlineLvl w:val="1"/>
    </w:pPr>
    <w:rPr>
      <w:rFonts w:ascii="Arial" w:eastAsia="Arial" w:hAnsi="Arial" w:cs="Arial"/>
      <w:b/>
      <w:bCs/>
      <w:sz w:val="30"/>
      <w:szCs w:val="30"/>
      <w:u w:val="single"/>
    </w:rPr>
  </w:style>
  <w:style w:type="paragraph" w:customStyle="1" w:styleId="Bodytext10">
    <w:name w:val="Body text|1"/>
    <w:basedOn w:val="Normln"/>
    <w:link w:val="Bodytext1"/>
    <w:pPr>
      <w:spacing w:after="220" w:line="252" w:lineRule="auto"/>
    </w:pPr>
    <w:rPr>
      <w:rFonts w:ascii="Arial" w:eastAsia="Arial" w:hAnsi="Arial" w:cs="Arial"/>
      <w:sz w:val="19"/>
      <w:szCs w:val="19"/>
    </w:rPr>
  </w:style>
  <w:style w:type="paragraph" w:customStyle="1" w:styleId="Other10">
    <w:name w:val="Other|1"/>
    <w:basedOn w:val="Normln"/>
    <w:link w:val="Other1"/>
    <w:pPr>
      <w:spacing w:after="220" w:line="252" w:lineRule="auto"/>
    </w:pPr>
    <w:rPr>
      <w:rFonts w:ascii="Arial" w:eastAsia="Arial" w:hAnsi="Arial" w:cs="Arial"/>
      <w:sz w:val="19"/>
      <w:szCs w:val="19"/>
    </w:rPr>
  </w:style>
  <w:style w:type="paragraph" w:customStyle="1" w:styleId="Tablecaption10">
    <w:name w:val="Table caption|1"/>
    <w:basedOn w:val="Normln"/>
    <w:link w:val="Tablecaption1"/>
    <w:rPr>
      <w:rFonts w:ascii="Arial" w:eastAsia="Arial" w:hAnsi="Arial" w:cs="Arial"/>
      <w:b/>
      <w:bCs/>
      <w:sz w:val="19"/>
      <w:szCs w:val="19"/>
      <w:u w:val="single"/>
    </w:rPr>
  </w:style>
  <w:style w:type="paragraph" w:customStyle="1" w:styleId="Heading310">
    <w:name w:val="Heading #3|1"/>
    <w:basedOn w:val="Normln"/>
    <w:link w:val="Heading31"/>
    <w:pPr>
      <w:spacing w:after="220" w:line="252" w:lineRule="auto"/>
      <w:outlineLvl w:val="2"/>
    </w:pPr>
    <w:rPr>
      <w:rFonts w:ascii="Arial" w:eastAsia="Arial" w:hAnsi="Arial" w:cs="Arial"/>
      <w:b/>
      <w:bCs/>
      <w:sz w:val="19"/>
      <w:szCs w:val="19"/>
      <w:u w:val="single"/>
    </w:rPr>
  </w:style>
  <w:style w:type="paragraph" w:customStyle="1" w:styleId="Heading110">
    <w:name w:val="Heading #1|1"/>
    <w:basedOn w:val="Normln"/>
    <w:link w:val="Heading11"/>
    <w:pPr>
      <w:ind w:firstLine="140"/>
      <w:outlineLvl w:val="0"/>
    </w:pPr>
    <w:rPr>
      <w:rFonts w:ascii="Arial" w:eastAsia="Arial" w:hAnsi="Arial" w:cs="Arial"/>
      <w:color w:val="405F91"/>
      <w:sz w:val="64"/>
      <w:szCs w:val="64"/>
    </w:rPr>
  </w:style>
  <w:style w:type="paragraph" w:customStyle="1" w:styleId="Picturecaption10">
    <w:name w:val="Picture caption|1"/>
    <w:basedOn w:val="Normln"/>
    <w:link w:val="Picturecaption1"/>
    <w:pPr>
      <w:spacing w:line="247" w:lineRule="auto"/>
    </w:pPr>
    <w:rPr>
      <w:rFonts w:ascii="Arial" w:eastAsia="Arial" w:hAnsi="Arial" w:cs="Arial"/>
      <w:sz w:val="13"/>
      <w:szCs w:val="13"/>
    </w:rPr>
  </w:style>
  <w:style w:type="paragraph" w:customStyle="1" w:styleId="Bodytext20">
    <w:name w:val="Body text|2"/>
    <w:basedOn w:val="Normln"/>
    <w:link w:val="Bodytext2"/>
    <w:pPr>
      <w:jc w:val="center"/>
    </w:pPr>
    <w:rPr>
      <w:b/>
      <w:bCs/>
      <w:color w:val="1778CF"/>
      <w:sz w:val="15"/>
      <w:szCs w:val="15"/>
    </w:rPr>
  </w:style>
  <w:style w:type="paragraph" w:customStyle="1" w:styleId="Bodytext30">
    <w:name w:val="Body text|3"/>
    <w:basedOn w:val="Normln"/>
    <w:link w:val="Bodytext3"/>
    <w:rPr>
      <w:rFonts w:ascii="Arial" w:eastAsia="Arial" w:hAnsi="Arial" w:cs="Arial"/>
      <w:i/>
      <w:iCs/>
      <w:sz w:val="15"/>
      <w:szCs w:val="15"/>
    </w:rPr>
  </w:style>
  <w:style w:type="character" w:styleId="Hypertextovodkaz">
    <w:name w:val="Hyperlink"/>
    <w:basedOn w:val="Standardnpsmoodstavce"/>
    <w:uiPriority w:val="99"/>
    <w:unhideWhenUsed/>
    <w:rsid w:val="00B467C4"/>
    <w:rPr>
      <w:color w:val="467886" w:themeColor="hyperlink"/>
      <w:u w:val="single"/>
    </w:rPr>
  </w:style>
  <w:style w:type="character" w:styleId="Nevyeenzmnka">
    <w:name w:val="Unresolved Mention"/>
    <w:basedOn w:val="Standardnpsmoodstavce"/>
    <w:uiPriority w:val="99"/>
    <w:semiHidden/>
    <w:unhideWhenUsed/>
    <w:rsid w:val="00B4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3110</Words>
  <Characters>18350</Characters>
  <Application>Microsoft Office Word</Application>
  <DocSecurity>0</DocSecurity>
  <Lines>152</Lines>
  <Paragraphs>42</Paragraphs>
  <ScaleCrop>false</ScaleCrop>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14</cp:revision>
  <dcterms:created xsi:type="dcterms:W3CDTF">2024-06-26T12:39:00Z</dcterms:created>
  <dcterms:modified xsi:type="dcterms:W3CDTF">2024-06-26T12:56:00Z</dcterms:modified>
</cp:coreProperties>
</file>