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394A2B" w:rsidRDefault="00394A2B" w:rsidP="00394A2B">
      <w:pPr>
        <w:pStyle w:val="Zkladn"/>
        <w:tabs>
          <w:tab w:val="left" w:pos="-1440"/>
          <w:tab w:val="left" w:pos="-720"/>
          <w:tab w:val="left" w:pos="0"/>
          <w:tab w:val="left" w:pos="6480"/>
          <w:tab w:val="left" w:pos="7200"/>
          <w:tab w:val="left" w:pos="7920"/>
          <w:tab w:val="left" w:pos="8250"/>
          <w:tab w:val="left" w:pos="846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 w:rsidRPr="00394A2B">
        <w:rPr>
          <w:b/>
        </w:rPr>
        <w:t>Závazný vzor</w:t>
      </w:r>
    </w:p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</w:t>
      </w:r>
      <w:r w:rsidR="0072556D">
        <w:t>rodávající</w:t>
      </w:r>
      <w:r>
        <w:t>:</w:t>
      </w:r>
      <w:r w:rsidR="00394A2B">
        <w:tab/>
      </w:r>
      <w:r w:rsidR="008F7935">
        <w:tab/>
        <w:t>HPST, s.r.o.</w:t>
      </w:r>
      <w:r w:rsidR="00394A2B">
        <w:tab/>
      </w:r>
    </w:p>
    <w:p w:rsidR="00196CB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8F7935">
        <w:rPr>
          <w:rFonts w:ascii="Times New Roman" w:hAnsi="Times New Roman" w:cs="Times New Roman"/>
        </w:rPr>
        <w:t xml:space="preserve">Písnická 372/20, 142 00, Praha 4 (do </w:t>
      </w:r>
      <w:proofErr w:type="gramStart"/>
      <w:r w:rsidR="008F7935">
        <w:rPr>
          <w:rFonts w:ascii="Times New Roman" w:hAnsi="Times New Roman" w:cs="Times New Roman"/>
        </w:rPr>
        <w:t>30.6.2017</w:t>
      </w:r>
      <w:proofErr w:type="gramEnd"/>
      <w:r w:rsidR="008F7935">
        <w:rPr>
          <w:rFonts w:ascii="Times New Roman" w:hAnsi="Times New Roman" w:cs="Times New Roman"/>
        </w:rPr>
        <w:t>)</w:t>
      </w:r>
    </w:p>
    <w:p w:rsidR="008F7935" w:rsidRDefault="008F7935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</w:t>
      </w:r>
      <w:proofErr w:type="spellStart"/>
      <w:r>
        <w:rPr>
          <w:rFonts w:ascii="Times New Roman" w:hAnsi="Times New Roman" w:cs="Times New Roman"/>
        </w:rPr>
        <w:t>Jetelce</w:t>
      </w:r>
      <w:proofErr w:type="spellEnd"/>
      <w:r>
        <w:rPr>
          <w:rFonts w:ascii="Times New Roman" w:hAnsi="Times New Roman" w:cs="Times New Roman"/>
        </w:rPr>
        <w:t xml:space="preserve"> 69/2, 190 00, Praha 9 (od </w:t>
      </w:r>
      <w:proofErr w:type="gramStart"/>
      <w:r>
        <w:rPr>
          <w:rFonts w:ascii="Times New Roman" w:hAnsi="Times New Roman" w:cs="Times New Roman"/>
        </w:rPr>
        <w:t>1.7.2017</w:t>
      </w:r>
      <w:proofErr w:type="gramEnd"/>
      <w:r>
        <w:rPr>
          <w:rFonts w:ascii="Times New Roman" w:hAnsi="Times New Roman" w:cs="Times New Roman"/>
        </w:rPr>
        <w:t xml:space="preserve"> změna sídla společnosti)</w:t>
      </w:r>
    </w:p>
    <w:p w:rsidR="008F7935" w:rsidRDefault="00DB17E6" w:rsidP="008F793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</w:t>
      </w:r>
      <w:r w:rsidR="00394A2B">
        <w:rPr>
          <w:rFonts w:ascii="Times New Roman" w:hAnsi="Times New Roman" w:cs="Times New Roman"/>
        </w:rPr>
        <w:t>a:</w:t>
      </w:r>
      <w:r w:rsidR="00394A2B">
        <w:rPr>
          <w:rFonts w:ascii="Times New Roman" w:hAnsi="Times New Roman" w:cs="Times New Roman"/>
        </w:rPr>
        <w:tab/>
      </w:r>
      <w:r w:rsidR="008F7935">
        <w:rPr>
          <w:rFonts w:ascii="Times New Roman" w:hAnsi="Times New Roman" w:cs="Times New Roman"/>
        </w:rPr>
        <w:t xml:space="preserve">Písnická 372/20, 142 00, Praha 4 (do </w:t>
      </w:r>
      <w:proofErr w:type="gramStart"/>
      <w:r w:rsidR="008F7935">
        <w:rPr>
          <w:rFonts w:ascii="Times New Roman" w:hAnsi="Times New Roman" w:cs="Times New Roman"/>
        </w:rPr>
        <w:t>30.6.2017</w:t>
      </w:r>
      <w:proofErr w:type="gramEnd"/>
      <w:r w:rsidR="008F7935">
        <w:rPr>
          <w:rFonts w:ascii="Times New Roman" w:hAnsi="Times New Roman" w:cs="Times New Roman"/>
        </w:rPr>
        <w:t>)</w:t>
      </w:r>
    </w:p>
    <w:p w:rsidR="00196CB6" w:rsidRDefault="008F7935" w:rsidP="008F793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</w:t>
      </w:r>
      <w:proofErr w:type="spellStart"/>
      <w:r>
        <w:rPr>
          <w:rFonts w:ascii="Times New Roman" w:hAnsi="Times New Roman" w:cs="Times New Roman"/>
        </w:rPr>
        <w:t>Jetelce</w:t>
      </w:r>
      <w:proofErr w:type="spellEnd"/>
      <w:r>
        <w:rPr>
          <w:rFonts w:ascii="Times New Roman" w:hAnsi="Times New Roman" w:cs="Times New Roman"/>
        </w:rPr>
        <w:t xml:space="preserve"> 69/2, 190 00, Praha 9 (od </w:t>
      </w:r>
      <w:proofErr w:type="gramStart"/>
      <w:r>
        <w:rPr>
          <w:rFonts w:ascii="Times New Roman" w:hAnsi="Times New Roman" w:cs="Times New Roman"/>
        </w:rPr>
        <w:t>1.7.2017</w:t>
      </w:r>
      <w:proofErr w:type="gramEnd"/>
      <w:r>
        <w:rPr>
          <w:rFonts w:ascii="Times New Roman" w:hAnsi="Times New Roman" w:cs="Times New Roman"/>
        </w:rPr>
        <w:t xml:space="preserve"> změna sídla společnosti)</w:t>
      </w:r>
    </w:p>
    <w:p w:rsidR="008F7935" w:rsidRDefault="008F7935" w:rsidP="008F793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25791079</w:t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8F7935">
        <w:rPr>
          <w:rFonts w:ascii="Times New Roman" w:hAnsi="Times New Roman" w:cs="Times New Roman"/>
        </w:rPr>
        <w:tab/>
      </w:r>
      <w:r w:rsidR="008F7935">
        <w:rPr>
          <w:rFonts w:ascii="Times New Roman" w:hAnsi="Times New Roman" w:cs="Times New Roman"/>
        </w:rPr>
        <w:tab/>
        <w:t>CZ25791079</w:t>
      </w:r>
    </w:p>
    <w:p w:rsidR="00DB17E6" w:rsidRDefault="00394A2B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</w:p>
    <w:p w:rsidR="00DB17E6" w:rsidRDefault="00394A2B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</w:t>
      </w:r>
      <w:r w:rsidR="008F7935">
        <w:rPr>
          <w:rFonts w:ascii="Times New Roman" w:hAnsi="Times New Roman" w:cs="Times New Roman"/>
        </w:rPr>
        <w:tab/>
        <w:t>Ing. Jan Marek</w:t>
      </w:r>
      <w:r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DB17E6" w:rsidRDefault="00394A2B" w:rsidP="008F793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7935">
        <w:rPr>
          <w:rFonts w:ascii="Times New Roman" w:hAnsi="Times New Roman" w:cs="Times New Roman"/>
        </w:rPr>
        <w:t>v obchodním rejstříku vedeném u Městského soudu v Praze zapsaná v oddílu C, vložka 7568</w:t>
      </w:r>
    </w:p>
    <w:p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75F32" w:rsidRDefault="004B11FB" w:rsidP="00196CB6">
      <w:pPr>
        <w:rPr>
          <w:rFonts w:eastAsia="Calibri"/>
          <w:lang w:eastAsia="en-US"/>
        </w:rPr>
      </w:pPr>
      <w:r>
        <w:t>K</w:t>
      </w:r>
      <w:r w:rsidR="0072556D">
        <w:t>upující</w:t>
      </w:r>
      <w:r w:rsidRPr="00421CE1">
        <w:t>:</w:t>
      </w:r>
      <w:r w:rsidR="00C2702D" w:rsidRPr="00421CE1">
        <w:t xml:space="preserve">     </w:t>
      </w:r>
      <w:r w:rsidR="0072556D">
        <w:t xml:space="preserve">    </w:t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                        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zastoupený doc. RNDr. Bohumírem Lomským, CSc.</w:t>
      </w:r>
      <w:r w:rsidR="00DE2577">
        <w:rPr>
          <w:rFonts w:eastAsia="Calibri"/>
          <w:lang w:eastAsia="en-US"/>
        </w:rPr>
        <w:t>, pověřeným řízením instituce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975F32" w:rsidRPr="00421CE1" w:rsidRDefault="00975F32" w:rsidP="00421CE1">
      <w:pPr>
        <w:spacing w:line="276" w:lineRule="auto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                      </w:t>
      </w:r>
      <w:r w:rsidR="00421CE1">
        <w:rPr>
          <w:rFonts w:eastAsia="Calibri"/>
          <w:lang w:eastAsia="en-US"/>
        </w:rPr>
        <w:t xml:space="preserve"> </w:t>
      </w:r>
      <w:r w:rsidRPr="00421CE1">
        <w:rPr>
          <w:rFonts w:eastAsia="Calibri"/>
          <w:lang w:eastAsia="en-US"/>
        </w:rPr>
        <w:t>Tel:</w:t>
      </w:r>
      <w:r w:rsidR="00860768">
        <w:rPr>
          <w:rFonts w:eastAsia="Calibri"/>
          <w:lang w:eastAsia="en-US"/>
        </w:rPr>
        <w:t xml:space="preserve"> </w:t>
      </w:r>
    </w:p>
    <w:p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 </w:t>
      </w:r>
    </w:p>
    <w:p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</w:t>
      </w:r>
      <w:r w:rsidR="00D259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podle ustanovení §</w:t>
      </w:r>
      <w:r w:rsidR="009D4550">
        <w:rPr>
          <w:rFonts w:ascii="Times New Roman" w:hAnsi="Times New Roman" w:cs="Times New Roman"/>
        </w:rPr>
        <w:t xml:space="preserve"> 2079</w:t>
      </w:r>
      <w:r>
        <w:rPr>
          <w:rFonts w:ascii="Times New Roman" w:hAnsi="Times New Roman" w:cs="Times New Roman"/>
        </w:rPr>
        <w:t xml:space="preserve"> a násl. </w:t>
      </w:r>
      <w:r w:rsidR="009D45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čanského</w:t>
      </w:r>
      <w:r>
        <w:rPr>
          <w:rFonts w:ascii="Times New Roman" w:hAnsi="Times New Roman" w:cs="Times New Roman"/>
        </w:rPr>
        <w:t xml:space="preserve"> zákoníku (dále jen "</w:t>
      </w:r>
      <w:proofErr w:type="spellStart"/>
      <w:r>
        <w:rPr>
          <w:rFonts w:ascii="Times New Roman" w:hAnsi="Times New Roman" w:cs="Times New Roman"/>
        </w:rPr>
        <w:t>O</w:t>
      </w:r>
      <w:r w:rsidR="000F4C6C"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</w:t>
      </w:r>
      <w:r w:rsidR="000F4C6C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") č.</w:t>
      </w:r>
      <w:r w:rsidR="009D4550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/</w:t>
      </w:r>
      <w:r w:rsidR="009D455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Sb.</w:t>
      </w:r>
      <w:r w:rsidR="00082E31">
        <w:rPr>
          <w:rFonts w:ascii="Times New Roman" w:hAnsi="Times New Roman" w:cs="Times New Roman"/>
        </w:rPr>
        <w:t>, ve znění pozdějších předpisů,</w:t>
      </w:r>
      <w:r>
        <w:rPr>
          <w:rFonts w:ascii="Times New Roman" w:hAnsi="Times New Roman" w:cs="Times New Roman"/>
        </w:rPr>
        <w:t xml:space="preserve"> tuto kupní smlouvu (dále jen "smlouva").</w:t>
      </w:r>
    </w:p>
    <w:p w:rsidR="004B11FB" w:rsidRDefault="004B11FB"/>
    <w:p w:rsidR="00504B26" w:rsidRDefault="00504B26"/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:rsidR="00196CB6" w:rsidRDefault="004B11FB" w:rsidP="00D03BF2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Prodávají</w:t>
      </w:r>
      <w:r w:rsidR="006473F2">
        <w:t>cí se zavazuje dodat kupujícímu:</w:t>
      </w:r>
    </w:p>
    <w:p w:rsidR="006473F2" w:rsidRPr="006473F2" w:rsidRDefault="00505798" w:rsidP="00647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center"/>
        <w:rPr>
          <w:b/>
        </w:rPr>
      </w:pPr>
      <w:r>
        <w:rPr>
          <w:b/>
        </w:rPr>
        <w:t xml:space="preserve">1 x </w:t>
      </w:r>
      <w:r w:rsidR="00936659">
        <w:rPr>
          <w:b/>
        </w:rPr>
        <w:t>optický emisní spektrometr</w:t>
      </w:r>
    </w:p>
    <w:p w:rsidR="006473F2" w:rsidRDefault="006473F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s instalací v místě plnění.</w:t>
      </w:r>
    </w:p>
    <w:p w:rsidR="00C320B1" w:rsidRDefault="00C320B1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6473F2" w:rsidRDefault="006473F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lastRenderedPageBreak/>
        <w:t>Technická specifikace:</w:t>
      </w:r>
    </w:p>
    <w:p w:rsidR="00C320B1" w:rsidRPr="00823B07" w:rsidRDefault="00C320B1" w:rsidP="00C320B1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o</w:t>
      </w:r>
      <w:r w:rsidRPr="00823B07">
        <w:rPr>
          <w:rFonts w:cs="Arial"/>
        </w:rPr>
        <w:t xml:space="preserve">ptický emisní spektrometr s indukčně buzeným plazmatem (ICP-OES) </w:t>
      </w:r>
    </w:p>
    <w:p w:rsidR="00C320B1" w:rsidRPr="00823B07" w:rsidRDefault="00C320B1" w:rsidP="00C320B1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možnosti</w:t>
      </w:r>
      <w:r w:rsidRPr="00823B07">
        <w:rPr>
          <w:rFonts w:cs="Arial"/>
        </w:rPr>
        <w:t xml:space="preserve"> pozorování plazmatu v axiálním i radiálním směru bez nutnosti přestavby hořáku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systém s vertikálním umístěním hořáku pro odolnost a delší životnost hořáků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vkládání hořáku do spektrometru bez nutnosti adjustace hořáku, bez nutnosti ručního připojování hadiček vedoucích plyny a bez použití nástrojů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měření v rozsahu vlnových délek alespoň 167 – 780 </w:t>
      </w:r>
      <w:proofErr w:type="spellStart"/>
      <w:r w:rsidRPr="002B5140">
        <w:t>nm</w:t>
      </w:r>
      <w:proofErr w:type="spellEnd"/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spektrometr musí umožňovat plně simultánní měření – tj. musí být vybaven </w:t>
      </w:r>
      <w:proofErr w:type="spellStart"/>
      <w:r w:rsidRPr="002B5140">
        <w:t>polychromátorem</w:t>
      </w:r>
      <w:proofErr w:type="spellEnd"/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optika typu </w:t>
      </w:r>
      <w:proofErr w:type="spellStart"/>
      <w:r w:rsidRPr="002B5140">
        <w:t>Echelle</w:t>
      </w:r>
      <w:proofErr w:type="spellEnd"/>
      <w:r w:rsidRPr="002B5140">
        <w:t xml:space="preserve"> s </w:t>
      </w:r>
      <w:proofErr w:type="spellStart"/>
      <w:r w:rsidRPr="002B5140">
        <w:t>polychromátorem</w:t>
      </w:r>
      <w:proofErr w:type="spellEnd"/>
      <w:r w:rsidRPr="002B5140">
        <w:t xml:space="preserve"> bez jakýchkoli pohyblivých částí v optice 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optika temperovaná na teplotu vyšší než teplota okolí tj. nad min. 25°C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optické rozlišení pod v oblasti pod 200nm lepší než 7 </w:t>
      </w:r>
      <w:proofErr w:type="spellStart"/>
      <w:r w:rsidRPr="002B5140">
        <w:t>pm</w:t>
      </w:r>
      <w:proofErr w:type="spellEnd"/>
      <w:r w:rsidRPr="002B5140">
        <w:t xml:space="preserve"> (definováno, jako plná šíře v polovině maxima - FWHM)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účinné hardwarové řešení eliminace chladného konce plazmatu bez přidávání dalšího plynu pro minimalizace samoabsorpce a interferencí – ideálně chlazený kónus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možnost softwarové optimalizace pozorovací výšky při radiálním pozorování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měření musí být možné v celém požadovaném rozsahu spektra, tedy min. od 167 do 780</w:t>
      </w:r>
      <w:r w:rsidR="002B5140" w:rsidRPr="002B5140">
        <w:t xml:space="preserve"> </w:t>
      </w:r>
      <w:proofErr w:type="spellStart"/>
      <w:r w:rsidRPr="002B5140">
        <w:t>nm</w:t>
      </w:r>
      <w:proofErr w:type="spellEnd"/>
      <w:r w:rsidRPr="002B5140">
        <w:t xml:space="preserve"> – detekce celého spektra vlnových délek v požadovaném rozsahu nejen v definovaných intervalech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délka měření vzorku (délka analýzy) musí být nezávislá na počtu měřených prvků, počtu měřených čar a intenzitách jejich signálu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detekce pomocí polovodičového detektoru s kontinuálním pokrytím spektra v rozsahu min. 167 – 780 </w:t>
      </w:r>
      <w:proofErr w:type="spellStart"/>
      <w:r w:rsidRPr="002B5140">
        <w:t>nm</w:t>
      </w:r>
      <w:proofErr w:type="spellEnd"/>
      <w:r w:rsidRPr="002B5140">
        <w:t xml:space="preserve"> (kontinuální pokrytí = záznam signálu ve spojitém nepřerušeném poli) 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detektor musí být chlazen (např. pomocí </w:t>
      </w:r>
      <w:proofErr w:type="spellStart"/>
      <w:r w:rsidRPr="002B5140">
        <w:t>peltierova</w:t>
      </w:r>
      <w:proofErr w:type="spellEnd"/>
      <w:r w:rsidRPr="002B5140">
        <w:t xml:space="preserve"> článku/článků) alespoň na -30°C pro eliminaci elektronického šumu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každý z pixelů detektoru musí být vybaven ochranou proti přesycení dopadajícím signálem (anti </w:t>
      </w:r>
      <w:proofErr w:type="spellStart"/>
      <w:r w:rsidRPr="002B5140">
        <w:t>blooming</w:t>
      </w:r>
      <w:proofErr w:type="spellEnd"/>
      <w:r w:rsidRPr="002B5140">
        <w:t xml:space="preserve"> ochrana) s možností softwarové manuální a automatické regulace doby integrace signálu na daných pixelech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softwarová regulace všech pracovních plynů na principu hmotnostního průtoku (MFC)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možnost upgradu na systém se synchronním duálním pozorováním (současný záznam signálu za axiálního i radiálního směru)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vysoce robustní plazma umožňující proměřovat vzorky s vyšším podílem solí – tj. účinnost RF minimálně 75% se stabilitou výkonu lepší než 0.1%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 xml:space="preserve">alespoň tříkanálová pomaloběžná peristaltická pumpa s funkcí „rychlé pumpy“ pro urychlení transportu roztoku do </w:t>
      </w:r>
      <w:proofErr w:type="spellStart"/>
      <w:r w:rsidRPr="002B5140">
        <w:t>zmlžovacího</w:t>
      </w:r>
      <w:proofErr w:type="spellEnd"/>
      <w:r w:rsidRPr="002B5140">
        <w:t xml:space="preserve"> systému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možnost výměny mlžné komory bez zhasnutí plazmy (výměna ultrazvukového zmlžovače a </w:t>
      </w:r>
      <w:proofErr w:type="spellStart"/>
      <w:r w:rsidRPr="002B5140">
        <w:t>cyklonické</w:t>
      </w:r>
      <w:proofErr w:type="spellEnd"/>
      <w:r w:rsidRPr="002B5140">
        <w:t xml:space="preserve"> komory)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bezúdržbový polovodičový radiofrekvenční generátor 27MHz s nastavitelným výkonem v rozsahu alespoň 1 – 1.5 kW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připojení k síti 50Hz, 1x230V, jistič 16A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účinná filtrace vzduchu vstupujícího do systému přes prachový filtr pro zamezení depozitu prachových částic uvnitř instrumentu.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odtah spalin od spektrometru max. 3 m</w:t>
      </w:r>
      <w:r w:rsidRPr="002B5140">
        <w:rPr>
          <w:vertAlign w:val="superscript"/>
        </w:rPr>
        <w:t>3</w:t>
      </w:r>
      <w:r w:rsidRPr="002B5140">
        <w:t>/min</w:t>
      </w:r>
    </w:p>
    <w:p w:rsidR="00C320B1" w:rsidRPr="002B5140" w:rsidRDefault="00C320B1" w:rsidP="00C320B1">
      <w:pPr>
        <w:numPr>
          <w:ilvl w:val="0"/>
          <w:numId w:val="42"/>
        </w:numPr>
      </w:pPr>
      <w:r w:rsidRPr="002B5140">
        <w:t>kompatibilita s </w:t>
      </w:r>
      <w:proofErr w:type="spellStart"/>
      <w:r w:rsidRPr="002B5140">
        <w:t>autosamplerem</w:t>
      </w:r>
      <w:proofErr w:type="spellEnd"/>
      <w:r w:rsidRPr="002B5140">
        <w:t xml:space="preserve"> </w:t>
      </w:r>
      <w:proofErr w:type="spellStart"/>
      <w:r w:rsidRPr="002B5140">
        <w:t>Varian</w:t>
      </w:r>
      <w:proofErr w:type="spellEnd"/>
      <w:r w:rsidRPr="002B5140">
        <w:t xml:space="preserve"> SPS3 a s chladící jednotkou Van der </w:t>
      </w:r>
      <w:proofErr w:type="spellStart"/>
      <w:r w:rsidRPr="002B5140">
        <w:t>Heijden</w:t>
      </w:r>
      <w:proofErr w:type="spellEnd"/>
      <w:r w:rsidRPr="002B5140">
        <w:t xml:space="preserve"> (typ 0001-RB301)</w:t>
      </w:r>
    </w:p>
    <w:p w:rsidR="00C320B1" w:rsidRDefault="00C320B1" w:rsidP="00C320B1">
      <w:pPr>
        <w:numPr>
          <w:ilvl w:val="0"/>
          <w:numId w:val="42"/>
        </w:numPr>
        <w:rPr>
          <w:rFonts w:ascii="Calibri" w:hAnsi="Calibri" w:cs="Arial"/>
        </w:rPr>
      </w:pPr>
      <w:r w:rsidRPr="002B5140">
        <w:t>kompatibilita s ultrazvukovým zmlžovačem CETAC U 5000AT+</w:t>
      </w:r>
    </w:p>
    <w:p w:rsidR="00C320B1" w:rsidRPr="00F51E20" w:rsidRDefault="00C320B1" w:rsidP="00C320B1">
      <w:pPr>
        <w:ind w:left="360"/>
        <w:rPr>
          <w:rFonts w:ascii="Calibri" w:hAnsi="Calibri" w:cs="Arial"/>
        </w:rPr>
      </w:pPr>
    </w:p>
    <w:p w:rsidR="00681B12" w:rsidRDefault="00AB30D6" w:rsidP="002B5140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 xml:space="preserve">Součástí </w:t>
      </w:r>
      <w:r w:rsidR="00CA4DDF">
        <w:t>dodávky zboží</w:t>
      </w:r>
      <w:r>
        <w:t xml:space="preserve"> jsou příslušné doklady, </w:t>
      </w:r>
      <w:r w:rsidR="00CA4DDF">
        <w:t xml:space="preserve">tj. </w:t>
      </w:r>
      <w:r>
        <w:t xml:space="preserve">záruční list, návody k použití a technická  </w:t>
      </w:r>
    </w:p>
    <w:p w:rsidR="00BA5828" w:rsidRDefault="00681B12" w:rsidP="006473F2">
      <w:p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60"/>
        <w:jc w:val="both"/>
      </w:pPr>
      <w:r>
        <w:t xml:space="preserve">          </w:t>
      </w:r>
      <w:r w:rsidR="00AB30D6">
        <w:t>dokumentace, vztahující se ke zboží.</w:t>
      </w:r>
      <w:r w:rsidR="00BA5828" w:rsidRPr="00BA5828">
        <w:t xml:space="preserve"> </w:t>
      </w:r>
    </w:p>
    <w:p w:rsidR="00BA5828" w:rsidRDefault="00BA5828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04413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  <w:r w:rsidR="00860768">
        <w:t>1.597.360,--</w:t>
      </w:r>
      <w:r w:rsidR="00681B12">
        <w:t xml:space="preserve"> Kč</w:t>
      </w:r>
      <w:r w:rsidR="00FB1D98">
        <w:t xml:space="preserve"> </w:t>
      </w:r>
      <w:r w:rsidR="00832479">
        <w:t xml:space="preserve"> </w:t>
      </w:r>
      <w:r w:rsidR="00CA4DDF">
        <w:t xml:space="preserve">bez </w:t>
      </w:r>
      <w:r>
        <w:t>DPH</w:t>
      </w:r>
      <w:r w:rsidR="00802AD2">
        <w:t xml:space="preserve"> </w:t>
      </w:r>
      <w:r w:rsidR="00972919">
        <w:t xml:space="preserve">za </w:t>
      </w:r>
      <w:r w:rsidR="00CA4DDF">
        <w:t>celou dodávku zboží</w:t>
      </w:r>
      <w:r w:rsidR="00D03BF2">
        <w:t>.</w:t>
      </w:r>
    </w:p>
    <w:p w:rsidR="00CA4DDF" w:rsidRDefault="00CA4DDF" w:rsidP="00832479">
      <w:pPr>
        <w:numPr>
          <w:ilvl w:val="1"/>
          <w:numId w:val="12"/>
        </w:numPr>
      </w:pPr>
      <w:r>
        <w:t xml:space="preserve">DPH je stanovena ve výši 21 %, tj. </w:t>
      </w:r>
      <w:r w:rsidR="00860768">
        <w:t>335.445,60</w:t>
      </w:r>
      <w:r>
        <w:t xml:space="preserve"> Kč.</w:t>
      </w:r>
      <w:r w:rsidR="00394A2B">
        <w:t xml:space="preserve"> </w:t>
      </w:r>
    </w:p>
    <w:p w:rsidR="00CA4DDF" w:rsidRDefault="00CA4DDF" w:rsidP="00832479">
      <w:pPr>
        <w:numPr>
          <w:ilvl w:val="1"/>
          <w:numId w:val="12"/>
        </w:numPr>
      </w:pPr>
      <w:r>
        <w:t xml:space="preserve">Celková cena za dodávku zboží včetně DPH činí </w:t>
      </w:r>
      <w:r w:rsidR="00860768">
        <w:t>1.932.805,60</w:t>
      </w:r>
      <w:r>
        <w:t xml:space="preserve"> Kč</w:t>
      </w:r>
    </w:p>
    <w:p w:rsidR="00CA4DDF" w:rsidRDefault="009C4398">
      <w:r>
        <w:t>3.</w:t>
      </w:r>
      <w:r w:rsidR="00CA4DDF">
        <w:t>4</w:t>
      </w:r>
      <w:r>
        <w:t>.       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 xml:space="preserve">do místa </w:t>
      </w:r>
    </w:p>
    <w:p w:rsidR="00681B12" w:rsidRDefault="00CA4DDF">
      <w:r>
        <w:t xml:space="preserve">             </w:t>
      </w:r>
      <w:r w:rsidR="009C4398">
        <w:t>plnění</w:t>
      </w:r>
      <w:r>
        <w:t>.</w:t>
      </w:r>
      <w:r w:rsidR="00681B12">
        <w:t xml:space="preserve">             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FE3ECD">
        <w:rPr>
          <w:sz w:val="24"/>
          <w:szCs w:val="24"/>
          <w:lang w:val="cs-CZ"/>
        </w:rPr>
        <w:t xml:space="preserve">do </w:t>
      </w:r>
      <w:r w:rsidR="00936659" w:rsidRPr="00886634">
        <w:rPr>
          <w:sz w:val="24"/>
          <w:szCs w:val="24"/>
          <w:lang w:val="cs-CZ"/>
        </w:rPr>
        <w:t>60</w:t>
      </w:r>
      <w:r w:rsidR="003750D8" w:rsidRPr="00FE3ECD">
        <w:rPr>
          <w:sz w:val="24"/>
          <w:szCs w:val="24"/>
          <w:lang w:val="cs-CZ"/>
        </w:rPr>
        <w:t xml:space="preserve"> </w:t>
      </w:r>
      <w:r w:rsidR="00B96CD8" w:rsidRPr="00FE3ECD">
        <w:rPr>
          <w:sz w:val="24"/>
          <w:szCs w:val="24"/>
          <w:lang w:val="cs-CZ"/>
        </w:rPr>
        <w:t xml:space="preserve">kalendářních </w:t>
      </w:r>
      <w:r w:rsidR="003750D8" w:rsidRPr="00FE3ECD">
        <w:rPr>
          <w:sz w:val="24"/>
          <w:szCs w:val="24"/>
          <w:lang w:val="cs-CZ"/>
        </w:rPr>
        <w:t xml:space="preserve">dnů ode dne </w:t>
      </w:r>
      <w:r w:rsidR="00B96CD8" w:rsidRPr="00FE3ECD">
        <w:rPr>
          <w:sz w:val="24"/>
          <w:szCs w:val="24"/>
          <w:lang w:val="cs-CZ"/>
        </w:rPr>
        <w:t xml:space="preserve">nabytí </w:t>
      </w:r>
      <w:r w:rsidR="00C44C1A" w:rsidRPr="00FE3ECD">
        <w:rPr>
          <w:sz w:val="24"/>
          <w:szCs w:val="24"/>
          <w:lang w:val="cs-CZ"/>
        </w:rPr>
        <w:t>účinnosti</w:t>
      </w:r>
      <w:r w:rsidR="00B96CD8" w:rsidRPr="00FE3ECD">
        <w:rPr>
          <w:sz w:val="24"/>
          <w:szCs w:val="24"/>
          <w:lang w:val="cs-CZ"/>
        </w:rPr>
        <w:t xml:space="preserve"> této</w:t>
      </w:r>
      <w:r w:rsidR="00C74362" w:rsidRPr="00FE3ECD">
        <w:rPr>
          <w:sz w:val="24"/>
          <w:szCs w:val="24"/>
          <w:lang w:val="cs-CZ"/>
        </w:rPr>
        <w:t xml:space="preserve"> smlouvy.</w:t>
      </w:r>
    </w:p>
    <w:p w:rsidR="004B11FB" w:rsidRPr="006473F2" w:rsidRDefault="004B11FB" w:rsidP="00504B26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D138D2">
        <w:rPr>
          <w:sz w:val="24"/>
          <w:szCs w:val="24"/>
          <w:lang w:val="cs-CZ"/>
        </w:rPr>
        <w:t xml:space="preserve">Prodávající </w:t>
      </w:r>
      <w:r w:rsidR="00CA4DDF" w:rsidRPr="00D138D2">
        <w:rPr>
          <w:sz w:val="24"/>
          <w:szCs w:val="24"/>
          <w:lang w:val="cs-CZ"/>
        </w:rPr>
        <w:t>se zavazuje</w:t>
      </w:r>
      <w:r w:rsidRPr="00D138D2">
        <w:rPr>
          <w:sz w:val="24"/>
          <w:szCs w:val="24"/>
          <w:lang w:val="cs-CZ"/>
        </w:rPr>
        <w:t xml:space="preserve"> dodat zboží kupující</w:t>
      </w:r>
      <w:r w:rsidR="00CA4DDF" w:rsidRPr="00D138D2">
        <w:rPr>
          <w:sz w:val="24"/>
          <w:szCs w:val="24"/>
          <w:lang w:val="cs-CZ"/>
        </w:rPr>
        <w:t>mu</w:t>
      </w:r>
      <w:r w:rsidRPr="00D138D2">
        <w:rPr>
          <w:sz w:val="24"/>
          <w:szCs w:val="24"/>
          <w:lang w:val="cs-CZ"/>
        </w:rPr>
        <w:t xml:space="preserve"> na adresu:</w:t>
      </w:r>
      <w:r w:rsidR="00975F32" w:rsidRPr="00D138D2">
        <w:rPr>
          <w:sz w:val="24"/>
          <w:szCs w:val="24"/>
          <w:lang w:val="cs-CZ"/>
        </w:rPr>
        <w:t xml:space="preserve"> </w:t>
      </w:r>
      <w:r w:rsidR="00975F32" w:rsidRPr="00D138D2">
        <w:rPr>
          <w:b/>
          <w:sz w:val="24"/>
          <w:szCs w:val="24"/>
          <w:lang w:val="cs-CZ"/>
        </w:rPr>
        <w:t xml:space="preserve">Strnady 136, </w:t>
      </w:r>
      <w:proofErr w:type="gramStart"/>
      <w:r w:rsidR="00975F32" w:rsidRPr="00D138D2">
        <w:rPr>
          <w:b/>
          <w:sz w:val="24"/>
          <w:szCs w:val="24"/>
          <w:lang w:val="cs-CZ"/>
        </w:rPr>
        <w:t>252</w:t>
      </w:r>
      <w:r w:rsidR="00A62733" w:rsidRPr="00D138D2">
        <w:rPr>
          <w:b/>
          <w:sz w:val="24"/>
          <w:szCs w:val="24"/>
          <w:lang w:val="cs-CZ"/>
        </w:rPr>
        <w:t xml:space="preserve"> </w:t>
      </w:r>
      <w:r w:rsidR="00975F32" w:rsidRPr="00D138D2">
        <w:rPr>
          <w:b/>
          <w:sz w:val="24"/>
          <w:szCs w:val="24"/>
          <w:lang w:val="cs-CZ"/>
        </w:rPr>
        <w:t>02  Jíloviště</w:t>
      </w:r>
      <w:proofErr w:type="gramEnd"/>
      <w:r w:rsidR="006473F2">
        <w:rPr>
          <w:b/>
          <w:sz w:val="24"/>
          <w:szCs w:val="24"/>
          <w:lang w:val="cs-CZ"/>
        </w:rPr>
        <w:t>.</w:t>
      </w:r>
    </w:p>
    <w:p w:rsidR="006473F2" w:rsidRPr="006473F2" w:rsidRDefault="006473F2" w:rsidP="006473F2">
      <w:pPr>
        <w:pStyle w:val="Zkladntext3"/>
        <w:tabs>
          <w:tab w:val="left" w:pos="-1440"/>
          <w:tab w:val="left" w:pos="-720"/>
          <w:tab w:val="left" w:pos="0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/>
        <w:rPr>
          <w:sz w:val="24"/>
          <w:szCs w:val="24"/>
        </w:rPr>
      </w:pPr>
      <w:r>
        <w:rPr>
          <w:sz w:val="24"/>
          <w:szCs w:val="24"/>
          <w:lang w:val="cs-CZ"/>
        </w:rPr>
        <w:t>Místo instalace se nachází v II.NP.</w:t>
      </w:r>
    </w:p>
    <w:p w:rsidR="00C64947" w:rsidRPr="00C64947" w:rsidRDefault="00CA4DDF" w:rsidP="00B01EE5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C64947">
        <w:rPr>
          <w:sz w:val="24"/>
          <w:szCs w:val="24"/>
        </w:rPr>
        <w:t>Převzetí</w:t>
      </w:r>
      <w:r w:rsidR="006A1FC2" w:rsidRPr="00C64947">
        <w:rPr>
          <w:sz w:val="24"/>
          <w:szCs w:val="24"/>
        </w:rPr>
        <w:t xml:space="preserve"> </w:t>
      </w:r>
      <w:r w:rsidR="00A62733" w:rsidRPr="00C64947">
        <w:rPr>
          <w:sz w:val="24"/>
          <w:szCs w:val="24"/>
        </w:rPr>
        <w:t>zboží</w:t>
      </w:r>
      <w:r w:rsidR="006A1FC2" w:rsidRPr="00C64947">
        <w:rPr>
          <w:sz w:val="24"/>
          <w:szCs w:val="24"/>
        </w:rPr>
        <w:t xml:space="preserve"> </w:t>
      </w:r>
      <w:r w:rsidRPr="00C64947">
        <w:rPr>
          <w:sz w:val="24"/>
          <w:szCs w:val="24"/>
        </w:rPr>
        <w:t>za kupujícího provede</w:t>
      </w:r>
      <w:r w:rsidR="00A62733" w:rsidRPr="00C64947">
        <w:rPr>
          <w:sz w:val="24"/>
          <w:szCs w:val="24"/>
        </w:rPr>
        <w:t xml:space="preserve">: </w:t>
      </w:r>
      <w:r w:rsidR="006473F2" w:rsidRPr="00C64947">
        <w:rPr>
          <w:sz w:val="24"/>
          <w:szCs w:val="24"/>
        </w:rPr>
        <w:t xml:space="preserve">Mgr. </w:t>
      </w:r>
      <w:proofErr w:type="spellStart"/>
      <w:r w:rsidR="006473F2" w:rsidRPr="00C64947">
        <w:rPr>
          <w:sz w:val="24"/>
          <w:szCs w:val="24"/>
        </w:rPr>
        <w:t>Kateřina</w:t>
      </w:r>
      <w:proofErr w:type="spellEnd"/>
      <w:r w:rsidR="006473F2" w:rsidRPr="00C64947">
        <w:rPr>
          <w:sz w:val="24"/>
          <w:szCs w:val="24"/>
        </w:rPr>
        <w:t xml:space="preserve"> </w:t>
      </w:r>
      <w:proofErr w:type="spellStart"/>
      <w:r w:rsidR="006473F2" w:rsidRPr="00C64947">
        <w:rPr>
          <w:sz w:val="24"/>
          <w:szCs w:val="24"/>
        </w:rPr>
        <w:t>Havlíčková</w:t>
      </w:r>
      <w:proofErr w:type="spellEnd"/>
      <w:r w:rsidR="00975F32" w:rsidRPr="00C64947">
        <w:rPr>
          <w:sz w:val="24"/>
          <w:szCs w:val="24"/>
        </w:rPr>
        <w:t xml:space="preserve">, </w:t>
      </w:r>
      <w:proofErr w:type="spellStart"/>
      <w:r w:rsidR="00975F32" w:rsidRPr="00C64947">
        <w:rPr>
          <w:sz w:val="24"/>
          <w:szCs w:val="24"/>
        </w:rPr>
        <w:t>tel</w:t>
      </w:r>
      <w:proofErr w:type="spellEnd"/>
      <w:r w:rsidR="00975F32" w:rsidRPr="00C64947">
        <w:rPr>
          <w:sz w:val="24"/>
          <w:szCs w:val="24"/>
        </w:rPr>
        <w:t xml:space="preserve">: </w:t>
      </w:r>
      <w:r w:rsidR="00C64947" w:rsidRPr="00C64947">
        <w:rPr>
          <w:sz w:val="24"/>
          <w:szCs w:val="24"/>
        </w:rPr>
        <w:t xml:space="preserve">          </w:t>
      </w:r>
      <w:r w:rsidR="006473F2" w:rsidRPr="00C64947">
        <w:rPr>
          <w:sz w:val="24"/>
          <w:szCs w:val="24"/>
        </w:rPr>
        <w:t xml:space="preserve">, </w:t>
      </w:r>
      <w:proofErr w:type="spellStart"/>
      <w:r w:rsidR="006473F2" w:rsidRPr="00C64947">
        <w:rPr>
          <w:sz w:val="24"/>
          <w:szCs w:val="24"/>
        </w:rPr>
        <w:t>mobil</w:t>
      </w:r>
      <w:proofErr w:type="spellEnd"/>
      <w:r w:rsidR="006473F2" w:rsidRPr="00C64947">
        <w:rPr>
          <w:sz w:val="24"/>
          <w:szCs w:val="24"/>
        </w:rPr>
        <w:t xml:space="preserve">: </w:t>
      </w:r>
      <w:r w:rsidR="00C64947" w:rsidRPr="00C64947">
        <w:rPr>
          <w:sz w:val="24"/>
          <w:szCs w:val="24"/>
        </w:rPr>
        <w:t xml:space="preserve">            </w:t>
      </w:r>
      <w:r w:rsidR="00975F32" w:rsidRPr="00C64947">
        <w:rPr>
          <w:sz w:val="24"/>
          <w:szCs w:val="24"/>
        </w:rPr>
        <w:t xml:space="preserve">, e-mail </w:t>
      </w:r>
    </w:p>
    <w:p w:rsidR="003750D8" w:rsidRPr="00C64947" w:rsidRDefault="004B11FB" w:rsidP="00B01EE5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C64947">
        <w:rPr>
          <w:sz w:val="24"/>
          <w:szCs w:val="24"/>
          <w:lang w:val="cs-CZ"/>
        </w:rPr>
        <w:t xml:space="preserve">O provedené </w:t>
      </w:r>
      <w:r w:rsidR="00CA4DDF" w:rsidRPr="00C64947">
        <w:rPr>
          <w:sz w:val="24"/>
          <w:szCs w:val="24"/>
          <w:lang w:val="cs-CZ"/>
        </w:rPr>
        <w:t>p</w:t>
      </w:r>
      <w:r w:rsidR="009E75DA" w:rsidRPr="00C64947">
        <w:rPr>
          <w:sz w:val="24"/>
          <w:szCs w:val="24"/>
          <w:lang w:val="cs-CZ"/>
        </w:rPr>
        <w:t>řejímce sepíší</w:t>
      </w:r>
      <w:r w:rsidRPr="00C64947">
        <w:rPr>
          <w:sz w:val="24"/>
          <w:szCs w:val="24"/>
          <w:lang w:val="cs-CZ"/>
        </w:rPr>
        <w:t xml:space="preserve"> prodávající </w:t>
      </w:r>
      <w:r w:rsidR="00CA4DDF" w:rsidRPr="00C64947">
        <w:rPr>
          <w:sz w:val="24"/>
          <w:szCs w:val="24"/>
          <w:lang w:val="cs-CZ"/>
        </w:rPr>
        <w:t xml:space="preserve">a kupující </w:t>
      </w:r>
      <w:r w:rsidR="00EC2646" w:rsidRPr="00C64947">
        <w:rPr>
          <w:sz w:val="24"/>
          <w:szCs w:val="24"/>
          <w:lang w:val="cs-CZ"/>
        </w:rPr>
        <w:t>zápis.</w:t>
      </w:r>
      <w:r w:rsidR="00CA4DDF" w:rsidRPr="00C64947">
        <w:rPr>
          <w:sz w:val="24"/>
          <w:szCs w:val="24"/>
          <w:lang w:val="cs-CZ"/>
        </w:rPr>
        <w:t xml:space="preserve"> Přípustnou formou tohoto zápisu je </w:t>
      </w:r>
      <w:r w:rsidRPr="00C64947">
        <w:rPr>
          <w:sz w:val="24"/>
          <w:szCs w:val="24"/>
          <w:lang w:val="cs-CZ"/>
        </w:rPr>
        <w:t>podepsaný dodací list.</w:t>
      </w:r>
    </w:p>
    <w:p w:rsidR="00C36A70" w:rsidRPr="00FB1AD3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FB1AD3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CE4465" w:rsidRDefault="00CE4465" w:rsidP="009678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b/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:rsidR="00394A2B" w:rsidRPr="00394A2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  <w:r w:rsidR="00394A2B">
        <w:rPr>
          <w:sz w:val="24"/>
          <w:szCs w:val="24"/>
        </w:rPr>
        <w:t xml:space="preserve"> </w:t>
      </w:r>
      <w:r w:rsidR="00394A2B" w:rsidRPr="00394A2B">
        <w:rPr>
          <w:sz w:val="24"/>
          <w:szCs w:val="24"/>
        </w:rPr>
        <w:t>DPH odvádí správci daně prodávající.</w:t>
      </w: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:rsidR="004B0970" w:rsidRDefault="00767F07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  <w:proofErr w:type="gramStart"/>
      <w:r>
        <w:t>5</w:t>
      </w:r>
      <w:r w:rsidR="00802ACD">
        <w:t>.4</w:t>
      </w:r>
      <w:r w:rsidR="009D56D7">
        <w:t xml:space="preserve">   </w:t>
      </w:r>
      <w:r w:rsidR="00C92BCF">
        <w:t xml:space="preserve">    </w:t>
      </w:r>
      <w:r w:rsidR="006A1FC2">
        <w:t>Kupující</w:t>
      </w:r>
      <w:proofErr w:type="gramEnd"/>
      <w:r w:rsidR="006A1FC2">
        <w:t xml:space="preserve"> je oprávněn do data splatnosti vrátit </w:t>
      </w:r>
      <w:r w:rsidR="00C92BCF">
        <w:t xml:space="preserve">prodávajícímu </w:t>
      </w:r>
      <w:r w:rsidR="00A62733">
        <w:t>daňový doklad</w:t>
      </w:r>
      <w:r w:rsidR="00C92BCF">
        <w:t xml:space="preserve">, pokud nebude </w:t>
      </w:r>
      <w:r w:rsidR="006A1FC2">
        <w:t>obsah</w:t>
      </w:r>
      <w:r w:rsidR="00C92BCF">
        <w:t>ovat</w:t>
      </w:r>
      <w:r w:rsidR="006A1FC2">
        <w:t xml:space="preserve"> </w:t>
      </w:r>
      <w:r w:rsidR="00C92BCF">
        <w:t>náležitosti daňového dokladu</w:t>
      </w:r>
      <w:r w:rsidR="006A1FC2">
        <w:t>, ne</w:t>
      </w:r>
      <w:r w:rsidR="00C92BCF">
        <w:t>bude doložen</w:t>
      </w:r>
      <w:r w:rsidR="006A1FC2">
        <w:t xml:space="preserve"> </w:t>
      </w:r>
      <w:r w:rsidR="00C92BCF">
        <w:t xml:space="preserve">dokladem o předání a převzetí zboží </w:t>
      </w:r>
      <w:r w:rsidR="006A1FC2">
        <w:t xml:space="preserve">nebo </w:t>
      </w:r>
      <w:r w:rsidR="00C92BCF">
        <w:t>bude</w:t>
      </w:r>
      <w:r w:rsidR="006A1FC2">
        <w:t xml:space="preserve"> obsah</w:t>
      </w:r>
      <w:r w:rsidR="00C92BCF">
        <w:t>ovat</w:t>
      </w:r>
      <w:r w:rsidR="006A1FC2">
        <w:t xml:space="preserve"> nesprávné údaje</w:t>
      </w:r>
      <w:r w:rsidR="00C92BCF">
        <w:t>.</w:t>
      </w:r>
      <w:r w:rsidR="006A1FC2">
        <w:t xml:space="preserve"> </w:t>
      </w:r>
    </w:p>
    <w:p w:rsidR="00C92BCF" w:rsidRDefault="00C92BCF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  <w:r w:rsidR="007E6ED4">
        <w:t>, ve znění pozdějších předpisů.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2B5140" w:rsidRDefault="002B5140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:rsidR="004B11FB" w:rsidRDefault="00CF6202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767F07">
        <w:t>7</w:t>
      </w:r>
      <w:r w:rsidR="004B11FB">
        <w:t>.1</w:t>
      </w:r>
      <w:r w:rsidR="004B11FB">
        <w:tab/>
        <w:t>Prodávající prohlašuje a odpovídá, že dodané zboží je nové a nepoužívané, odpovídá platné dokumentaci, předpisům výrobce a příslušným tec</w:t>
      </w:r>
      <w:r w:rsidR="00C92BCF">
        <w:t>hnickým normám České republiky.</w:t>
      </w:r>
    </w:p>
    <w:p w:rsidR="004B11FB" w:rsidRDefault="00CF6202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767F07"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</w:t>
      </w:r>
      <w:r w:rsidR="007E6ED4">
        <w:t xml:space="preserve">ve znění pozdějších předpisů, </w:t>
      </w:r>
      <w:r w:rsidR="004B11FB" w:rsidRPr="00A05391">
        <w:t xml:space="preserve">pokud není určeno </w:t>
      </w:r>
      <w:r w:rsidR="00B96CD8" w:rsidRPr="00A05391">
        <w:t xml:space="preserve">touto smlouvou dále </w:t>
      </w:r>
      <w:r w:rsidR="004B11FB" w:rsidRPr="00A05391">
        <w:t>jinak.</w:t>
      </w:r>
    </w:p>
    <w:p w:rsidR="00CF6202" w:rsidRDefault="00CF6202" w:rsidP="009E75DA">
      <w:pPr>
        <w:jc w:val="both"/>
      </w:pPr>
      <w:r>
        <w:t xml:space="preserve">  </w:t>
      </w:r>
      <w:proofErr w:type="gramStart"/>
      <w:r w:rsidR="00767F07">
        <w:t>7</w:t>
      </w:r>
      <w:r>
        <w:t>.3  Prodávající</w:t>
      </w:r>
      <w:proofErr w:type="gramEnd"/>
      <w:r>
        <w:t xml:space="preserve"> přejímá záruku za jakost zboží  v rozsahu  a za podmínek uvedených </w:t>
      </w:r>
      <w:r>
        <w:br/>
        <w:t xml:space="preserve">           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>
        <w:t xml:space="preserve"> </w:t>
      </w:r>
      <w:r w:rsidR="009E75DA">
        <w:tab/>
      </w:r>
      <w:r>
        <w:t xml:space="preserve">vadu bezplatně odstranit, vyskytne-li se vada během záruční doby </w:t>
      </w:r>
      <w:r w:rsidR="00635D06">
        <w:t>při dodržení z</w:t>
      </w:r>
      <w:r w:rsidR="000F4C6C">
        <w:t xml:space="preserve">áručních </w:t>
      </w:r>
      <w:r w:rsidR="009E75DA">
        <w:tab/>
      </w:r>
      <w:r w:rsidR="000F4C6C">
        <w:t xml:space="preserve">podmínek. </w:t>
      </w:r>
    </w:p>
    <w:p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je </w:t>
      </w:r>
      <w:r w:rsidR="003E156A">
        <w:t>24</w:t>
      </w:r>
      <w:bookmarkStart w:id="0" w:name="_GoBack"/>
      <w:bookmarkEnd w:id="0"/>
      <w:r w:rsidR="007E29CC">
        <w:t xml:space="preserve"> měsíců</w:t>
      </w:r>
      <w:r w:rsidR="0072556D">
        <w:t>.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:rsidR="00863C47" w:rsidRDefault="00767F07" w:rsidP="00767F07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 a dodací list</w:t>
      </w:r>
      <w:r w:rsidR="00B96CD8">
        <w:t>,</w:t>
      </w:r>
      <w:r w:rsidR="00863C47">
        <w:t xml:space="preserve"> na kterém</w:t>
      </w:r>
    </w:p>
    <w:p w:rsidR="00863C47" w:rsidRDefault="00863C47" w:rsidP="00863C47">
      <w:pPr>
        <w:ind w:left="180"/>
        <w:jc w:val="both"/>
      </w:pPr>
      <w:r>
        <w:t xml:space="preserve">         jsou uvedeny všechny komponenty dodávky a jejich výrobní čísla.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  <w:t xml:space="preserve">dokumentaci stanovené výrobcem a předané mu prodávajícím spolu se zbožím.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:rsidR="00767F07" w:rsidRPr="00767F0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:rsidR="00DE5928" w:rsidRPr="005714B0" w:rsidRDefault="00DE5928" w:rsidP="007D37EC">
      <w:pPr>
        <w:pStyle w:val="Odstavecseseznamem"/>
        <w:spacing w:after="120"/>
        <w:ind w:left="0"/>
        <w:jc w:val="both"/>
      </w:pPr>
      <w:r w:rsidRPr="005714B0">
        <w:t xml:space="preserve">Každá ze Smluvních stran může odstoupit od této smlouvy v případech </w:t>
      </w:r>
      <w:r>
        <w:t xml:space="preserve">podstatného porušení této smlouvy ze strany druhé smluvní strany, </w:t>
      </w:r>
      <w:r w:rsidRPr="005714B0">
        <w:t xml:space="preserve">stanovených touto </w:t>
      </w:r>
      <w:r>
        <w:t>s</w:t>
      </w:r>
      <w:r w:rsidRPr="005714B0">
        <w:t xml:space="preserve">mlouvou nebo zákonem. Odstoupení od Smlouvy musí být učiněno písemnou formou a prokazatelně doručeno druhé Smluvní straně. Právní účinky odstoupení nastávají dnem doručení oznámení o odstoupení od </w:t>
      </w:r>
      <w:r>
        <w:t>této smlouvy druhé s</w:t>
      </w:r>
      <w:r w:rsidRPr="005714B0">
        <w:t>mluvní straně.</w:t>
      </w:r>
    </w:p>
    <w:p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210CF1" w:rsidRDefault="00210CF1" w:rsidP="00635D06">
      <w:pPr>
        <w:widowControl w:val="0"/>
        <w:jc w:val="center"/>
        <w:rPr>
          <w:b/>
          <w:bCs/>
        </w:rPr>
      </w:pPr>
    </w:p>
    <w:p w:rsidR="0020305C" w:rsidRDefault="00767F07" w:rsidP="00767F07">
      <w:pPr>
        <w:widowControl w:val="0"/>
        <w:jc w:val="both"/>
      </w:pPr>
      <w:r>
        <w:t>9</w:t>
      </w:r>
      <w:r w:rsidR="0020305C">
        <w:t xml:space="preserve">.1   </w:t>
      </w:r>
      <w:r>
        <w:t xml:space="preserve">  </w:t>
      </w:r>
      <w:r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:rsidR="00767F07" w:rsidRDefault="00767F07" w:rsidP="00767F07">
      <w:pPr>
        <w:widowControl w:val="0"/>
        <w:jc w:val="both"/>
      </w:pPr>
      <w:r>
        <w:t xml:space="preserve">9.2     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</w:p>
    <w:p w:rsidR="00767F07" w:rsidRDefault="00767F07" w:rsidP="00767F07">
      <w:pPr>
        <w:widowControl w:val="0"/>
        <w:jc w:val="both"/>
      </w:pPr>
      <w:r>
        <w:t xml:space="preserve">          </w:t>
      </w:r>
      <w:r>
        <w:tab/>
      </w:r>
      <w:r w:rsidR="0020305C">
        <w:t xml:space="preserve">prodávajícímu </w:t>
      </w:r>
      <w:r>
        <w:t>smluvní pokutu</w:t>
      </w:r>
      <w:r w:rsidR="0020305C">
        <w:t xml:space="preserve"> ve výši 0,1% z fakturované částky</w:t>
      </w:r>
      <w:r w:rsidR="00421CE1">
        <w:t xml:space="preserve"> </w:t>
      </w:r>
      <w:r>
        <w:t>bez</w:t>
      </w:r>
      <w:r w:rsidR="00421CE1">
        <w:t xml:space="preserve"> DPH</w:t>
      </w:r>
      <w:r w:rsidR="0020305C">
        <w:t xml:space="preserve"> za každý den </w:t>
      </w:r>
    </w:p>
    <w:p w:rsidR="009E75DA" w:rsidRPr="00210CF1" w:rsidRDefault="00767F07" w:rsidP="009678AE">
      <w:pPr>
        <w:widowControl w:val="0"/>
        <w:jc w:val="both"/>
      </w:pPr>
      <w:r>
        <w:tab/>
      </w:r>
      <w:r w:rsidR="0020305C">
        <w:t xml:space="preserve">prodlení.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 xml:space="preserve">.1  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lastRenderedPageBreak/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A05391" w:rsidRDefault="00A05391" w:rsidP="00A05391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10.4</w:t>
      </w:r>
      <w:r>
        <w:tab/>
        <w:t>Smluvní strany souhlasí s uveřejněním této smlouvy v Informačním systému Registru smluv podle zákona č. 340/2015 Sb. Smluvní strany se dohodly, že Kupující zajistí zveřejnění této smlouvy, včetně veškerých příloh a případných dodatků, v Informačním systému Registru smluv, a to způsobem a v souladu s ustanoveními dle zákona č. 340/2015 Sb., o zvláštních podmínkách účinnosti některých smluv, uveřejňování těchto smluv a o registru smluv (zákon o registru smluv).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</w:t>
      </w:r>
      <w:r w:rsidR="00A05391">
        <w:t>5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:rsidR="0020305C" w:rsidRDefault="004B11FB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proofErr w:type="gramStart"/>
      <w:r>
        <w:t>1</w:t>
      </w:r>
      <w:r w:rsidR="009E75DA">
        <w:t>0</w:t>
      </w:r>
      <w:r>
        <w:t>.</w:t>
      </w:r>
      <w:r w:rsidR="00A05391">
        <w:t>6</w:t>
      </w:r>
      <w:r w:rsidR="00D239DD">
        <w:t xml:space="preserve">     </w:t>
      </w:r>
      <w:r w:rsidR="0020305C" w:rsidRPr="00410DE0">
        <w:t>Tato</w:t>
      </w:r>
      <w:proofErr w:type="gramEnd"/>
      <w:r w:rsidR="0020305C" w:rsidRPr="00410DE0">
        <w:t xml:space="preserve"> kupní smlouva nabývá platnosti</w:t>
      </w:r>
      <w:r w:rsidR="008269B9">
        <w:t xml:space="preserve"> a účinnosti</w:t>
      </w:r>
      <w:r w:rsidR="0020305C" w:rsidRPr="00410DE0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>
        <w:t>stranami</w:t>
      </w:r>
      <w:r w:rsidR="0020305C" w:rsidRPr="00410DE0">
        <w:t xml:space="preserve">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proofErr w:type="gramStart"/>
      <w:r>
        <w:t>1</w:t>
      </w:r>
      <w:r w:rsidR="009E75DA">
        <w:t>0</w:t>
      </w:r>
      <w:r>
        <w:t>.</w:t>
      </w:r>
      <w:r w:rsidR="00A05391">
        <w:t>7</w:t>
      </w:r>
      <w:r>
        <w:t xml:space="preserve">     K této</w:t>
      </w:r>
      <w:proofErr w:type="gramEnd"/>
      <w:r>
        <w:t xml:space="preserve"> smlouvě neexistují žádné vedlejší </w:t>
      </w:r>
      <w:r w:rsidR="000C5923">
        <w:t>ujednání.</w:t>
      </w:r>
      <w:r>
        <w:t xml:space="preserve">  </w:t>
      </w:r>
      <w:r>
        <w:tab/>
      </w:r>
    </w:p>
    <w:p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72556D">
        <w:t xml:space="preserve">Strnadech, </w:t>
      </w:r>
      <w:r>
        <w:t>dne</w:t>
      </w:r>
      <w:r w:rsidR="00C64947">
        <w:t xml:space="preserve"> </w:t>
      </w:r>
      <w:proofErr w:type="gramStart"/>
      <w:r w:rsidR="00C64947">
        <w:t>28.6.2017</w:t>
      </w:r>
      <w:proofErr w:type="gramEnd"/>
      <w:r>
        <w:tab/>
        <w:t>V</w:t>
      </w:r>
      <w:r w:rsidR="0051076A">
        <w:t> </w:t>
      </w:r>
      <w:r w:rsidR="00C64947">
        <w:t>Praze</w:t>
      </w:r>
      <w:r w:rsidR="0051076A">
        <w:t>,</w:t>
      </w:r>
      <w:r>
        <w:t xml:space="preserve"> dne</w:t>
      </w:r>
      <w:r w:rsidR="00C64947">
        <w:t xml:space="preserve"> 21.6.2</w:t>
      </w:r>
      <w:r>
        <w:t>0</w:t>
      </w:r>
      <w:r w:rsidR="00FB1D98">
        <w:t>1</w:t>
      </w:r>
      <w:r w:rsidR="00936659">
        <w:t>7</w:t>
      </w:r>
    </w:p>
    <w:p w:rsidR="00907E78" w:rsidRDefault="00907E78" w:rsidP="00907E78">
      <w:pPr>
        <w:tabs>
          <w:tab w:val="left" w:pos="-142"/>
          <w:tab w:val="left" w:pos="6096"/>
        </w:tabs>
      </w:pPr>
    </w:p>
    <w:p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:rsidR="00907E78" w:rsidRDefault="00907E78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r w:rsidR="00907E78" w:rsidRPr="0072556D">
        <w:rPr>
          <w:sz w:val="20"/>
          <w:szCs w:val="20"/>
        </w:rPr>
        <w:tab/>
      </w:r>
      <w:r w:rsidR="00C64947">
        <w:rPr>
          <w:sz w:val="20"/>
          <w:szCs w:val="20"/>
        </w:rPr>
        <w:t>HPST</w:t>
      </w:r>
      <w:proofErr w:type="gramEnd"/>
      <w:r w:rsidR="00C64947">
        <w:rPr>
          <w:sz w:val="20"/>
          <w:szCs w:val="20"/>
        </w:rPr>
        <w:t>, s.r.o.</w:t>
      </w:r>
      <w:r w:rsidR="00907E78" w:rsidRPr="0072556D">
        <w:rPr>
          <w:sz w:val="20"/>
          <w:szCs w:val="20"/>
        </w:rPr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:rsidR="00D259F9" w:rsidRPr="0072556D" w:rsidRDefault="00421CE1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 xml:space="preserve">doc. </w:t>
      </w:r>
      <w:r w:rsidR="00EB0FE8" w:rsidRPr="0072556D">
        <w:rPr>
          <w:sz w:val="20"/>
          <w:szCs w:val="20"/>
        </w:rPr>
        <w:t>RNDr.</w:t>
      </w:r>
      <w:r w:rsidRPr="0072556D">
        <w:rPr>
          <w:sz w:val="20"/>
          <w:szCs w:val="20"/>
        </w:rPr>
        <w:t xml:space="preserve"> Bohumír Lomský, CSc.</w:t>
      </w:r>
      <w:r w:rsidR="00907E78" w:rsidRPr="0072556D">
        <w:rPr>
          <w:sz w:val="20"/>
          <w:szCs w:val="20"/>
        </w:rPr>
        <w:tab/>
      </w:r>
      <w:r w:rsidR="00C64947">
        <w:rPr>
          <w:sz w:val="20"/>
          <w:szCs w:val="20"/>
        </w:rPr>
        <w:t>RNDr. Karel Vranovský, CSc.</w:t>
      </w:r>
      <w:r w:rsidR="00D259F9" w:rsidRPr="0072556D">
        <w:rPr>
          <w:sz w:val="20"/>
          <w:szCs w:val="20"/>
        </w:rPr>
        <w:t xml:space="preserve"> </w:t>
      </w:r>
    </w:p>
    <w:p w:rsidR="00907E78" w:rsidRPr="0072556D" w:rsidRDefault="007E6ED4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pověřený řízením </w:t>
      </w:r>
      <w:proofErr w:type="gramStart"/>
      <w:r>
        <w:rPr>
          <w:sz w:val="20"/>
          <w:szCs w:val="20"/>
        </w:rPr>
        <w:t>instituce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="00EB0FE8" w:rsidRPr="0072556D">
        <w:rPr>
          <w:sz w:val="20"/>
          <w:szCs w:val="20"/>
        </w:rPr>
        <w:t xml:space="preserve">   </w:t>
      </w:r>
      <w:r w:rsidR="00C64947">
        <w:rPr>
          <w:sz w:val="20"/>
          <w:szCs w:val="20"/>
        </w:rPr>
        <w:t xml:space="preserve">      jednatel</w:t>
      </w:r>
      <w:proofErr w:type="gramEnd"/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4B11FB" w:rsidRDefault="00D03BF2" w:rsidP="00CE4465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sectPr w:rsidR="004B11FB" w:rsidSect="002116CE">
      <w:footerReference w:type="default" r:id="rId8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3F" w:rsidRDefault="003F763F">
      <w:r>
        <w:separator/>
      </w:r>
    </w:p>
  </w:endnote>
  <w:endnote w:type="continuationSeparator" w:id="0">
    <w:p w:rsidR="003F763F" w:rsidRDefault="003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156A">
      <w:rPr>
        <w:rStyle w:val="slostrnky"/>
        <w:noProof/>
      </w:rPr>
      <w:t>5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3F" w:rsidRDefault="003F763F">
      <w:r>
        <w:separator/>
      </w:r>
    </w:p>
  </w:footnote>
  <w:footnote w:type="continuationSeparator" w:id="0">
    <w:p w:rsidR="003F763F" w:rsidRDefault="003F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9C685D"/>
    <w:multiLevelType w:val="hybridMultilevel"/>
    <w:tmpl w:val="5922E43A"/>
    <w:lvl w:ilvl="0" w:tplc="08BA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1E6153F"/>
    <w:multiLevelType w:val="hybridMultilevel"/>
    <w:tmpl w:val="85CA00F8"/>
    <w:lvl w:ilvl="0" w:tplc="65087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1930"/>
    <w:multiLevelType w:val="hybridMultilevel"/>
    <w:tmpl w:val="FBF6A4D0"/>
    <w:lvl w:ilvl="0" w:tplc="65087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82FDF"/>
    <w:multiLevelType w:val="multilevel"/>
    <w:tmpl w:val="55E80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5AC3A54"/>
    <w:multiLevelType w:val="multilevel"/>
    <w:tmpl w:val="DC08B32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BB6150"/>
    <w:multiLevelType w:val="hybridMultilevel"/>
    <w:tmpl w:val="88C2DEAA"/>
    <w:lvl w:ilvl="0" w:tplc="65087D2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8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8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1"/>
  </w:num>
  <w:num w:numId="5">
    <w:abstractNumId w:val="40"/>
  </w:num>
  <w:num w:numId="6">
    <w:abstractNumId w:val="13"/>
  </w:num>
  <w:num w:numId="7">
    <w:abstractNumId w:val="9"/>
  </w:num>
  <w:num w:numId="8">
    <w:abstractNumId w:val="19"/>
  </w:num>
  <w:num w:numId="9">
    <w:abstractNumId w:val="11"/>
  </w:num>
  <w:num w:numId="10">
    <w:abstractNumId w:val="35"/>
  </w:num>
  <w:num w:numId="11">
    <w:abstractNumId w:val="38"/>
  </w:num>
  <w:num w:numId="12">
    <w:abstractNumId w:val="33"/>
  </w:num>
  <w:num w:numId="13">
    <w:abstractNumId w:val="34"/>
  </w:num>
  <w:num w:numId="14">
    <w:abstractNumId w:val="1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2"/>
  </w:num>
  <w:num w:numId="18">
    <w:abstractNumId w:val="10"/>
  </w:num>
  <w:num w:numId="19">
    <w:abstractNumId w:val="37"/>
  </w:num>
  <w:num w:numId="20">
    <w:abstractNumId w:val="7"/>
  </w:num>
  <w:num w:numId="21">
    <w:abstractNumId w:val="15"/>
  </w:num>
  <w:num w:numId="22">
    <w:abstractNumId w:val="3"/>
  </w:num>
  <w:num w:numId="23">
    <w:abstractNumId w:val="29"/>
  </w:num>
  <w:num w:numId="24">
    <w:abstractNumId w:val="1"/>
  </w:num>
  <w:num w:numId="25">
    <w:abstractNumId w:val="23"/>
  </w:num>
  <w:num w:numId="26">
    <w:abstractNumId w:val="25"/>
  </w:num>
  <w:num w:numId="27">
    <w:abstractNumId w:val="21"/>
  </w:num>
  <w:num w:numId="28">
    <w:abstractNumId w:val="30"/>
  </w:num>
  <w:num w:numId="29">
    <w:abstractNumId w:val="27"/>
  </w:num>
  <w:num w:numId="30">
    <w:abstractNumId w:val="20"/>
  </w:num>
  <w:num w:numId="31">
    <w:abstractNumId w:val="39"/>
  </w:num>
  <w:num w:numId="32">
    <w:abstractNumId w:val="17"/>
  </w:num>
  <w:num w:numId="33">
    <w:abstractNumId w:val="18"/>
  </w:num>
  <w:num w:numId="34">
    <w:abstractNumId w:val="28"/>
  </w:num>
  <w:num w:numId="35">
    <w:abstractNumId w:val="36"/>
  </w:num>
  <w:num w:numId="36">
    <w:abstractNumId w:val="14"/>
  </w:num>
  <w:num w:numId="37">
    <w:abstractNumId w:val="24"/>
  </w:num>
  <w:num w:numId="38">
    <w:abstractNumId w:val="6"/>
  </w:num>
  <w:num w:numId="39">
    <w:abstractNumId w:val="0"/>
  </w:num>
  <w:num w:numId="40">
    <w:abstractNumId w:val="22"/>
  </w:num>
  <w:num w:numId="41">
    <w:abstractNumId w:val="2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27C7A"/>
    <w:rsid w:val="00041F36"/>
    <w:rsid w:val="00054A6C"/>
    <w:rsid w:val="00063276"/>
    <w:rsid w:val="000634BF"/>
    <w:rsid w:val="0007206C"/>
    <w:rsid w:val="00082E31"/>
    <w:rsid w:val="0009287D"/>
    <w:rsid w:val="000B3E46"/>
    <w:rsid w:val="000C110F"/>
    <w:rsid w:val="000C128A"/>
    <w:rsid w:val="000C5923"/>
    <w:rsid w:val="000C606B"/>
    <w:rsid w:val="000D1099"/>
    <w:rsid w:val="000E3019"/>
    <w:rsid w:val="000F1279"/>
    <w:rsid w:val="000F4C6C"/>
    <w:rsid w:val="00100870"/>
    <w:rsid w:val="00134821"/>
    <w:rsid w:val="00167DB2"/>
    <w:rsid w:val="001734DF"/>
    <w:rsid w:val="0017470E"/>
    <w:rsid w:val="00184F0B"/>
    <w:rsid w:val="001922C9"/>
    <w:rsid w:val="00195DA2"/>
    <w:rsid w:val="00196CB6"/>
    <w:rsid w:val="001A65D3"/>
    <w:rsid w:val="001B0C81"/>
    <w:rsid w:val="001B1417"/>
    <w:rsid w:val="0020305C"/>
    <w:rsid w:val="0020623C"/>
    <w:rsid w:val="00210CF1"/>
    <w:rsid w:val="002116CE"/>
    <w:rsid w:val="00243F7E"/>
    <w:rsid w:val="00272C5A"/>
    <w:rsid w:val="0028450F"/>
    <w:rsid w:val="002B5140"/>
    <w:rsid w:val="002C0195"/>
    <w:rsid w:val="002D236B"/>
    <w:rsid w:val="002E0C4D"/>
    <w:rsid w:val="002F47E2"/>
    <w:rsid w:val="002F48E8"/>
    <w:rsid w:val="00305932"/>
    <w:rsid w:val="00332DB4"/>
    <w:rsid w:val="0035754B"/>
    <w:rsid w:val="00371A6D"/>
    <w:rsid w:val="003750D8"/>
    <w:rsid w:val="00380C52"/>
    <w:rsid w:val="00394A2B"/>
    <w:rsid w:val="00394D6C"/>
    <w:rsid w:val="003A2E84"/>
    <w:rsid w:val="003A5752"/>
    <w:rsid w:val="003A5932"/>
    <w:rsid w:val="003B741F"/>
    <w:rsid w:val="003B791B"/>
    <w:rsid w:val="003C6536"/>
    <w:rsid w:val="003D64D5"/>
    <w:rsid w:val="003E156A"/>
    <w:rsid w:val="003F763F"/>
    <w:rsid w:val="00406D51"/>
    <w:rsid w:val="00410DE0"/>
    <w:rsid w:val="00415EC6"/>
    <w:rsid w:val="00421CE1"/>
    <w:rsid w:val="00422A46"/>
    <w:rsid w:val="0044046B"/>
    <w:rsid w:val="00460B71"/>
    <w:rsid w:val="00472279"/>
    <w:rsid w:val="004811F3"/>
    <w:rsid w:val="00490E14"/>
    <w:rsid w:val="004B0970"/>
    <w:rsid w:val="004B11FB"/>
    <w:rsid w:val="004D0D96"/>
    <w:rsid w:val="004E6ED2"/>
    <w:rsid w:val="004F1F93"/>
    <w:rsid w:val="00504B26"/>
    <w:rsid w:val="00505798"/>
    <w:rsid w:val="00505F62"/>
    <w:rsid w:val="00507632"/>
    <w:rsid w:val="0051076A"/>
    <w:rsid w:val="00512795"/>
    <w:rsid w:val="00517957"/>
    <w:rsid w:val="0052746A"/>
    <w:rsid w:val="00527B00"/>
    <w:rsid w:val="005428CF"/>
    <w:rsid w:val="005546F6"/>
    <w:rsid w:val="005573C2"/>
    <w:rsid w:val="005633EA"/>
    <w:rsid w:val="00566A97"/>
    <w:rsid w:val="00591699"/>
    <w:rsid w:val="00597F99"/>
    <w:rsid w:val="005B2F0C"/>
    <w:rsid w:val="005C24E0"/>
    <w:rsid w:val="005E4C46"/>
    <w:rsid w:val="006272AA"/>
    <w:rsid w:val="0063204A"/>
    <w:rsid w:val="00635D06"/>
    <w:rsid w:val="006431F5"/>
    <w:rsid w:val="006473F2"/>
    <w:rsid w:val="0068064B"/>
    <w:rsid w:val="00681B12"/>
    <w:rsid w:val="006913F7"/>
    <w:rsid w:val="006A1FC2"/>
    <w:rsid w:val="006C5C48"/>
    <w:rsid w:val="006E0594"/>
    <w:rsid w:val="00702F12"/>
    <w:rsid w:val="0072556D"/>
    <w:rsid w:val="00742705"/>
    <w:rsid w:val="00767F07"/>
    <w:rsid w:val="007802DB"/>
    <w:rsid w:val="007824D4"/>
    <w:rsid w:val="007C51AC"/>
    <w:rsid w:val="007C71B4"/>
    <w:rsid w:val="007D37EC"/>
    <w:rsid w:val="007D5EC3"/>
    <w:rsid w:val="007E29CC"/>
    <w:rsid w:val="007E6ED4"/>
    <w:rsid w:val="00802ACD"/>
    <w:rsid w:val="00802AD2"/>
    <w:rsid w:val="00803A7C"/>
    <w:rsid w:val="00822E86"/>
    <w:rsid w:val="008269B9"/>
    <w:rsid w:val="00832479"/>
    <w:rsid w:val="00833BB9"/>
    <w:rsid w:val="00840800"/>
    <w:rsid w:val="00860768"/>
    <w:rsid w:val="00863C47"/>
    <w:rsid w:val="00886634"/>
    <w:rsid w:val="008A6598"/>
    <w:rsid w:val="008C005A"/>
    <w:rsid w:val="008D0483"/>
    <w:rsid w:val="008F42D8"/>
    <w:rsid w:val="008F7935"/>
    <w:rsid w:val="008F7B1B"/>
    <w:rsid w:val="009037B5"/>
    <w:rsid w:val="00907E78"/>
    <w:rsid w:val="00911280"/>
    <w:rsid w:val="00936659"/>
    <w:rsid w:val="00940D4A"/>
    <w:rsid w:val="00956505"/>
    <w:rsid w:val="009624FB"/>
    <w:rsid w:val="00965497"/>
    <w:rsid w:val="009678AE"/>
    <w:rsid w:val="00972919"/>
    <w:rsid w:val="00975F32"/>
    <w:rsid w:val="009809D6"/>
    <w:rsid w:val="00991FB6"/>
    <w:rsid w:val="009B106B"/>
    <w:rsid w:val="009B2D2C"/>
    <w:rsid w:val="009C4398"/>
    <w:rsid w:val="009D4550"/>
    <w:rsid w:val="009D56D7"/>
    <w:rsid w:val="009E16CC"/>
    <w:rsid w:val="009E75DA"/>
    <w:rsid w:val="00A05391"/>
    <w:rsid w:val="00A12B89"/>
    <w:rsid w:val="00A2672D"/>
    <w:rsid w:val="00A6027D"/>
    <w:rsid w:val="00A62733"/>
    <w:rsid w:val="00A70F3A"/>
    <w:rsid w:val="00AA6318"/>
    <w:rsid w:val="00AB30D6"/>
    <w:rsid w:val="00AB7942"/>
    <w:rsid w:val="00AC206A"/>
    <w:rsid w:val="00AC3254"/>
    <w:rsid w:val="00AD7319"/>
    <w:rsid w:val="00B01A98"/>
    <w:rsid w:val="00B21B01"/>
    <w:rsid w:val="00B23AB4"/>
    <w:rsid w:val="00B25A32"/>
    <w:rsid w:val="00B3727C"/>
    <w:rsid w:val="00B96CD8"/>
    <w:rsid w:val="00BA5828"/>
    <w:rsid w:val="00BC13B4"/>
    <w:rsid w:val="00BC4E5B"/>
    <w:rsid w:val="00BE7823"/>
    <w:rsid w:val="00BF46B4"/>
    <w:rsid w:val="00C143EF"/>
    <w:rsid w:val="00C2702D"/>
    <w:rsid w:val="00C320B1"/>
    <w:rsid w:val="00C36A70"/>
    <w:rsid w:val="00C44C1A"/>
    <w:rsid w:val="00C53B91"/>
    <w:rsid w:val="00C56608"/>
    <w:rsid w:val="00C64845"/>
    <w:rsid w:val="00C64947"/>
    <w:rsid w:val="00C74362"/>
    <w:rsid w:val="00C7753D"/>
    <w:rsid w:val="00C911D1"/>
    <w:rsid w:val="00C92345"/>
    <w:rsid w:val="00C92BCF"/>
    <w:rsid w:val="00C92CC5"/>
    <w:rsid w:val="00CA3865"/>
    <w:rsid w:val="00CA4DDF"/>
    <w:rsid w:val="00CB4571"/>
    <w:rsid w:val="00CC085A"/>
    <w:rsid w:val="00CE4465"/>
    <w:rsid w:val="00CE58BE"/>
    <w:rsid w:val="00CE6D67"/>
    <w:rsid w:val="00CF0B6B"/>
    <w:rsid w:val="00CF25FD"/>
    <w:rsid w:val="00CF6202"/>
    <w:rsid w:val="00D03BF2"/>
    <w:rsid w:val="00D04413"/>
    <w:rsid w:val="00D05BFC"/>
    <w:rsid w:val="00D138D2"/>
    <w:rsid w:val="00D17BCC"/>
    <w:rsid w:val="00D239DD"/>
    <w:rsid w:val="00D259B1"/>
    <w:rsid w:val="00D259F9"/>
    <w:rsid w:val="00D60BB7"/>
    <w:rsid w:val="00D64EAD"/>
    <w:rsid w:val="00D9130B"/>
    <w:rsid w:val="00DB17E6"/>
    <w:rsid w:val="00DB69CD"/>
    <w:rsid w:val="00DB6DAF"/>
    <w:rsid w:val="00DE132E"/>
    <w:rsid w:val="00DE2159"/>
    <w:rsid w:val="00DE2577"/>
    <w:rsid w:val="00DE5928"/>
    <w:rsid w:val="00DE7D3E"/>
    <w:rsid w:val="00DE7DFA"/>
    <w:rsid w:val="00DF0925"/>
    <w:rsid w:val="00E05F11"/>
    <w:rsid w:val="00E15A3F"/>
    <w:rsid w:val="00E32EE0"/>
    <w:rsid w:val="00E3388E"/>
    <w:rsid w:val="00E44D8D"/>
    <w:rsid w:val="00E54DD5"/>
    <w:rsid w:val="00E60E73"/>
    <w:rsid w:val="00E635A2"/>
    <w:rsid w:val="00E6453C"/>
    <w:rsid w:val="00E72D1E"/>
    <w:rsid w:val="00E814D5"/>
    <w:rsid w:val="00E84A01"/>
    <w:rsid w:val="00EB0FE8"/>
    <w:rsid w:val="00EC2646"/>
    <w:rsid w:val="00EC426E"/>
    <w:rsid w:val="00EC65FB"/>
    <w:rsid w:val="00EF64FB"/>
    <w:rsid w:val="00F11C8A"/>
    <w:rsid w:val="00F27B39"/>
    <w:rsid w:val="00F457BE"/>
    <w:rsid w:val="00F74332"/>
    <w:rsid w:val="00F85185"/>
    <w:rsid w:val="00FA1CF5"/>
    <w:rsid w:val="00FA5054"/>
    <w:rsid w:val="00FA6546"/>
    <w:rsid w:val="00FB0AA1"/>
    <w:rsid w:val="00FB1AD3"/>
    <w:rsid w:val="00FB1D98"/>
    <w:rsid w:val="00FC486E"/>
    <w:rsid w:val="00FC5DDE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64B"/>
    <w:pPr>
      <w:ind w:left="708"/>
    </w:pPr>
  </w:style>
  <w:style w:type="character" w:customStyle="1" w:styleId="text-cutter">
    <w:name w:val="text-cutter"/>
    <w:basedOn w:val="Standardnpsmoodstavce"/>
    <w:rsid w:val="00FA1CF5"/>
  </w:style>
  <w:style w:type="character" w:customStyle="1" w:styleId="ng-binding">
    <w:name w:val="ng-binding"/>
    <w:basedOn w:val="Standardnpsmoodstavce"/>
    <w:rsid w:val="00FA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962-F0C1-456B-AD9B-520D122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Andrea</cp:lastModifiedBy>
  <cp:revision>5</cp:revision>
  <cp:lastPrinted>2017-06-08T10:50:00Z</cp:lastPrinted>
  <dcterms:created xsi:type="dcterms:W3CDTF">2017-07-13T07:52:00Z</dcterms:created>
  <dcterms:modified xsi:type="dcterms:W3CDTF">2017-07-13T08:28:00Z</dcterms:modified>
</cp:coreProperties>
</file>