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Pr="00364804" w:rsidRDefault="00B13043" w:rsidP="00093FDF">
      <w:pPr>
        <w:pStyle w:val="Nzev"/>
        <w:spacing w:line="276" w:lineRule="auto"/>
        <w:rPr>
          <w:rFonts w:ascii="Arial" w:hAnsi="Arial" w:cs="Arial"/>
          <w:sz w:val="26"/>
          <w:szCs w:val="26"/>
        </w:rPr>
      </w:pPr>
      <w:r w:rsidRPr="00364804">
        <w:rPr>
          <w:rFonts w:ascii="Arial" w:hAnsi="Arial" w:cs="Arial"/>
          <w:sz w:val="28"/>
          <w:szCs w:val="28"/>
        </w:rPr>
        <w:t xml:space="preserve"> </w:t>
      </w:r>
      <w:r w:rsidR="000F2CE2" w:rsidRPr="00364804">
        <w:rPr>
          <w:rFonts w:ascii="Arial" w:hAnsi="Arial" w:cs="Arial"/>
          <w:sz w:val="26"/>
          <w:szCs w:val="26"/>
        </w:rPr>
        <w:t xml:space="preserve">SMLOUVA O </w:t>
      </w:r>
      <w:r w:rsidR="000675F3" w:rsidRPr="00364804">
        <w:rPr>
          <w:rFonts w:ascii="Arial" w:hAnsi="Arial" w:cs="Arial"/>
          <w:sz w:val="26"/>
          <w:szCs w:val="26"/>
        </w:rPr>
        <w:t>DÍLO</w:t>
      </w:r>
      <w:r w:rsidR="00DC52B5" w:rsidRPr="00364804">
        <w:rPr>
          <w:rFonts w:ascii="Arial" w:hAnsi="Arial" w:cs="Arial"/>
          <w:sz w:val="26"/>
          <w:szCs w:val="26"/>
        </w:rPr>
        <w:t xml:space="preserve"> </w:t>
      </w:r>
      <w:r w:rsidR="00E22CD4" w:rsidRPr="00364804">
        <w:rPr>
          <w:rFonts w:ascii="Arial" w:hAnsi="Arial" w:cs="Arial"/>
          <w:sz w:val="26"/>
          <w:szCs w:val="26"/>
        </w:rPr>
        <w:t xml:space="preserve">NA ZPRACOVÁNÍ </w:t>
      </w:r>
      <w:r w:rsidR="00812ED3" w:rsidRPr="00364804">
        <w:rPr>
          <w:rFonts w:ascii="Arial" w:hAnsi="Arial" w:cs="Arial"/>
          <w:sz w:val="26"/>
          <w:szCs w:val="26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65AF4604" w14:textId="122968A1" w:rsidR="00812ED3" w:rsidRDefault="00593846" w:rsidP="00364804">
      <w:pPr>
        <w:pStyle w:val="Zkladntext"/>
        <w:spacing w:before="120" w:line="276" w:lineRule="auto"/>
        <w:ind w:left="357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3F7C06B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60313C">
        <w:rPr>
          <w:rFonts w:ascii="Arial" w:hAnsi="Arial" w:cs="Arial"/>
          <w:i w:val="0"/>
          <w:sz w:val="22"/>
          <w:szCs w:val="22"/>
        </w:rPr>
        <w:t>pro Jihomoravský kraj</w:t>
      </w:r>
    </w:p>
    <w:p w14:paraId="689A6A53" w14:textId="3D9B998E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60313C">
        <w:rPr>
          <w:rFonts w:ascii="Arial" w:hAnsi="Arial" w:cs="Arial"/>
          <w:i w:val="0"/>
          <w:sz w:val="22"/>
          <w:szCs w:val="22"/>
        </w:rPr>
        <w:t xml:space="preserve">Hroznová 227/17, 603 00 Brno </w:t>
      </w:r>
    </w:p>
    <w:p w14:paraId="47549D99" w14:textId="55709249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60313C">
        <w:rPr>
          <w:rFonts w:ascii="Arial" w:hAnsi="Arial" w:cs="Arial"/>
          <w:i w:val="0"/>
          <w:sz w:val="22"/>
          <w:szCs w:val="22"/>
        </w:rPr>
        <w:t>Brno</w:t>
      </w:r>
    </w:p>
    <w:p w14:paraId="08A5439C" w14:textId="04C78843" w:rsidR="00812ED3" w:rsidRPr="00E93F51" w:rsidRDefault="0060313C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Kotlářská 931/53, 602 00 Brno</w:t>
      </w:r>
    </w:p>
    <w:p w14:paraId="142ECB2E" w14:textId="51F080B8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60313C">
        <w:rPr>
          <w:rFonts w:ascii="Arial" w:hAnsi="Arial" w:cs="Arial"/>
          <w:sz w:val="22"/>
          <w:szCs w:val="22"/>
        </w:rPr>
        <w:t>Ing. Miroslava Priessnitzová, vedoucí Pobočky Brno</w:t>
      </w:r>
    </w:p>
    <w:p w14:paraId="623559F5" w14:textId="282328A6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="0060313C">
        <w:rPr>
          <w:rFonts w:ascii="Arial" w:hAnsi="Arial" w:cs="Arial"/>
          <w:sz w:val="22"/>
          <w:szCs w:val="22"/>
        </w:rPr>
        <w:t xml:space="preserve"> Ing. Miroslava Priessnitzová, vedoucí Pobočky Brno</w:t>
      </w:r>
    </w:p>
    <w:p w14:paraId="4011BF84" w14:textId="50E6F338" w:rsidR="00EA21B7" w:rsidRPr="00E93F51" w:rsidRDefault="00EA21B7" w:rsidP="0036480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0313C">
        <w:rPr>
          <w:rFonts w:ascii="Arial" w:hAnsi="Arial" w:cs="Arial"/>
          <w:snapToGrid w:val="0"/>
          <w:sz w:val="22"/>
          <w:szCs w:val="22"/>
        </w:rPr>
        <w:t xml:space="preserve"> Ing. Ludmila Podracká, Pobočka Brno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03ED070B" w14:textId="2F5A846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60313C">
        <w:rPr>
          <w:rFonts w:ascii="Arial" w:hAnsi="Arial" w:cs="Arial"/>
          <w:sz w:val="22"/>
          <w:szCs w:val="22"/>
        </w:rPr>
        <w:t> 602 559 300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661B0D29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60313C">
        <w:rPr>
          <w:rFonts w:ascii="Arial" w:hAnsi="Arial" w:cs="Arial"/>
          <w:sz w:val="22"/>
          <w:szCs w:val="22"/>
        </w:rPr>
        <w:t>brno.pk@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3A9C1F21" w14:textId="77777777" w:rsidR="00812ED3" w:rsidRDefault="00ED61CA" w:rsidP="00364804">
      <w:pPr>
        <w:tabs>
          <w:tab w:val="left" w:pos="4253"/>
        </w:tabs>
        <w:spacing w:before="120"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15E8BC6" w14:textId="77777777" w:rsidR="00DA3DB7" w:rsidRPr="00E93F51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Pr="00755007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HIG </w:t>
      </w:r>
      <w:proofErr w:type="spellStart"/>
      <w:r w:rsidRPr="00755007">
        <w:rPr>
          <w:rFonts w:ascii="Arial" w:hAnsi="Arial" w:cs="Arial"/>
          <w:b/>
          <w:snapToGrid w:val="0"/>
          <w:sz w:val="22"/>
          <w:szCs w:val="22"/>
          <w:lang w:val="en-US"/>
        </w:rPr>
        <w:t>geologická</w:t>
      </w:r>
      <w:proofErr w:type="spellEnd"/>
      <w:r w:rsidRPr="00755007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 </w:t>
      </w:r>
      <w:proofErr w:type="spellStart"/>
      <w:r w:rsidRPr="00755007">
        <w:rPr>
          <w:rFonts w:ascii="Arial" w:hAnsi="Arial" w:cs="Arial"/>
          <w:b/>
          <w:snapToGrid w:val="0"/>
          <w:sz w:val="22"/>
          <w:szCs w:val="22"/>
          <w:lang w:val="en-US"/>
        </w:rPr>
        <w:t>služba</w:t>
      </w:r>
      <w:proofErr w:type="spellEnd"/>
      <w:r w:rsidRPr="00755007">
        <w:rPr>
          <w:rFonts w:ascii="Arial" w:hAnsi="Arial" w:cs="Arial"/>
          <w:b/>
          <w:snapToGrid w:val="0"/>
          <w:sz w:val="22"/>
          <w:szCs w:val="22"/>
          <w:lang w:val="en-US"/>
        </w:rPr>
        <w:t>, spol. s r. o.</w:t>
      </w:r>
      <w:r w:rsidRPr="00755007">
        <w:rPr>
          <w:rFonts w:ascii="Arial" w:hAnsi="Arial" w:cs="Arial"/>
          <w:b/>
          <w:sz w:val="22"/>
          <w:szCs w:val="22"/>
        </w:rPr>
        <w:tab/>
      </w:r>
    </w:p>
    <w:p w14:paraId="4324F569" w14:textId="3484EAC6" w:rsidR="00DA3DB7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 xml:space="preserve">Sídlo: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Školní 322, Želešice 664 43</w:t>
      </w:r>
      <w:r w:rsidRPr="00E93F51">
        <w:rPr>
          <w:rFonts w:ascii="Arial" w:hAnsi="Arial" w:cs="Arial"/>
          <w:sz w:val="22"/>
          <w:szCs w:val="22"/>
        </w:rPr>
        <w:t xml:space="preserve">   </w:t>
      </w:r>
    </w:p>
    <w:p w14:paraId="7BE785BF" w14:textId="395489FC" w:rsidR="00DA3DB7" w:rsidRPr="00E93F51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</w:t>
      </w:r>
      <w:r w:rsidRPr="00E93F51">
        <w:rPr>
          <w:rFonts w:ascii="Arial" w:hAnsi="Arial" w:cs="Arial"/>
          <w:sz w:val="22"/>
          <w:szCs w:val="22"/>
        </w:rPr>
        <w:t xml:space="preserve">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E93F5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Mgr. Aleš </w:t>
      </w:r>
      <w:proofErr w:type="spellStart"/>
      <w:r>
        <w:rPr>
          <w:rFonts w:ascii="Arial" w:hAnsi="Arial" w:cs="Arial"/>
          <w:sz w:val="22"/>
          <w:szCs w:val="22"/>
        </w:rPr>
        <w:t>Grűnwald</w:t>
      </w:r>
      <w:proofErr w:type="spellEnd"/>
      <w:r>
        <w:rPr>
          <w:rFonts w:ascii="Arial" w:hAnsi="Arial" w:cs="Arial"/>
          <w:sz w:val="22"/>
          <w:szCs w:val="22"/>
        </w:rPr>
        <w:t xml:space="preserve">, jednatel společnosti </w:t>
      </w:r>
    </w:p>
    <w:p w14:paraId="7C02F0F6" w14:textId="3C087F26" w:rsidR="00DA3DB7" w:rsidRPr="00E93F51" w:rsidRDefault="00DA3DB7" w:rsidP="00DA3DB7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9E3B38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7E301E2" w14:textId="5047D523" w:rsidR="00DA3DB7" w:rsidRDefault="00DA3DB7" w:rsidP="00DA3DB7">
      <w:pPr>
        <w:tabs>
          <w:tab w:val="left" w:pos="4253"/>
        </w:tabs>
        <w:spacing w:line="288" w:lineRule="auto"/>
        <w:ind w:right="-108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9E3B38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ACBFFF5" w14:textId="485CEEEF" w:rsidR="00DA3DB7" w:rsidRPr="00E93F51" w:rsidRDefault="00DA3DB7" w:rsidP="00DA3DB7">
      <w:pPr>
        <w:tabs>
          <w:tab w:val="left" w:pos="4253"/>
        </w:tabs>
        <w:spacing w:line="288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V</w:t>
      </w:r>
      <w:r w:rsidRPr="00E93F51">
        <w:rPr>
          <w:rFonts w:ascii="Arial" w:hAnsi="Arial" w:cs="Arial"/>
          <w:sz w:val="22"/>
          <w:szCs w:val="22"/>
        </w:rPr>
        <w:t>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9E3B38">
        <w:rPr>
          <w:rFonts w:ascii="Arial" w:hAnsi="Arial" w:cs="Arial"/>
          <w:sz w:val="22"/>
          <w:szCs w:val="22"/>
        </w:rPr>
        <w:t>xxxxxxxxxxx</w:t>
      </w:r>
      <w:proofErr w:type="spellEnd"/>
    </w:p>
    <w:p w14:paraId="7F27576E" w14:textId="318E35B1" w:rsidR="00DA3DB7" w:rsidRPr="00E93F51" w:rsidRDefault="00DA3DB7" w:rsidP="00DA3DB7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T</w:t>
      </w:r>
      <w:r w:rsidRPr="00E93F51">
        <w:rPr>
          <w:rFonts w:ascii="Arial" w:hAnsi="Arial" w:cs="Arial"/>
          <w:sz w:val="22"/>
          <w:szCs w:val="22"/>
        </w:rPr>
        <w:t xml:space="preserve">el.: </w:t>
      </w:r>
      <w:r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</w:t>
      </w:r>
      <w:proofErr w:type="spellStart"/>
      <w:r w:rsidR="009E3B38">
        <w:rPr>
          <w:rFonts w:ascii="Arial" w:hAnsi="Arial" w:cs="Arial"/>
          <w:sz w:val="22"/>
          <w:szCs w:val="22"/>
        </w:rPr>
        <w:t>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235219DD" w14:textId="40338C26" w:rsidR="00DA3DB7" w:rsidRDefault="00DA3DB7" w:rsidP="00DA3DB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9E3B38">
        <w:rPr>
          <w:rFonts w:ascii="Arial" w:hAnsi="Arial" w:cs="Arial"/>
          <w:sz w:val="22"/>
          <w:szCs w:val="22"/>
        </w:rPr>
        <w:t>xxxxxxxxxxx</w:t>
      </w:r>
      <w:proofErr w:type="spellEnd"/>
    </w:p>
    <w:p w14:paraId="1FB6F35A" w14:textId="73FE87F5" w:rsidR="00DA3DB7" w:rsidRDefault="00DA3DB7" w:rsidP="00DA3DB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3k64hr7</w:t>
      </w:r>
    </w:p>
    <w:p w14:paraId="48A282C9" w14:textId="7006DB47" w:rsidR="00DA3DB7" w:rsidRPr="00E93F51" w:rsidRDefault="00DA3DB7" w:rsidP="00DA3DB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D80309D" w14:textId="79448DBB" w:rsidR="00DA3DB7" w:rsidRPr="00E93F51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Č</w:t>
      </w:r>
      <w:r w:rsidRPr="00E93F51">
        <w:rPr>
          <w:rFonts w:ascii="Arial" w:hAnsi="Arial" w:cs="Arial"/>
          <w:sz w:val="22"/>
          <w:szCs w:val="22"/>
        </w:rPr>
        <w:t>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9D5B779" w14:textId="5DCB879F" w:rsidR="00DA3DB7" w:rsidRPr="00E93F51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6EC7EE3" w14:textId="2F602F84" w:rsidR="00DA3DB7" w:rsidRPr="00E93F51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CZ49969986</w:t>
      </w:r>
    </w:p>
    <w:p w14:paraId="69CCB3D0" w14:textId="77777777" w:rsidR="00DA3DB7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6D1B1B62" w14:textId="77777777" w:rsidR="00DA3DB7" w:rsidRPr="00E93F51" w:rsidRDefault="00DA3DB7" w:rsidP="00DA3DB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sz w:val="22"/>
          <w:szCs w:val="22"/>
        </w:rPr>
        <w:t>KS Brno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C, </w:t>
      </w:r>
      <w:r w:rsidRPr="00E93F51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 xml:space="preserve"> 13521</w:t>
      </w:r>
    </w:p>
    <w:p w14:paraId="43F6833A" w14:textId="77777777" w:rsidR="00DA3DB7" w:rsidRPr="00E93F51" w:rsidRDefault="00DA3DB7" w:rsidP="00DA3DB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1D749256" w14:textId="63150F07" w:rsidR="00DA3DB7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</w:p>
    <w:p w14:paraId="0C330FEA" w14:textId="6D773775" w:rsidR="0094054F" w:rsidRPr="00E93F51" w:rsidRDefault="000D303F" w:rsidP="00364804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78932CF7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>č.</w:t>
      </w:r>
      <w:r w:rsidR="009508B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j. </w:t>
      </w:r>
      <w:r w:rsidR="009508B0">
        <w:rPr>
          <w:rStyle w:val="Siln"/>
          <w:rFonts w:ascii="Arial" w:hAnsi="Arial" w:cs="Arial"/>
          <w:b w:val="0"/>
          <w:sz w:val="22"/>
          <w:szCs w:val="22"/>
        </w:rPr>
        <w:t>SP6188/2024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9508B0">
        <w:rPr>
          <w:rStyle w:val="Siln"/>
          <w:rFonts w:ascii="Arial" w:hAnsi="Arial" w:cs="Arial"/>
          <w:sz w:val="22"/>
          <w:szCs w:val="22"/>
        </w:rPr>
        <w:t xml:space="preserve">GTP pro </w:t>
      </w:r>
      <w:proofErr w:type="spellStart"/>
      <w:r w:rsidR="009508B0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9508B0">
        <w:rPr>
          <w:rStyle w:val="Siln"/>
          <w:rFonts w:ascii="Arial" w:hAnsi="Arial" w:cs="Arial"/>
          <w:sz w:val="22"/>
          <w:szCs w:val="22"/>
        </w:rPr>
        <w:t xml:space="preserve"> v k. </w:t>
      </w:r>
      <w:proofErr w:type="spellStart"/>
      <w:r w:rsidR="009508B0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9508B0">
        <w:rPr>
          <w:rStyle w:val="Siln"/>
          <w:rFonts w:ascii="Arial" w:hAnsi="Arial" w:cs="Arial"/>
          <w:sz w:val="22"/>
          <w:szCs w:val="22"/>
        </w:rPr>
        <w:t xml:space="preserve"> Rajhradice</w:t>
      </w:r>
      <w:bookmarkEnd w:id="2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>.</w:t>
      </w:r>
      <w:r w:rsidR="009508B0">
        <w:rPr>
          <w:rFonts w:ascii="Arial" w:hAnsi="Arial" w:cs="Arial"/>
          <w:sz w:val="22"/>
          <w:szCs w:val="22"/>
        </w:rPr>
        <w:t xml:space="preserve"> Rajhradice</w:t>
      </w:r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lastRenderedPageBreak/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53020E3" w14:textId="09E50DBF" w:rsidR="001B7847" w:rsidRPr="00E93F51" w:rsidRDefault="008325A1" w:rsidP="00364804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1A4DF1">
        <w:rPr>
          <w:rStyle w:val="Siln"/>
          <w:rFonts w:ascii="Arial" w:hAnsi="Arial" w:cs="Arial"/>
          <w:b w:val="0"/>
          <w:sz w:val="22"/>
          <w:szCs w:val="22"/>
        </w:rPr>
        <w:t xml:space="preserve">předběžný pro polní cesty                              a vodohospodářská opatření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</w:t>
      </w:r>
      <w:r w:rsidR="001A4DF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="001B7847"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2C20A23A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Style w:val="Siln"/>
          <w:b w:val="0"/>
        </w:rPr>
        <w:t xml:space="preserve">Čl. </w:t>
      </w:r>
      <w:r w:rsidR="00564277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90053B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A4DF1" w:rsidRPr="00364804">
        <w:rPr>
          <w:rStyle w:val="Siln"/>
          <w:rFonts w:ascii="Arial" w:hAnsi="Arial" w:cs="Arial"/>
          <w:bCs w:val="0"/>
          <w:sz w:val="22"/>
          <w:szCs w:val="22"/>
        </w:rPr>
        <w:t>30.8.2024</w:t>
      </w:r>
      <w:r w:rsidR="001A4DF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EE8A9C6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r w:rsidR="001A4DF1">
        <w:rPr>
          <w:rStyle w:val="Siln"/>
          <w:rFonts w:ascii="Arial" w:hAnsi="Arial" w:cs="Arial"/>
          <w:b w:val="0"/>
          <w:sz w:val="22"/>
          <w:szCs w:val="22"/>
        </w:rPr>
        <w:t xml:space="preserve"> okres Brno-venkov, k. </w:t>
      </w:r>
      <w:proofErr w:type="spellStart"/>
      <w:r w:rsidR="001A4DF1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1A4DF1">
        <w:rPr>
          <w:rStyle w:val="Siln"/>
          <w:rFonts w:ascii="Arial" w:hAnsi="Arial" w:cs="Arial"/>
          <w:b w:val="0"/>
          <w:sz w:val="22"/>
          <w:szCs w:val="22"/>
        </w:rPr>
        <w:t xml:space="preserve"> Rajhradice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6328F141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</w:t>
      </w:r>
      <w:r w:rsidRPr="00364804">
        <w:rPr>
          <w:rFonts w:ascii="Arial" w:hAnsi="Arial" w:cs="Arial"/>
          <w:bCs/>
          <w:i w:val="0"/>
          <w:sz w:val="22"/>
          <w:szCs w:val="22"/>
        </w:rPr>
        <w:t xml:space="preserve">do </w:t>
      </w:r>
      <w:r w:rsidR="001A4DF1" w:rsidRPr="00364804">
        <w:rPr>
          <w:rFonts w:ascii="Arial" w:hAnsi="Arial" w:cs="Arial"/>
          <w:bCs/>
          <w:i w:val="0"/>
          <w:sz w:val="22"/>
          <w:szCs w:val="22"/>
        </w:rPr>
        <w:t>30.8.2024</w:t>
      </w:r>
      <w:r w:rsidR="001A4DF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="00643C54">
        <w:rPr>
          <w:rFonts w:ascii="Arial" w:hAnsi="Arial" w:cs="Arial"/>
          <w:b w:val="0"/>
          <w:i w:val="0"/>
          <w:sz w:val="22"/>
          <w:szCs w:val="22"/>
        </w:rPr>
        <w:t xml:space="preserve">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3CEABF7B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</w:t>
      </w:r>
      <w:r w:rsidR="00217423">
        <w:rPr>
          <w:rFonts w:ascii="Arial" w:hAnsi="Arial" w:cs="Arial"/>
          <w:b w:val="0"/>
          <w:i w:val="0"/>
          <w:sz w:val="22"/>
          <w:szCs w:val="22"/>
        </w:rPr>
        <w:t xml:space="preserve">          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34BC40DA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510B6CD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AD3F8C7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</w:t>
      </w:r>
      <w:r w:rsidR="00DA3DB7" w:rsidRPr="00364804">
        <w:rPr>
          <w:rFonts w:ascii="Arial" w:hAnsi="Arial" w:cs="Arial"/>
          <w:bCs/>
          <w:i w:val="0"/>
          <w:sz w:val="22"/>
          <w:szCs w:val="22"/>
        </w:rPr>
        <w:t>64 100,00</w:t>
      </w:r>
      <w:r w:rsidR="00B745E4" w:rsidRPr="00364804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15312365" w14:textId="454514F9" w:rsidR="00B745E4" w:rsidRPr="00364804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DA3DB7" w:rsidRPr="00364804">
        <w:rPr>
          <w:rFonts w:ascii="Arial" w:hAnsi="Arial" w:cs="Arial"/>
          <w:bCs/>
          <w:i w:val="0"/>
          <w:sz w:val="22"/>
          <w:szCs w:val="22"/>
        </w:rPr>
        <w:t>13 461,00</w:t>
      </w:r>
      <w:r w:rsidRPr="00364804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19279F14" w14:textId="1EFE5D7A" w:rsidR="00B745E4" w:rsidRPr="00364804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DA3DB7" w:rsidRPr="00364804">
        <w:rPr>
          <w:rFonts w:ascii="Arial" w:hAnsi="Arial" w:cs="Arial"/>
          <w:bCs/>
          <w:i w:val="0"/>
          <w:sz w:val="22"/>
          <w:szCs w:val="22"/>
        </w:rPr>
        <w:t>77 561,00</w:t>
      </w:r>
      <w:r w:rsidR="00B745E4" w:rsidRPr="00364804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05A515B7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zákonné změny výše sazby DPH, a zahrnuje veškeré náklady zhotovitele související </w:t>
      </w:r>
      <w:r w:rsidR="00643C54">
        <w:rPr>
          <w:rFonts w:ascii="Arial" w:hAnsi="Arial" w:cs="Arial"/>
          <w:b w:val="0"/>
          <w:i w:val="0"/>
          <w:sz w:val="22"/>
          <w:szCs w:val="22"/>
        </w:rPr>
        <w:t xml:space="preserve">                       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</w:t>
      </w:r>
      <w:r w:rsidR="00643C5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721B3021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</w:t>
      </w:r>
      <w:r w:rsidR="001A4DF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             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293EC64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68495F7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v případě nedostatku finančních prostředků na účtu objednatele, dojde </w:t>
      </w:r>
      <w:r w:rsidR="00A82517">
        <w:rPr>
          <w:rStyle w:val="Siln"/>
          <w:rFonts w:ascii="Arial" w:hAnsi="Arial" w:cs="Arial"/>
          <w:b w:val="0"/>
          <w:sz w:val="22"/>
          <w:szCs w:val="22"/>
        </w:rPr>
        <w:t xml:space="preserve">             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nelze </w:t>
      </w:r>
      <w:r w:rsidR="00A82517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73EE24E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DA3DB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120B122E" w:rsidR="00192E89" w:rsidRPr="00E93F51" w:rsidRDefault="00192E89" w:rsidP="00DA3DB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27D71EB" w:rsidR="00192E89" w:rsidRDefault="00192E89" w:rsidP="00DA3DB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1AD2EC42" w:rsidR="00384B09" w:rsidRPr="00EA29FD" w:rsidRDefault="00384B09" w:rsidP="00364804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4568DC" w:rsidRPr="00364804">
        <w:rPr>
          <w:rFonts w:ascii="Arial" w:hAnsi="Arial" w:cs="Arial"/>
          <w:sz w:val="22"/>
          <w:szCs w:val="22"/>
          <w:lang w:val="en-US"/>
        </w:rPr>
        <w:t xml:space="preserve">2 500 </w:t>
      </w:r>
      <w:proofErr w:type="spellStart"/>
      <w:r w:rsidR="004568DC" w:rsidRPr="00364804">
        <w:rPr>
          <w:rFonts w:ascii="Arial" w:hAnsi="Arial" w:cs="Arial"/>
          <w:sz w:val="22"/>
          <w:szCs w:val="22"/>
          <w:lang w:val="en-US"/>
        </w:rPr>
        <w:t>Kč</w:t>
      </w:r>
      <w:proofErr w:type="spellEnd"/>
      <w:r w:rsidR="004568DC" w:rsidRPr="0036480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DA3DB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DA3DB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364804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8BE6630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B62FA7C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4439CF8F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 w:rsidRPr="0036480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564277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4EE94974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</w:t>
      </w:r>
      <w:r w:rsidR="00DA3DB7">
        <w:rPr>
          <w:rStyle w:val="Siln"/>
          <w:rFonts w:ascii="Arial" w:hAnsi="Arial" w:cs="Arial"/>
          <w:b w:val="0"/>
          <w:sz w:val="22"/>
          <w:szCs w:val="22"/>
        </w:rPr>
        <w:t xml:space="preserve">     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8DC6EA6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Do doby vyčíslení oprávněných nároků smluvních stran a do doby dohody</w:t>
      </w:r>
      <w:r w:rsidR="00DA3DB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36480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CEF8CF2" w:rsidR="00E411CD" w:rsidRPr="00F656C6" w:rsidRDefault="00E411CD" w:rsidP="00364804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643C54">
        <w:rPr>
          <w:rFonts w:ascii="Arial" w:hAnsi="Arial" w:cs="Arial"/>
          <w:bCs/>
          <w:sz w:val="22"/>
          <w:szCs w:val="22"/>
        </w:rPr>
        <w:t xml:space="preserve">66 000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snížení pojistné částky pod částku uvedenou v předchozí větě. </w:t>
      </w:r>
    </w:p>
    <w:p w14:paraId="11141911" w14:textId="2C60BB5E" w:rsidR="00E411CD" w:rsidRPr="00743BE9" w:rsidRDefault="00E411CD" w:rsidP="00364804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B47AC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6A972C98" w:rsidR="00192E89" w:rsidRPr="00EA29FD" w:rsidRDefault="00890AEC" w:rsidP="00364804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</w:t>
      </w:r>
      <w:r w:rsidR="001D505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      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a Rady EU 2016/679 („GDPR“).  SPÚ jako správce osobních údajů dle zákona </w:t>
      </w:r>
      <w:r w:rsidR="001D505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             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</w:t>
      </w:r>
      <w:r w:rsidR="001D505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                       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364804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ichž každý má povahu originálu; a příloha č. 1 ve dvou vyhotovení.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33BF025E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B47AC6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B47AC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50E2E">
              <w:rPr>
                <w:rFonts w:ascii="Arial" w:hAnsi="Arial" w:cs="Arial"/>
                <w:b w:val="0"/>
                <w:i w:val="0"/>
                <w:sz w:val="22"/>
                <w:szCs w:val="22"/>
              </w:rPr>
              <w:t>25.6.2024</w:t>
            </w:r>
          </w:p>
        </w:tc>
        <w:tc>
          <w:tcPr>
            <w:tcW w:w="4606" w:type="dxa"/>
            <w:shd w:val="clear" w:color="auto" w:fill="auto"/>
          </w:tcPr>
          <w:p w14:paraId="1A62A2E1" w14:textId="2B9F9B8E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1D505C" w:rsidRPr="001D505C">
              <w:rPr>
                <w:rFonts w:ascii="Arial" w:hAnsi="Arial" w:cs="Arial"/>
                <w:b w:val="0"/>
                <w:i w:val="0"/>
                <w:sz w:val="22"/>
                <w:szCs w:val="22"/>
              </w:rPr>
              <w:t>B</w:t>
            </w:r>
            <w:r w:rsidR="001D505C" w:rsidRPr="00364804">
              <w:rPr>
                <w:rFonts w:ascii="Arial" w:hAnsi="Arial" w:cs="Arial"/>
                <w:b w:val="0"/>
                <w:i w:val="0"/>
              </w:rPr>
              <w:t>rně</w:t>
            </w:r>
            <w:r w:rsidRPr="001D505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550E2E">
              <w:rPr>
                <w:rFonts w:ascii="Arial" w:hAnsi="Arial" w:cs="Arial"/>
                <w:b w:val="0"/>
                <w:i w:val="0"/>
                <w:sz w:val="22"/>
                <w:szCs w:val="22"/>
              </w:rPr>
              <w:t>27.6.2024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5BCE43B1" w:rsidR="00433AC4" w:rsidRPr="0036480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4B466685" w14:textId="251F6A22" w:rsidR="0029141F" w:rsidRP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364804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Miroslava Priessnitzová</w:t>
            </w:r>
          </w:p>
          <w:p w14:paraId="6C577911" w14:textId="77777777" w:rsidR="00B47AC6" w:rsidRP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Pobočky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Brno</w:t>
            </w:r>
          </w:p>
          <w:p w14:paraId="02410F5F" w14:textId="77777777" w:rsidR="00B47AC6" w:rsidRP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Krajský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pozemkový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úřad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pro JMK</w:t>
            </w:r>
          </w:p>
          <w:p w14:paraId="26E47C00" w14:textId="77777777" w:rsid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pozemkový</w:t>
            </w:r>
            <w:proofErr w:type="spellEnd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AC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úřad</w:t>
            </w:r>
            <w:proofErr w:type="spellEnd"/>
          </w:p>
          <w:p w14:paraId="78ECEF8B" w14:textId="77777777" w:rsid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</w:p>
          <w:p w14:paraId="333387A2" w14:textId="77777777" w:rsid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</w:p>
          <w:p w14:paraId="51DBEB31" w14:textId="77777777" w:rsid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</w:p>
          <w:p w14:paraId="3FFD21F9" w14:textId="5582D6DF" w:rsidR="00B47AC6" w:rsidRPr="00B47AC6" w:rsidRDefault="00B47A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Za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správnost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: Ing. Radmila Navrátilová</w:t>
            </w:r>
            <w:r w:rsidR="001D505C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10D5F1AA" w14:textId="41376222" w:rsidR="0029141F" w:rsidRDefault="001D505C" w:rsidP="001D505C">
            <w:pPr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364804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Mgr. Aleš </w:t>
            </w:r>
            <w:proofErr w:type="spellStart"/>
            <w:r w:rsidRPr="00364804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Grűnwald</w:t>
            </w:r>
            <w:proofErr w:type="spellEnd"/>
          </w:p>
          <w:p w14:paraId="6D0D2AD1" w14:textId="23BCB9C9" w:rsidR="001D505C" w:rsidRPr="00364804" w:rsidRDefault="001D505C" w:rsidP="0036480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Jednatel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5AFAD9AC" w14:textId="77777777" w:rsidR="00AF35CF" w:rsidRPr="00E93F51" w:rsidRDefault="00AF35CF" w:rsidP="00364804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364804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52A33C1B" w:rsidR="00AF35CF" w:rsidRPr="00E93F51" w:rsidRDefault="00AF35CF" w:rsidP="00364804">
      <w:pPr>
        <w:widowControl w:val="0"/>
        <w:tabs>
          <w:tab w:val="left" w:pos="1814"/>
        </w:tabs>
        <w:spacing w:before="56" w:line="276" w:lineRule="auto"/>
        <w:ind w:left="1813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="00643C54">
        <w:rPr>
          <w:rFonts w:ascii="Arial" w:eastAsia="Calibri" w:hAnsi="Arial" w:cs="Arial"/>
          <w:spacing w:val="-1"/>
          <w:sz w:val="22"/>
          <w:szCs w:val="22"/>
          <w:lang w:eastAsia="en-US"/>
        </w:rPr>
        <w:t>c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5B45C9EC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1F605514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65D185DC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1A37E273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038E59FA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5A2C112C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158FDA9A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8D990D8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D029458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43B4F89E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5DFA06B2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38B6FC1F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003AA3C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270C8D70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2A4F1B85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6275AC5D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43A7A583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0394F662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5805C077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41226FA9" w14:textId="6DC0F075" w:rsidR="00643C54" w:rsidRDefault="00643C54" w:rsidP="00555E92">
      <w:pPr>
        <w:jc w:val="both"/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</w:pP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Opatření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k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zpřístupnění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pozemků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, pro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které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bude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vypracována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dokumentace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technického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řešení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dle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</w:t>
      </w:r>
      <w:proofErr w:type="spellStart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>výsledku</w:t>
      </w:r>
      <w:proofErr w:type="spellEnd"/>
      <w:r w:rsidRPr="00364804"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  <w:t xml:space="preserve"> GTP:</w:t>
      </w:r>
    </w:p>
    <w:p w14:paraId="2F24914C" w14:textId="77777777" w:rsidR="00643C54" w:rsidRDefault="00643C54" w:rsidP="00555E92">
      <w:pPr>
        <w:jc w:val="both"/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</w:pPr>
    </w:p>
    <w:tbl>
      <w:tblPr>
        <w:tblW w:w="908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763"/>
        <w:gridCol w:w="5811"/>
      </w:tblGrid>
      <w:tr w:rsidR="00643C54" w:rsidRPr="00643C54" w14:paraId="57DD2FEC" w14:textId="77777777" w:rsidTr="003411BC">
        <w:trPr>
          <w:trHeight w:val="319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95D03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sondy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2127C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Označení prvku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BE316" w14:textId="77777777" w:rsidR="00643C54" w:rsidRPr="00364804" w:rsidRDefault="00643C54" w:rsidP="003411BC">
            <w:pPr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Popis</w:t>
            </w:r>
          </w:p>
          <w:p w14:paraId="53E373C5" w14:textId="77777777" w:rsidR="00643C54" w:rsidRPr="00364804" w:rsidRDefault="00643C54" w:rsidP="003411BC">
            <w:pPr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</w:tc>
      </w:tr>
      <w:tr w:rsidR="00643C54" w:rsidRPr="00643C54" w14:paraId="611F598A" w14:textId="77777777" w:rsidTr="003411BC">
        <w:trPr>
          <w:trHeight w:val="31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44507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904A4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VC6-R, VC7-R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40561" w14:textId="77777777" w:rsidR="00643C54" w:rsidRPr="00364804" w:rsidRDefault="00643C54" w:rsidP="003411BC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zpevněných cest</w:t>
            </w:r>
          </w:p>
        </w:tc>
      </w:tr>
      <w:tr w:rsidR="00643C54" w:rsidRPr="00643C54" w14:paraId="5AB2D3BA" w14:textId="77777777" w:rsidTr="003411BC">
        <w:trPr>
          <w:trHeight w:val="31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AF45A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CE5C8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VC39, TPEO1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7EF43" w14:textId="77777777" w:rsidR="00643C54" w:rsidRPr="00364804" w:rsidRDefault="00643C54" w:rsidP="003411BC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    a protierozní ochrany (příkopy)</w:t>
            </w:r>
          </w:p>
        </w:tc>
      </w:tr>
      <w:tr w:rsidR="00643C54" w:rsidRPr="00643C54" w14:paraId="3E0FE4D7" w14:textId="77777777" w:rsidTr="003411BC">
        <w:trPr>
          <w:trHeight w:val="31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1601D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0EE56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VC11-R, IP2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41CC1" w14:textId="77777777" w:rsidR="00643C54" w:rsidRPr="00364804" w:rsidRDefault="00643C54" w:rsidP="003411BC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    a protierozního zasakovacího remízku</w:t>
            </w:r>
          </w:p>
        </w:tc>
      </w:tr>
      <w:tr w:rsidR="00643C54" w:rsidRPr="00643C54" w14:paraId="463EE054" w14:textId="77777777" w:rsidTr="003411BC">
        <w:trPr>
          <w:trHeight w:val="31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AE5F3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44696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VC31, LBC5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4C1E3" w14:textId="77777777" w:rsidR="00643C54" w:rsidRPr="00364804" w:rsidRDefault="00643C54" w:rsidP="003411BC">
            <w:pPr>
              <w:rPr>
                <w:rFonts w:ascii="Arial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    a protierozních zasakovacích jam</w:t>
            </w:r>
          </w:p>
        </w:tc>
      </w:tr>
      <w:tr w:rsidR="00643C54" w:rsidRPr="00643C54" w14:paraId="5F6FDE7C" w14:textId="77777777" w:rsidTr="003411BC">
        <w:trPr>
          <w:trHeight w:val="31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DF90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D8A7A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VC12-R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64B35" w14:textId="77777777" w:rsidR="00643C54" w:rsidRPr="00364804" w:rsidRDefault="00643C54" w:rsidP="003411BC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</w:t>
            </w:r>
          </w:p>
        </w:tc>
      </w:tr>
      <w:tr w:rsidR="00643C54" w:rsidRPr="00643C54" w14:paraId="1C32938A" w14:textId="77777777" w:rsidTr="003411BC">
        <w:trPr>
          <w:trHeight w:val="31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717A8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3755A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VC13-R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9D80F" w14:textId="77777777" w:rsidR="00643C54" w:rsidRPr="00364804" w:rsidRDefault="00643C54" w:rsidP="003411BC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</w:t>
            </w:r>
          </w:p>
        </w:tc>
      </w:tr>
      <w:tr w:rsidR="00643C54" w:rsidRPr="00643C54" w14:paraId="032AEF30" w14:textId="77777777" w:rsidTr="003411BC">
        <w:trPr>
          <w:trHeight w:val="319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2D1AC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2AAB3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LBC2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B4820" w14:textId="77777777" w:rsidR="00643C54" w:rsidRPr="00364804" w:rsidRDefault="00643C54" w:rsidP="003411BC">
            <w:pPr>
              <w:rPr>
                <w:rFonts w:ascii="Arial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podloží v místě návrhu mokřadů</w:t>
            </w:r>
          </w:p>
        </w:tc>
      </w:tr>
      <w:tr w:rsidR="00643C54" w:rsidRPr="00643C54" w14:paraId="2ECA4A66" w14:textId="77777777" w:rsidTr="003411BC">
        <w:trPr>
          <w:trHeight w:val="319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6A5C8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2BCFA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VC20-R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8B30F" w14:textId="77777777" w:rsidR="00643C54" w:rsidRPr="00364804" w:rsidRDefault="00643C54" w:rsidP="003411BC">
            <w:pPr>
              <w:rPr>
                <w:rFonts w:ascii="Arial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</w:t>
            </w:r>
          </w:p>
        </w:tc>
      </w:tr>
      <w:tr w:rsidR="00643C54" w:rsidRPr="00643C54" w14:paraId="54FB8EC4" w14:textId="77777777" w:rsidTr="003411BC">
        <w:trPr>
          <w:trHeight w:val="319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4FFF3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BDF65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VC22-R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628E3" w14:textId="77777777" w:rsidR="00643C54" w:rsidRPr="00364804" w:rsidRDefault="00643C54" w:rsidP="003411BC">
            <w:pPr>
              <w:rPr>
                <w:rFonts w:ascii="Arial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</w:t>
            </w:r>
          </w:p>
        </w:tc>
      </w:tr>
      <w:tr w:rsidR="00643C54" w:rsidRPr="00643C54" w14:paraId="63C281A2" w14:textId="77777777" w:rsidTr="003411BC">
        <w:trPr>
          <w:trHeight w:val="319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0CA2C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8D314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VC22-R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6589E" w14:textId="77777777" w:rsidR="00643C54" w:rsidRPr="00364804" w:rsidRDefault="00643C54" w:rsidP="003411BC">
            <w:pPr>
              <w:rPr>
                <w:rFonts w:ascii="Arial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</w:t>
            </w:r>
          </w:p>
        </w:tc>
      </w:tr>
      <w:tr w:rsidR="00643C54" w:rsidRPr="00643C54" w14:paraId="658AA64E" w14:textId="77777777" w:rsidTr="003411BC">
        <w:trPr>
          <w:trHeight w:val="319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414B2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AB945" w14:textId="77777777" w:rsidR="00643C54" w:rsidRPr="00364804" w:rsidRDefault="00643C54" w:rsidP="00341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48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VC32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26647" w14:textId="77777777" w:rsidR="00643C54" w:rsidRPr="00364804" w:rsidRDefault="00643C54" w:rsidP="003411BC">
            <w:pPr>
              <w:rPr>
                <w:rFonts w:ascii="Arial" w:hAnsi="Arial" w:cs="Arial"/>
                <w:sz w:val="22"/>
                <w:szCs w:val="22"/>
              </w:rPr>
            </w:pPr>
            <w:r w:rsidRPr="00364804">
              <w:rPr>
                <w:rFonts w:ascii="Arial" w:eastAsiaTheme="minorEastAsia" w:hAnsi="Arial" w:cs="Arial"/>
                <w:sz w:val="22"/>
                <w:szCs w:val="22"/>
              </w:rPr>
              <w:t>Posouzení únosnosti podloží v místě návrhu zpevněné cesty</w:t>
            </w:r>
          </w:p>
        </w:tc>
      </w:tr>
    </w:tbl>
    <w:p w14:paraId="131AE97D" w14:textId="77777777" w:rsidR="00643C54" w:rsidRPr="00364804" w:rsidRDefault="00643C54" w:rsidP="00643C5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64804">
        <w:rPr>
          <w:rFonts w:ascii="Arial" w:hAnsi="Arial" w:cs="Arial"/>
          <w:sz w:val="22"/>
          <w:szCs w:val="22"/>
        </w:rPr>
        <w:t xml:space="preserve">Umístění sond je navrženo v možných problematických lokalitách z hlediska výstavby cest a vodohospodářských zařízení. </w:t>
      </w:r>
    </w:p>
    <w:p w14:paraId="661A7501" w14:textId="77777777" w:rsidR="00643C54" w:rsidRPr="00364804" w:rsidRDefault="00643C54" w:rsidP="00555E92">
      <w:pPr>
        <w:jc w:val="both"/>
        <w:rPr>
          <w:rStyle w:val="Siln"/>
          <w:rFonts w:ascii="Arial" w:eastAsiaTheme="minorHAnsi" w:hAnsi="Arial" w:cs="Arial"/>
          <w:bCs w:val="0"/>
          <w:sz w:val="22"/>
          <w:szCs w:val="22"/>
          <w:lang w:val="en-US" w:eastAsia="en-US"/>
        </w:rPr>
      </w:pPr>
    </w:p>
    <w:p w14:paraId="1543F089" w14:textId="77777777" w:rsidR="00643C54" w:rsidRPr="00E93F51" w:rsidRDefault="00643C54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6C6BDEE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52A4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A4DF1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505C"/>
    <w:rsid w:val="001D6CFB"/>
    <w:rsid w:val="001D7785"/>
    <w:rsid w:val="001E1765"/>
    <w:rsid w:val="001E3595"/>
    <w:rsid w:val="001F742F"/>
    <w:rsid w:val="00200A21"/>
    <w:rsid w:val="00201CDD"/>
    <w:rsid w:val="00204F0B"/>
    <w:rsid w:val="002102FF"/>
    <w:rsid w:val="00212D7B"/>
    <w:rsid w:val="00215A9F"/>
    <w:rsid w:val="00216B47"/>
    <w:rsid w:val="00217423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4804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E2E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277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13C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3C54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08B0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3B38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2517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47AC6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4489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DB7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031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BAF98-D5B8-4CEC-AA76-E1DFCF10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4965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2024-06-28T10:46:00Z</dcterms:created>
  <dcterms:modified xsi:type="dcterms:W3CDTF">2024-06-28T10:48:00Z</dcterms:modified>
</cp:coreProperties>
</file>