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A" w:rsidRDefault="005A1FC1">
      <w:pPr>
        <w:pStyle w:val="Nadpis10"/>
        <w:keepNext/>
        <w:keepLines/>
        <w:shd w:val="clear" w:color="auto" w:fill="auto"/>
        <w:spacing w:after="660"/>
        <w:ind w:left="0"/>
        <w:jc w:val="both"/>
      </w:pPr>
      <w:bookmarkStart w:id="0" w:name="bookmark0"/>
      <w:r>
        <w:t>Pojistná smlouva č. C550003960 - dodatek č. 3</w:t>
      </w:r>
      <w:bookmarkEnd w:id="0"/>
    </w:p>
    <w:p w:rsidR="00DA03AA" w:rsidRDefault="005A1FC1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Allianz pojišťovna, a.s.</w:t>
      </w:r>
      <w:bookmarkEnd w:id="1"/>
    </w:p>
    <w:p w:rsidR="00DA03AA" w:rsidRDefault="005A1FC1">
      <w:pPr>
        <w:pStyle w:val="Zkladntext1"/>
        <w:shd w:val="clear" w:color="auto" w:fill="auto"/>
        <w:jc w:val="both"/>
      </w:pPr>
      <w:r>
        <w:t>Ke Štvanici 656/3,186 00 Praha 8, Česká republika</w:t>
      </w:r>
    </w:p>
    <w:p w:rsidR="00DA03AA" w:rsidRDefault="005A1FC1">
      <w:pPr>
        <w:pStyle w:val="Zkladntext1"/>
        <w:shd w:val="clear" w:color="auto" w:fill="auto"/>
        <w:jc w:val="both"/>
      </w:pPr>
      <w:r>
        <w:t>IČ: 47115971</w:t>
      </w:r>
    </w:p>
    <w:p w:rsidR="00DA03AA" w:rsidRDefault="005A1FC1">
      <w:pPr>
        <w:pStyle w:val="Zkladntext1"/>
        <w:shd w:val="clear" w:color="auto" w:fill="auto"/>
        <w:jc w:val="both"/>
      </w:pPr>
      <w:r>
        <w:t>zapsaná v obchodním rejstříku vedeném Městským soudem v Praze, oddíl B, vložka 1815</w:t>
      </w:r>
    </w:p>
    <w:p w:rsidR="00DA03AA" w:rsidRDefault="005A1FC1">
      <w:pPr>
        <w:pStyle w:val="Nadpis20"/>
        <w:keepNext/>
        <w:keepLines/>
        <w:shd w:val="clear" w:color="auto" w:fill="auto"/>
        <w:spacing w:after="640" w:line="226" w:lineRule="auto"/>
      </w:pPr>
      <w:bookmarkStart w:id="2" w:name="bookmark2"/>
      <w:r>
        <w:t>(dále jen „pojistitel")</w:t>
      </w:r>
      <w:bookmarkEnd w:id="2"/>
    </w:p>
    <w:p w:rsidR="00DA03AA" w:rsidRDefault="005A1FC1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 xml:space="preserve">Výzkumný </w:t>
      </w:r>
      <w:r>
        <w:t>ústav rostlinné výroby, v. v, i.</w:t>
      </w:r>
      <w:bookmarkEnd w:id="3"/>
    </w:p>
    <w:p w:rsidR="00DA03AA" w:rsidRDefault="005A1FC1">
      <w:pPr>
        <w:pStyle w:val="Zkladntext1"/>
        <w:shd w:val="clear" w:color="auto" w:fill="auto"/>
        <w:jc w:val="both"/>
      </w:pPr>
      <w:r>
        <w:t>Drnovská 507,161 06 Praha 6</w:t>
      </w:r>
    </w:p>
    <w:p w:rsidR="00DA03AA" w:rsidRDefault="005A1FC1">
      <w:pPr>
        <w:pStyle w:val="Zkladntext1"/>
        <w:shd w:val="clear" w:color="auto" w:fill="auto"/>
        <w:jc w:val="both"/>
      </w:pPr>
      <w:r>
        <w:t>IČ: 00027006</w:t>
      </w:r>
    </w:p>
    <w:p w:rsidR="00DA03AA" w:rsidRDefault="005A1FC1">
      <w:pPr>
        <w:pStyle w:val="Nadpis20"/>
        <w:keepNext/>
        <w:keepLines/>
        <w:shd w:val="clear" w:color="auto" w:fill="auto"/>
        <w:spacing w:after="900" w:line="230" w:lineRule="auto"/>
      </w:pPr>
      <w:bookmarkStart w:id="4" w:name="bookmark4"/>
      <w:r>
        <w:t>(dále jen „pojistník/pojištěný")</w:t>
      </w:r>
      <w:bookmarkEnd w:id="4"/>
    </w:p>
    <w:p w:rsidR="00DA03AA" w:rsidRDefault="005A1FC1">
      <w:pPr>
        <w:pStyle w:val="Nadpis20"/>
        <w:keepNext/>
        <w:keepLines/>
        <w:shd w:val="clear" w:color="auto" w:fill="auto"/>
        <w:spacing w:after="360"/>
      </w:pPr>
      <w:bookmarkStart w:id="5" w:name="bookmark5"/>
      <w:r>
        <w:t xml:space="preserve">S účinností od </w:t>
      </w:r>
      <w:proofErr w:type="gramStart"/>
      <w:r>
        <w:t>15.07.2024</w:t>
      </w:r>
      <w:proofErr w:type="gramEnd"/>
      <w:r>
        <w:t xml:space="preserve"> se pojistná smlouva sjednává ve znění:</w:t>
      </w:r>
      <w:bookmarkEnd w:id="5"/>
    </w:p>
    <w:p w:rsidR="00DA03AA" w:rsidRDefault="005A1FC1">
      <w:pPr>
        <w:pStyle w:val="Nadpis30"/>
        <w:keepNext/>
        <w:keepLines/>
        <w:shd w:val="clear" w:color="auto" w:fill="auto"/>
        <w:tabs>
          <w:tab w:val="left" w:pos="2458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3175" distB="0" distL="114300" distR="2153285" simplePos="0" relativeHeight="125829378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15875</wp:posOffset>
                </wp:positionV>
                <wp:extent cx="676910" cy="3016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Zkladntext1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Pojistná doba: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 rok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5.69999999999999pt;margin-top:1.25pt;width:53.299999999999997pt;height:23.75pt;z-index:-125829375;mso-wrap-distance-left:9.pt;mso-wrap-distance-top:0.25pt;mso-wrap-distance-right:169.5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Pojistná doba: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rok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76630" distR="114300" simplePos="0" relativeHeight="125829380" behindDoc="0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12700</wp:posOffset>
                </wp:positionV>
                <wp:extent cx="1852930" cy="3048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56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Pojistné období: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Výroční den: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226" w:lineRule="auto"/>
                              <w:ind w:left="3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 rok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15.07., 00:00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hod.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3.60000000000002pt;margin-top:1.pt;width:145.90000000000001pt;height:24.pt;z-index:-125829373;mso-wrap-distance-left:76.900000000000006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5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Pojistné období:</w:t>
                        <w:tab/>
                        <w:t>Výroční den: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32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rok 15.07., 00:00 hod.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r>
        <w:t>Počátek pojištění:</w:t>
      </w:r>
      <w:r>
        <w:tab/>
        <w:t>Účinnost dodatku:</w:t>
      </w:r>
      <w:bookmarkEnd w:id="6"/>
    </w:p>
    <w:p w:rsidR="00DA03AA" w:rsidRDefault="005A1FC1">
      <w:pPr>
        <w:pStyle w:val="Nadpis20"/>
        <w:keepNext/>
        <w:keepLines/>
        <w:shd w:val="clear" w:color="auto" w:fill="auto"/>
        <w:spacing w:after="800" w:line="223" w:lineRule="auto"/>
      </w:pPr>
      <w:bookmarkStart w:id="7" w:name="bookmark7"/>
      <w:r>
        <w:t xml:space="preserve">15.07.2010,00:00 hod. </w:t>
      </w:r>
      <w:proofErr w:type="gramStart"/>
      <w:r>
        <w:t>15.07.2024</w:t>
      </w:r>
      <w:bookmarkEnd w:id="7"/>
      <w:proofErr w:type="gramEnd"/>
    </w:p>
    <w:p w:rsidR="00DA03AA" w:rsidRDefault="005A1FC1">
      <w:pPr>
        <w:pStyle w:val="Nadpis20"/>
        <w:keepNext/>
        <w:keepLines/>
        <w:shd w:val="clear" w:color="auto" w:fill="auto"/>
        <w:spacing w:after="220"/>
      </w:pPr>
      <w:bookmarkStart w:id="8" w:name="bookmark8"/>
      <w:r>
        <w:t>Pojištění pro případ poškození věci a jiného majetku</w:t>
      </w:r>
      <w:bookmarkEnd w:id="8"/>
    </w:p>
    <w:p w:rsidR="00DA03AA" w:rsidRDefault="005A1FC1">
      <w:pPr>
        <w:pStyle w:val="Nadpis30"/>
        <w:keepNext/>
        <w:keepLines/>
        <w:shd w:val="clear" w:color="auto" w:fill="auto"/>
        <w:jc w:val="both"/>
      </w:pPr>
      <w:bookmarkStart w:id="9" w:name="bookmark9"/>
      <w:r>
        <w:t>Všeobecné pojistné podmínky:</w:t>
      </w:r>
      <w:bookmarkEnd w:id="9"/>
    </w:p>
    <w:p w:rsidR="00DA03AA" w:rsidRDefault="005A1FC1">
      <w:pPr>
        <w:pStyle w:val="Zkladntext1"/>
        <w:shd w:val="clear" w:color="auto" w:fill="auto"/>
        <w:spacing w:after="200"/>
        <w:ind w:left="400" w:firstLine="20"/>
      </w:pPr>
      <w:r>
        <w:t>Toto pojištění se řídí Všeobecnými pojistnými podmínkami Pojištění průmyslu - pojištění věci a jiného ma</w:t>
      </w:r>
      <w:r>
        <w:t>jetku Allianz pojišťovny, a.s. PMP-03 vydanými s platností od 1. ledna 2007 (dále jen "VPP"), sjednanými doložkami a smluvními ujednáními, které jsou nedílnou součástí této pojistné smlouvy.</w:t>
      </w:r>
    </w:p>
    <w:p w:rsidR="00DA03AA" w:rsidRDefault="005A1FC1">
      <w:pPr>
        <w:pStyle w:val="Nadpis30"/>
        <w:keepNext/>
        <w:keepLines/>
        <w:shd w:val="clear" w:color="auto" w:fill="auto"/>
        <w:jc w:val="both"/>
      </w:pPr>
      <w:bookmarkStart w:id="10" w:name="bookmark10"/>
      <w:r>
        <w:t>Sjednané doložky a smluvní ujednání:</w:t>
      </w:r>
      <w:bookmarkEnd w:id="10"/>
    </w:p>
    <w:p w:rsidR="00DA03AA" w:rsidRDefault="005A1FC1">
      <w:pPr>
        <w:pStyle w:val="Zkladntext1"/>
        <w:shd w:val="clear" w:color="auto" w:fill="auto"/>
        <w:ind w:left="980" w:hanging="560"/>
      </w:pPr>
      <w:r>
        <w:t>SU 02 - Smluvní ujednání pro</w:t>
      </w:r>
      <w:r>
        <w:t xml:space="preserve"> pojištění věci a jiného majetku a pro pojištění pro případ přerušení provozu v důsledku věcné škody</w:t>
      </w:r>
    </w:p>
    <w:p w:rsidR="00DA03AA" w:rsidRDefault="005A1FC1">
      <w:pPr>
        <w:pStyle w:val="Zkladntext1"/>
        <w:shd w:val="clear" w:color="auto" w:fill="auto"/>
        <w:ind w:left="400" w:firstLine="20"/>
      </w:pPr>
      <w:r>
        <w:t>M-420 Jedna pojistná událost - 72 hodin</w:t>
      </w:r>
    </w:p>
    <w:p w:rsidR="00DA03AA" w:rsidRDefault="005A1FC1">
      <w:pPr>
        <w:pStyle w:val="Zkladntext1"/>
        <w:shd w:val="clear" w:color="auto" w:fill="auto"/>
        <w:spacing w:after="360"/>
        <w:ind w:left="400" w:firstLine="20"/>
      </w:pPr>
      <w:r>
        <w:t xml:space="preserve">M-449 Pojištění škod způsobených pádem stromů, stožárů a jiných předmětů M-479 Slevy za škodní průběh - bonifikace </w:t>
      </w:r>
      <w:r>
        <w:t>M-490 Výluka kontaminace a infekčních chorob</w:t>
      </w:r>
    </w:p>
    <w:p w:rsidR="00DA03AA" w:rsidRDefault="005A1FC1">
      <w:pPr>
        <w:pStyle w:val="Nadpis30"/>
        <w:keepNext/>
        <w:keepLines/>
        <w:shd w:val="clear" w:color="auto" w:fill="auto"/>
        <w:jc w:val="both"/>
      </w:pPr>
      <w:bookmarkStart w:id="11" w:name="bookmark11"/>
      <w:r>
        <w:t>Pojištěný:</w:t>
      </w:r>
      <w:bookmarkEnd w:id="11"/>
    </w:p>
    <w:p w:rsidR="00DA03AA" w:rsidRDefault="005A1FC1">
      <w:pPr>
        <w:pStyle w:val="Zkladntext1"/>
        <w:shd w:val="clear" w:color="auto" w:fill="auto"/>
        <w:ind w:left="400" w:firstLine="20"/>
      </w:pPr>
      <w:r>
        <w:rPr>
          <w:b/>
          <w:bCs/>
        </w:rPr>
        <w:t>Výzkumný ústav rostlinné výroby, v. v. i.</w:t>
      </w:r>
    </w:p>
    <w:p w:rsidR="00DA03AA" w:rsidRDefault="005A1FC1">
      <w:pPr>
        <w:pStyle w:val="Zkladntext1"/>
        <w:shd w:val="clear" w:color="auto" w:fill="auto"/>
        <w:ind w:left="400" w:firstLine="20"/>
        <w:sectPr w:rsidR="00DA03AA">
          <w:headerReference w:type="even" r:id="rId8"/>
          <w:headerReference w:type="default" r:id="rId9"/>
          <w:pgSz w:w="11900" w:h="16840"/>
          <w:pgMar w:top="2098" w:right="2237" w:bottom="2098" w:left="1584" w:header="0" w:footer="1670" w:gutter="0"/>
          <w:pgNumType w:start="1"/>
          <w:cols w:space="720"/>
          <w:noEndnote/>
          <w:docGrid w:linePitch="360"/>
        </w:sectPr>
      </w:pPr>
      <w:r>
        <w:t>Drnovská 507,161 06 Praha 6 IČ: 00027006</w:t>
      </w:r>
    </w:p>
    <w:p w:rsidR="00DA03AA" w:rsidRDefault="005A1FC1">
      <w:pPr>
        <w:pStyle w:val="Nadpis30"/>
        <w:keepNext/>
        <w:keepLines/>
        <w:shd w:val="clear" w:color="auto" w:fill="auto"/>
        <w:sectPr w:rsidR="00DA03AA">
          <w:headerReference w:type="even" r:id="rId10"/>
          <w:headerReference w:type="default" r:id="rId11"/>
          <w:pgSz w:w="11900" w:h="16840"/>
          <w:pgMar w:top="2103" w:right="2237" w:bottom="2991" w:left="1584" w:header="0" w:footer="2563" w:gutter="0"/>
          <w:cols w:space="720"/>
          <w:noEndnote/>
          <w:docGrid w:linePitch="360"/>
        </w:sectPr>
      </w:pPr>
      <w:bookmarkStart w:id="12" w:name="bookmark12"/>
      <w:r>
        <w:lastRenderedPageBreak/>
        <w:t>Místa pojištění, předměty pojištění, pojistné částky:</w:t>
      </w:r>
      <w:bookmarkEnd w:id="12"/>
    </w:p>
    <w:p w:rsidR="00DA03AA" w:rsidRDefault="00DA03AA">
      <w:pPr>
        <w:spacing w:line="60" w:lineRule="exact"/>
        <w:rPr>
          <w:sz w:val="5"/>
          <w:szCs w:val="5"/>
        </w:rPr>
      </w:pPr>
    </w:p>
    <w:p w:rsidR="00DA03AA" w:rsidRDefault="00DA03AA">
      <w:pPr>
        <w:spacing w:line="14" w:lineRule="exact"/>
        <w:sectPr w:rsidR="00DA03AA">
          <w:type w:val="continuous"/>
          <w:pgSz w:w="11900" w:h="16840"/>
          <w:pgMar w:top="2103" w:right="0" w:bottom="2991" w:left="0" w:header="0" w:footer="3" w:gutter="0"/>
          <w:cols w:space="720"/>
          <w:noEndnote/>
          <w:docGrid w:linePitch="360"/>
        </w:sectPr>
      </w:pPr>
    </w:p>
    <w:p w:rsidR="00DA03AA" w:rsidRDefault="005A1FC1">
      <w:pPr>
        <w:pStyle w:val="Nadpis30"/>
        <w:keepNext/>
        <w:keepLines/>
        <w:shd w:val="clear" w:color="auto" w:fill="auto"/>
        <w:spacing w:after="220"/>
        <w:ind w:left="1280"/>
      </w:pPr>
      <w:bookmarkStart w:id="13" w:name="bookmark13"/>
      <w:r>
        <w:lastRenderedPageBreak/>
        <w:t xml:space="preserve">Sjednaná </w:t>
      </w:r>
      <w:r>
        <w:t>pojistná částka (Kč) v</w:t>
      </w:r>
      <w:bookmarkEnd w:id="13"/>
    </w:p>
    <w:p w:rsidR="00DA03AA" w:rsidRDefault="005A1FC1">
      <w:pPr>
        <w:pStyle w:val="Nadpis30"/>
        <w:keepNext/>
        <w:keepLines/>
        <w:shd w:val="clear" w:color="auto" w:fill="auto"/>
        <w:tabs>
          <w:tab w:val="left" w:pos="2462"/>
        </w:tabs>
        <w:ind w:left="600"/>
        <w:jc w:val="both"/>
      </w:pPr>
      <w:bookmarkStart w:id="14" w:name="bookmark14"/>
      <w:r>
        <w:t>nové ceně</w:t>
      </w:r>
      <w:r>
        <w:tab/>
        <w:t>obvyklé ceně pojištění na první riziko</w:t>
      </w:r>
      <w:bookmarkEnd w:id="14"/>
    </w:p>
    <w:p w:rsidR="00DA03AA" w:rsidRDefault="005A1FC1">
      <w:pPr>
        <w:pStyle w:val="Zkladntext1"/>
        <w:shd w:val="clear" w:color="auto" w:fill="auto"/>
        <w:ind w:right="640"/>
        <w:sectPr w:rsidR="00DA03AA">
          <w:type w:val="continuous"/>
          <w:pgSz w:w="11900" w:h="16840"/>
          <w:pgMar w:top="2103" w:right="1489" w:bottom="2991" w:left="4743" w:header="0" w:footer="3" w:gutter="0"/>
          <w:cols w:space="720"/>
          <w:noEndnote/>
          <w:docGrid w:linePitch="360"/>
        </w:sectPr>
      </w:pPr>
      <w:r>
        <w:t xml:space="preserve">(či. 13, odst. 2., písm. a), resp. (či. 13, odst. 2., </w:t>
      </w:r>
      <w:proofErr w:type="gramStart"/>
      <w:r>
        <w:t>písm. b)) (čl.</w:t>
      </w:r>
      <w:proofErr w:type="gramEnd"/>
      <w:r>
        <w:t xml:space="preserve"> 18) čl. 13, odst. 5. u položky zásoby)</w:t>
      </w:r>
    </w:p>
    <w:p w:rsidR="00DA03AA" w:rsidRDefault="00DA03AA">
      <w:pPr>
        <w:spacing w:line="106" w:lineRule="exact"/>
        <w:rPr>
          <w:sz w:val="9"/>
          <w:szCs w:val="9"/>
        </w:rPr>
      </w:pPr>
    </w:p>
    <w:p w:rsidR="00DA03AA" w:rsidRDefault="00DA03AA">
      <w:pPr>
        <w:spacing w:line="14" w:lineRule="exact"/>
        <w:sectPr w:rsidR="00DA03AA">
          <w:type w:val="continuous"/>
          <w:pgSz w:w="11900" w:h="16840"/>
          <w:pgMar w:top="1766" w:right="0" w:bottom="1766" w:left="0" w:header="0" w:footer="3" w:gutter="0"/>
          <w:cols w:space="720"/>
          <w:noEndnote/>
          <w:docGrid w:linePitch="360"/>
        </w:sectPr>
      </w:pPr>
    </w:p>
    <w:p w:rsidR="00DA03AA" w:rsidRDefault="005A1FC1">
      <w:pPr>
        <w:pStyle w:val="Nadpis30"/>
        <w:keepNext/>
        <w:keepLines/>
        <w:framePr w:w="2242" w:h="240" w:wrap="none" w:vAnchor="text" w:hAnchor="page" w:x="2296" w:y="21"/>
        <w:shd w:val="clear" w:color="auto" w:fill="auto"/>
      </w:pPr>
      <w:bookmarkStart w:id="15" w:name="bookmark15"/>
      <w:r>
        <w:t xml:space="preserve">Místa pojištění </w:t>
      </w:r>
      <w:r>
        <w:rPr>
          <w:color w:val="0B0F2B"/>
        </w:rPr>
        <w:t xml:space="preserve">- </w:t>
      </w:r>
      <w:r>
        <w:t>viz příl</w:t>
      </w:r>
      <w:r>
        <w:t>oha č. 1</w:t>
      </w:r>
      <w:bookmarkEnd w:id="15"/>
    </w:p>
    <w:p w:rsidR="00DA03AA" w:rsidRDefault="005A1FC1">
      <w:pPr>
        <w:pStyle w:val="Nadpis30"/>
        <w:keepNext/>
        <w:keepLines/>
        <w:framePr w:w="2347" w:h="643" w:wrap="none" w:vAnchor="text" w:hAnchor="page" w:x="2531" w:y="404"/>
        <w:shd w:val="clear" w:color="auto" w:fill="auto"/>
      </w:pPr>
      <w:bookmarkStart w:id="16" w:name="bookmark16"/>
      <w:r>
        <w:t>Předmět pojištění:</w:t>
      </w:r>
      <w:bookmarkEnd w:id="16"/>
    </w:p>
    <w:p w:rsidR="00DA03AA" w:rsidRDefault="005A1FC1">
      <w:pPr>
        <w:pStyle w:val="Zkladntext1"/>
        <w:framePr w:w="2347" w:h="643" w:wrap="none" w:vAnchor="text" w:hAnchor="page" w:x="2531" w:y="404"/>
        <w:shd w:val="clear" w:color="auto" w:fill="auto"/>
        <w:ind w:left="140"/>
      </w:pPr>
      <w:r>
        <w:rPr>
          <w:b/>
          <w:bCs/>
        </w:rPr>
        <w:t>Soubor věcí nemovitých (budovy a stavby vč. skleníků)</w:t>
      </w:r>
    </w:p>
    <w:p w:rsidR="00DA03AA" w:rsidRDefault="005A1FC1">
      <w:pPr>
        <w:pStyle w:val="Zkladntext1"/>
        <w:framePr w:w="998" w:h="235" w:wrap="none" w:vAnchor="text" w:hAnchor="page" w:x="5185" w:y="606"/>
        <w:shd w:val="clear" w:color="auto" w:fill="auto"/>
      </w:pPr>
      <w:r>
        <w:t>890 361 672,-</w:t>
      </w:r>
    </w:p>
    <w:p w:rsidR="00DA03AA" w:rsidRDefault="005A1FC1">
      <w:pPr>
        <w:pStyle w:val="Nadpis30"/>
        <w:keepNext/>
        <w:keepLines/>
        <w:framePr w:w="2304" w:h="240" w:wrap="none" w:vAnchor="text" w:hAnchor="page" w:x="2665" w:y="1211"/>
        <w:shd w:val="clear" w:color="auto" w:fill="auto"/>
      </w:pPr>
      <w:bookmarkStart w:id="17" w:name="bookmark17"/>
      <w:r>
        <w:t>Informační panel před budovou</w:t>
      </w:r>
      <w:bookmarkEnd w:id="17"/>
    </w:p>
    <w:p w:rsidR="00DA03AA" w:rsidRDefault="005A1FC1">
      <w:pPr>
        <w:pStyle w:val="Zkladntext1"/>
        <w:framePr w:w="686" w:h="235" w:wrap="none" w:vAnchor="text" w:hAnchor="page" w:x="5497" w:y="1206"/>
        <w:shd w:val="clear" w:color="auto" w:fill="auto"/>
      </w:pPr>
      <w:r>
        <w:t>134 326,-</w:t>
      </w:r>
    </w:p>
    <w:p w:rsidR="00DA03AA" w:rsidRDefault="005A1FC1">
      <w:pPr>
        <w:pStyle w:val="Zkladntext1"/>
        <w:framePr w:w="1762" w:h="648" w:wrap="none" w:vAnchor="text" w:hAnchor="page" w:x="2661" w:y="1595"/>
        <w:shd w:val="clear" w:color="auto" w:fill="auto"/>
      </w:pPr>
      <w:r>
        <w:rPr>
          <w:b/>
          <w:bCs/>
        </w:rPr>
        <w:t>Soubor věcí nemovitých (skleníky - připojištění vichřice a krupobití)</w:t>
      </w:r>
    </w:p>
    <w:p w:rsidR="00DA03AA" w:rsidRDefault="005A1FC1">
      <w:pPr>
        <w:pStyle w:val="Zkladntext1"/>
        <w:framePr w:w="902" w:h="235" w:wrap="none" w:vAnchor="text" w:hAnchor="page" w:x="5277" w:y="1595"/>
        <w:shd w:val="clear" w:color="auto" w:fill="auto"/>
      </w:pPr>
      <w:r>
        <w:t>55 581 209,-</w:t>
      </w:r>
    </w:p>
    <w:p w:rsidR="00DA03AA" w:rsidRDefault="005A1FC1">
      <w:pPr>
        <w:pStyle w:val="Nadpis30"/>
        <w:keepNext/>
        <w:keepLines/>
        <w:framePr w:w="1790" w:h="235" w:wrap="none" w:vAnchor="text" w:hAnchor="page" w:x="2661" w:y="2401"/>
        <w:shd w:val="clear" w:color="auto" w:fill="auto"/>
      </w:pPr>
      <w:bookmarkStart w:id="18" w:name="bookmark18"/>
      <w:r>
        <w:t>Stavební součásti budov</w:t>
      </w:r>
      <w:bookmarkEnd w:id="18"/>
    </w:p>
    <w:p w:rsidR="00DA03AA" w:rsidRDefault="005A1FC1">
      <w:pPr>
        <w:pStyle w:val="Zkladntext1"/>
        <w:framePr w:w="686" w:h="235" w:wrap="none" w:vAnchor="text" w:hAnchor="page" w:x="9241" w:y="2396"/>
        <w:shd w:val="clear" w:color="auto" w:fill="auto"/>
      </w:pPr>
      <w:r>
        <w:t>100 000,-</w:t>
      </w:r>
    </w:p>
    <w:p w:rsidR="00DA03AA" w:rsidRDefault="005A1FC1">
      <w:pPr>
        <w:pStyle w:val="Zkladntext1"/>
        <w:framePr w:w="7272" w:h="1253" w:wrap="none" w:vAnchor="text" w:hAnchor="page" w:x="2661" w:y="3001"/>
        <w:shd w:val="clear" w:color="auto" w:fill="auto"/>
        <w:spacing w:after="200"/>
        <w:jc w:val="both"/>
      </w:pPr>
      <w:r>
        <w:t xml:space="preserve">Věci pojištěné </w:t>
      </w:r>
      <w:proofErr w:type="gramStart"/>
      <w:r>
        <w:t>na 1 .riziko</w:t>
      </w:r>
      <w:proofErr w:type="gramEnd"/>
      <w:r>
        <w:t xml:space="preserve"> se sjednávají v nové ceně.</w:t>
      </w:r>
    </w:p>
    <w:p w:rsidR="00DA03AA" w:rsidRDefault="005A1FC1">
      <w:pPr>
        <w:pStyle w:val="Zkladntext1"/>
        <w:framePr w:w="7272" w:h="1253" w:wrap="none" w:vAnchor="text" w:hAnchor="page" w:x="2661" w:y="3001"/>
        <w:shd w:val="clear" w:color="auto" w:fill="auto"/>
        <w:jc w:val="both"/>
      </w:pPr>
      <w:r>
        <w:t>Odchylně od článku 2 smluvních ujednání SU-02 a článku 7 Všeobecných pojistných podmínek pro pojištění průmyslu - pojištění věci a jiného majetku se ujednává, že pojistitel poskytne pojistné plnění v p</w:t>
      </w:r>
      <w:r>
        <w:t>řípadě odcizení stavebních součástí krádeží vloupáním za předpokladu, že stavební součásti jsou konstrukčně upevněny k budově nebo stavbě.</w:t>
      </w:r>
    </w:p>
    <w:p w:rsidR="00DA03AA" w:rsidRDefault="005A1FC1">
      <w:pPr>
        <w:pStyle w:val="Nadpis30"/>
        <w:keepNext/>
        <w:keepLines/>
        <w:framePr w:w="7205" w:h="5069" w:wrap="none" w:vAnchor="text" w:hAnchor="page" w:x="1605" w:y="5041"/>
        <w:shd w:val="clear" w:color="auto" w:fill="auto"/>
        <w:spacing w:after="200"/>
      </w:pPr>
      <w:bookmarkStart w:id="19" w:name="bookmark19"/>
      <w:r>
        <w:t>Sjednaná pojistná nebezpečí:</w:t>
      </w:r>
      <w:bookmarkEnd w:id="19"/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spacing w:after="200"/>
        <w:ind w:left="140"/>
      </w:pPr>
      <w:r>
        <w:t xml:space="preserve">Pro místa pojištění - </w:t>
      </w:r>
      <w:r>
        <w:rPr>
          <w:b/>
          <w:bCs/>
        </w:rPr>
        <w:t>viz příloha č. 1</w:t>
      </w:r>
    </w:p>
    <w:p w:rsidR="00DA03AA" w:rsidRDefault="005A1FC1">
      <w:pPr>
        <w:pStyle w:val="Nadpis30"/>
        <w:keepNext/>
        <w:keepLines/>
        <w:framePr w:w="7205" w:h="5069" w:wrap="none" w:vAnchor="text" w:hAnchor="page" w:x="1605" w:y="5041"/>
        <w:shd w:val="clear" w:color="auto" w:fill="auto"/>
        <w:ind w:left="400"/>
      </w:pPr>
      <w:bookmarkStart w:id="20" w:name="bookmark20"/>
      <w:r>
        <w:t>Pro předmět pojištění:</w:t>
      </w:r>
      <w:bookmarkEnd w:id="20"/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540"/>
      </w:pPr>
      <w:r>
        <w:rPr>
          <w:b/>
          <w:bCs/>
        </w:rPr>
        <w:t xml:space="preserve">Soubor věcí nemovitých </w:t>
      </w:r>
      <w:r>
        <w:rPr>
          <w:b/>
          <w:bCs/>
        </w:rPr>
        <w:t>(budovy a stavby včetně skleníků)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540"/>
      </w:pPr>
      <w:r>
        <w:rPr>
          <w:b/>
          <w:bCs/>
        </w:rPr>
        <w:t>Informační panel před budovou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Požár, úder blesku, výbuch a náraz nebo zřícení letadla (čl. 2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Vichřice a krupobití (čl. 3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Povodeň (čl. 4, odst. 1., písm. a)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Zemětř</w:t>
      </w:r>
      <w:r>
        <w:t>esení (čl. 4, odst. 1., písm. b)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Výbuch sopky (čl. 4, odst. 1., písm. c)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Sesednutí, sesuv půdy (čl. 4, odst. 1., písm. d)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Lavina a působení tíhy sněhu (čl. 4, odst. 1., písm. e) výše uvedených VPP</w:t>
      </w:r>
      <w:r>
        <w:t>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>Působení vody z vodovodního zařízení (čl. 5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 xml:space="preserve">Voda unikající ze </w:t>
      </w:r>
      <w:proofErr w:type="spellStart"/>
      <w:r>
        <w:t>sprinklerových</w:t>
      </w:r>
      <w:proofErr w:type="spellEnd"/>
      <w:r>
        <w:t xml:space="preserve"> hasicích zařízení (čl. 6 výše uvedených VPP)</w:t>
      </w:r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spacing w:after="200"/>
        <w:ind w:left="680"/>
      </w:pPr>
      <w:r>
        <w:t xml:space="preserve">Náraz vozidla, kouř a rázová vlna způsobená nadzvukovým letadlem (čl. 8 výše uvedených VPP) Pád stromů, stožárů </w:t>
      </w:r>
      <w:r>
        <w:t>a jiných předmětů ve smyslu sjednané doložky M-449</w:t>
      </w:r>
    </w:p>
    <w:p w:rsidR="00DA03AA" w:rsidRDefault="005A1FC1">
      <w:pPr>
        <w:pStyle w:val="Nadpis30"/>
        <w:keepNext/>
        <w:keepLines/>
        <w:framePr w:w="7205" w:h="5069" w:wrap="none" w:vAnchor="text" w:hAnchor="page" w:x="1605" w:y="5041"/>
        <w:shd w:val="clear" w:color="auto" w:fill="auto"/>
        <w:ind w:left="540"/>
      </w:pPr>
      <w:bookmarkStart w:id="21" w:name="bookmark21"/>
      <w:r>
        <w:t>Soubor věcí nemovitých (skleníky - připojištění)</w:t>
      </w:r>
      <w:bookmarkEnd w:id="21"/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spacing w:after="200"/>
        <w:ind w:left="680"/>
      </w:pPr>
      <w:r>
        <w:t>Vichřice a krupobití (čl. 3 výše uvedených VPP)</w:t>
      </w:r>
    </w:p>
    <w:p w:rsidR="00DA03AA" w:rsidRDefault="005A1FC1">
      <w:pPr>
        <w:pStyle w:val="Nadpis30"/>
        <w:keepNext/>
        <w:keepLines/>
        <w:framePr w:w="7205" w:h="5069" w:wrap="none" w:vAnchor="text" w:hAnchor="page" w:x="1605" w:y="5041"/>
        <w:shd w:val="clear" w:color="auto" w:fill="auto"/>
        <w:ind w:left="540"/>
      </w:pPr>
      <w:bookmarkStart w:id="22" w:name="bookmark22"/>
      <w:r>
        <w:t>Stavební součásti budov</w:t>
      </w:r>
      <w:bookmarkEnd w:id="22"/>
    </w:p>
    <w:p w:rsidR="00DA03AA" w:rsidRDefault="005A1FC1">
      <w:pPr>
        <w:pStyle w:val="Zkladntext1"/>
        <w:framePr w:w="7205" w:h="5069" w:wrap="none" w:vAnchor="text" w:hAnchor="page" w:x="1605" w:y="5041"/>
        <w:shd w:val="clear" w:color="auto" w:fill="auto"/>
        <w:ind w:left="680"/>
      </w:pPr>
      <w:r>
        <w:t xml:space="preserve">Krádež vloupáním včetně loupeže (čl. 7, odst. 1., písm. a) a b) výše uvedených VPP) </w:t>
      </w:r>
      <w:proofErr w:type="spellStart"/>
      <w:r>
        <w:t>Vandalskýčin</w:t>
      </w:r>
      <w:proofErr w:type="spellEnd"/>
      <w:r>
        <w:t xml:space="preserve"> po vloupání (čl. 7, odst. 1., písm. d) výše uvedených VPP)</w:t>
      </w: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after="375" w:line="14" w:lineRule="exact"/>
      </w:pPr>
    </w:p>
    <w:p w:rsidR="00DA03AA" w:rsidRDefault="00DA03AA">
      <w:pPr>
        <w:spacing w:line="14" w:lineRule="exact"/>
        <w:sectPr w:rsidR="00DA03AA">
          <w:type w:val="continuous"/>
          <w:pgSz w:w="11900" w:h="16840"/>
          <w:pgMar w:top="1766" w:right="1334" w:bottom="1766" w:left="1584" w:header="0" w:footer="3" w:gutter="0"/>
          <w:cols w:space="720"/>
          <w:noEndnote/>
          <w:docGrid w:linePitch="360"/>
        </w:sectPr>
      </w:pPr>
    </w:p>
    <w:p w:rsidR="00DA03AA" w:rsidRDefault="00DA03AA">
      <w:pPr>
        <w:spacing w:before="13" w:after="13" w:line="240" w:lineRule="exact"/>
        <w:rPr>
          <w:sz w:val="19"/>
          <w:szCs w:val="19"/>
        </w:rPr>
      </w:pPr>
    </w:p>
    <w:p w:rsidR="00DA03AA" w:rsidRDefault="00DA03AA">
      <w:pPr>
        <w:spacing w:line="14" w:lineRule="exact"/>
        <w:sectPr w:rsidR="00DA03AA">
          <w:headerReference w:type="even" r:id="rId12"/>
          <w:headerReference w:type="default" r:id="rId13"/>
          <w:pgSz w:w="11900" w:h="16840"/>
          <w:pgMar w:top="1762" w:right="0" w:bottom="1762" w:left="0" w:header="0" w:footer="3" w:gutter="0"/>
          <w:cols w:space="720"/>
          <w:noEndnote/>
          <w:docGrid w:linePitch="360"/>
        </w:sectPr>
      </w:pPr>
    </w:p>
    <w:p w:rsidR="00DA03AA" w:rsidRDefault="005A1FC1">
      <w:pPr>
        <w:pStyle w:val="Nadpis30"/>
        <w:keepNext/>
        <w:keepLines/>
        <w:framePr w:w="1349" w:h="240" w:wrap="none" w:vAnchor="text" w:hAnchor="page" w:x="1585" w:y="21"/>
        <w:shd w:val="clear" w:color="auto" w:fill="auto"/>
      </w:pPr>
      <w:bookmarkStart w:id="23" w:name="bookmark23"/>
      <w:r>
        <w:t>Pojištěné náklady:</w:t>
      </w:r>
      <w:bookmarkEnd w:id="23"/>
    </w:p>
    <w:p w:rsidR="00DA03AA" w:rsidRDefault="005A1FC1">
      <w:pPr>
        <w:pStyle w:val="Nadpis30"/>
        <w:keepNext/>
        <w:keepLines/>
        <w:framePr w:w="5918" w:h="442" w:wrap="none" w:vAnchor="text" w:hAnchor="page" w:x="1585" w:y="404"/>
        <w:shd w:val="clear" w:color="auto" w:fill="auto"/>
      </w:pPr>
      <w:bookmarkStart w:id="24" w:name="bookmark24"/>
      <w:r>
        <w:t xml:space="preserve">Pro všechna místa </w:t>
      </w:r>
      <w:r>
        <w:t>pojištění se sjednávají níže uvedené náklady.</w:t>
      </w:r>
      <w:bookmarkEnd w:id="24"/>
    </w:p>
    <w:p w:rsidR="00DA03AA" w:rsidRDefault="005A1FC1">
      <w:pPr>
        <w:pStyle w:val="Zkladntext1"/>
        <w:framePr w:w="5918" w:h="442" w:wrap="none" w:vAnchor="text" w:hAnchor="page" w:x="1585" w:y="404"/>
        <w:shd w:val="clear" w:color="auto" w:fill="auto"/>
      </w:pPr>
      <w:r>
        <w:rPr>
          <w:b/>
          <w:bCs/>
        </w:rPr>
        <w:t>Pojištění nákladů se ve smyslu čl. 14 výše uvedených VPP sjednává na první riziko.</w:t>
      </w:r>
    </w:p>
    <w:p w:rsidR="00DA03AA" w:rsidRDefault="005A1FC1">
      <w:pPr>
        <w:pStyle w:val="Nadpis30"/>
        <w:keepNext/>
        <w:keepLines/>
        <w:framePr w:w="1987" w:h="442" w:wrap="none" w:vAnchor="text" w:hAnchor="page" w:x="8493" w:y="798"/>
        <w:shd w:val="clear" w:color="auto" w:fill="auto"/>
        <w:ind w:firstLine="540"/>
      </w:pPr>
      <w:bookmarkStart w:id="25" w:name="bookmark25"/>
      <w:r>
        <w:t>Limit plnění pro jedno pojistné období (Kč)</w:t>
      </w:r>
      <w:bookmarkEnd w:id="25"/>
    </w:p>
    <w:p w:rsidR="00DA03AA" w:rsidRDefault="005A1FC1">
      <w:pPr>
        <w:pStyle w:val="Zkladntext1"/>
        <w:framePr w:w="8352" w:h="245" w:wrap="none" w:vAnchor="text" w:hAnchor="page" w:x="1585" w:y="1609"/>
        <w:shd w:val="clear" w:color="auto" w:fill="auto"/>
      </w:pPr>
      <w:r>
        <w:rPr>
          <w:b/>
          <w:bCs/>
        </w:rPr>
        <w:t xml:space="preserve">Náklady na vyklizení místa pojištění </w:t>
      </w:r>
      <w:r>
        <w:t xml:space="preserve">(ve smyslu čl. 14, odst. 1písm. a), bod </w:t>
      </w:r>
      <w:proofErr w:type="gramStart"/>
      <w:r>
        <w:t xml:space="preserve">a.1. </w:t>
      </w:r>
      <w:r>
        <w:t>výše</w:t>
      </w:r>
      <w:proofErr w:type="gramEnd"/>
      <w:r>
        <w:t xml:space="preserve"> uvedených VPP) 1 000 000,-</w:t>
      </w:r>
    </w:p>
    <w:p w:rsidR="00DA03AA" w:rsidRDefault="005A1FC1">
      <w:pPr>
        <w:pStyle w:val="Zkladntext1"/>
        <w:framePr w:w="6504" w:h="245" w:wrap="none" w:vAnchor="text" w:hAnchor="page" w:x="1710" w:y="2012"/>
        <w:shd w:val="clear" w:color="auto" w:fill="auto"/>
      </w:pPr>
      <w:r>
        <w:rPr>
          <w:b/>
          <w:bCs/>
        </w:rPr>
        <w:t xml:space="preserve">Náklady na stavební úpravy </w:t>
      </w:r>
      <w:r>
        <w:t xml:space="preserve">(ve smyslu čl. 14, odst. 1., písm. a), bod </w:t>
      </w:r>
      <w:proofErr w:type="gramStart"/>
      <w:r>
        <w:t>a.2. výše</w:t>
      </w:r>
      <w:proofErr w:type="gramEnd"/>
      <w:r>
        <w:t xml:space="preserve"> uvedených VPP)</w:t>
      </w:r>
    </w:p>
    <w:p w:rsidR="00DA03AA" w:rsidRDefault="005A1FC1">
      <w:pPr>
        <w:pStyle w:val="Zkladntext1"/>
        <w:framePr w:w="811" w:h="235" w:wrap="none" w:vAnchor="text" w:hAnchor="page" w:x="9529" w:y="2017"/>
        <w:shd w:val="clear" w:color="auto" w:fill="auto"/>
      </w:pPr>
      <w:r>
        <w:t>1 000 000,-</w:t>
      </w:r>
    </w:p>
    <w:p w:rsidR="00DA03AA" w:rsidRDefault="005A1FC1">
      <w:pPr>
        <w:pStyle w:val="Nadpis30"/>
        <w:keepNext/>
        <w:keepLines/>
        <w:framePr w:w="4589" w:h="442" w:wrap="none" w:vAnchor="text" w:hAnchor="page" w:x="1710" w:y="2420"/>
        <w:shd w:val="clear" w:color="auto" w:fill="auto"/>
      </w:pPr>
      <w:bookmarkStart w:id="26" w:name="bookmark26"/>
      <w:r>
        <w:t>Náklady na obnovení výrobní a provozní dokumentace</w:t>
      </w:r>
      <w:bookmarkEnd w:id="26"/>
    </w:p>
    <w:p w:rsidR="00DA03AA" w:rsidRDefault="005A1FC1">
      <w:pPr>
        <w:pStyle w:val="Zkladntext1"/>
        <w:framePr w:w="4589" w:h="442" w:wrap="none" w:vAnchor="text" w:hAnchor="page" w:x="1710" w:y="2420"/>
        <w:shd w:val="clear" w:color="auto" w:fill="auto"/>
      </w:pPr>
      <w:r>
        <w:t xml:space="preserve">(ve smyslu čl. 14, odst. 1., písm. a), bod </w:t>
      </w:r>
      <w:proofErr w:type="gramStart"/>
      <w:r>
        <w:t>a.3. výše</w:t>
      </w:r>
      <w:proofErr w:type="gramEnd"/>
      <w:r>
        <w:t xml:space="preserve"> uvedených </w:t>
      </w:r>
      <w:r>
        <w:t>VPP)</w:t>
      </w:r>
    </w:p>
    <w:p w:rsidR="00DA03AA" w:rsidRDefault="005A1FC1">
      <w:pPr>
        <w:pStyle w:val="Zkladntext1"/>
        <w:framePr w:w="696" w:h="235" w:wrap="none" w:vAnchor="text" w:hAnchor="page" w:x="9645" w:y="2617"/>
        <w:shd w:val="clear" w:color="auto" w:fill="auto"/>
      </w:pPr>
      <w:r>
        <w:t>500 000,-</w:t>
      </w:r>
    </w:p>
    <w:p w:rsidR="00DA03AA" w:rsidRDefault="005A1FC1">
      <w:pPr>
        <w:pStyle w:val="Nadpis30"/>
        <w:keepNext/>
        <w:keepLines/>
        <w:framePr w:w="6701" w:h="2462" w:wrap="none" w:vAnchor="text" w:hAnchor="page" w:x="2109" w:y="3030"/>
        <w:shd w:val="clear" w:color="auto" w:fill="auto"/>
      </w:pPr>
      <w:bookmarkStart w:id="27" w:name="bookmark27"/>
      <w:r>
        <w:t>Sjednaná pojistná nebezpečí</w:t>
      </w:r>
      <w:bookmarkEnd w:id="27"/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Požár, úder blesku, výbuch a náraz nebo zřícení letadla (čl. 2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Vichřice a krupobití (čl. 3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Povodeň (čl. 4, odst. 1., písm. a)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Zemětřesení (čl. 4, odst. 1</w:t>
      </w:r>
      <w:r>
        <w:t>., písm. b)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Výbuch sopky (čl. 4, odst. 1., písm. c)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Sesednutí, sesuv půdy (čl. 4, odst. 1., písm. d)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>Lavina a působení tíhy sněhu (čl. 4, odst. 1., písm. e)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 xml:space="preserve">Působení vody z </w:t>
      </w:r>
      <w:r>
        <w:t>vodovodního zařízení (čl. 5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 xml:space="preserve">Voda unikající ze </w:t>
      </w:r>
      <w:proofErr w:type="spellStart"/>
      <w:r>
        <w:t>sprinklerových</w:t>
      </w:r>
      <w:proofErr w:type="spellEnd"/>
      <w:r>
        <w:t xml:space="preserve"> hasicích zařízení (čl. 6 výše uvedených VPP)</w:t>
      </w:r>
    </w:p>
    <w:p w:rsidR="00DA03AA" w:rsidRDefault="005A1FC1">
      <w:pPr>
        <w:pStyle w:val="Zkladntext1"/>
        <w:framePr w:w="6701" w:h="2462" w:wrap="none" w:vAnchor="text" w:hAnchor="page" w:x="2109" w:y="3030"/>
        <w:shd w:val="clear" w:color="auto" w:fill="auto"/>
        <w:ind w:left="140" w:firstLine="20"/>
        <w:jc w:val="both"/>
      </w:pPr>
      <w:r>
        <w:t xml:space="preserve">Náraz vozidla, kouř a rázová vlna způsobená nadzvukovým letadlem (čl. 8 výše uvedených VPP) Pád stromů, stožárů a jiných předmětů </w:t>
      </w:r>
      <w:r>
        <w:t>ve smyslu sjednané doložky M-449</w:t>
      </w:r>
    </w:p>
    <w:p w:rsidR="00DA03AA" w:rsidRDefault="005A1FC1">
      <w:pPr>
        <w:pStyle w:val="Nadpis30"/>
        <w:keepNext/>
        <w:keepLines/>
        <w:framePr w:w="8630" w:h="1445" w:wrap="none" w:vAnchor="text" w:hAnchor="page" w:x="1710" w:y="6049"/>
        <w:shd w:val="clear" w:color="auto" w:fill="auto"/>
        <w:jc w:val="both"/>
      </w:pPr>
      <w:bookmarkStart w:id="28" w:name="bookmark28"/>
      <w:r>
        <w:t>Náklady na odstranění škod na stavebních součástech</w:t>
      </w:r>
      <w:bookmarkEnd w:id="28"/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tabs>
          <w:tab w:val="left" w:pos="7934"/>
        </w:tabs>
        <w:jc w:val="both"/>
      </w:pPr>
      <w:r>
        <w:t xml:space="preserve">(ve smyslu čl. 14, odst. 1., písm. b), </w:t>
      </w:r>
      <w:proofErr w:type="gramStart"/>
      <w:r>
        <w:t>bod b.1. výše</w:t>
      </w:r>
      <w:proofErr w:type="gramEnd"/>
      <w:r>
        <w:t xml:space="preserve"> uvedených VPP)</w:t>
      </w:r>
      <w:r>
        <w:tab/>
        <w:t>100 000,-</w:t>
      </w:r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jc w:val="both"/>
      </w:pPr>
      <w:r>
        <w:rPr>
          <w:b/>
          <w:bCs/>
        </w:rPr>
        <w:t>Náklady na výměnu zámků</w:t>
      </w:r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tabs>
          <w:tab w:val="left" w:pos="7934"/>
        </w:tabs>
        <w:spacing w:line="230" w:lineRule="auto"/>
        <w:jc w:val="both"/>
      </w:pPr>
      <w:r>
        <w:t xml:space="preserve">(ve smyslu čl. 14, odst. 1., písm. b), </w:t>
      </w:r>
      <w:proofErr w:type="gramStart"/>
      <w:r>
        <w:t>bod b.2. výše</w:t>
      </w:r>
      <w:proofErr w:type="gramEnd"/>
      <w:r>
        <w:t xml:space="preserve"> uvedených VPP)</w:t>
      </w:r>
      <w:r>
        <w:tab/>
        <w:t>1</w:t>
      </w:r>
      <w:r>
        <w:t>00 000,-</w:t>
      </w:r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ind w:left="420"/>
      </w:pPr>
      <w:r>
        <w:rPr>
          <w:b/>
          <w:bCs/>
        </w:rPr>
        <w:t>Sjednaná pojistná nebezpečí</w:t>
      </w:r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spacing w:line="230" w:lineRule="auto"/>
        <w:ind w:left="540" w:firstLine="20"/>
      </w:pPr>
      <w:r>
        <w:t>Krádež vloupáním včetně loupeže (čl. 7, odst. 1., písm. a) a b) výše uvedených VPP)</w:t>
      </w:r>
    </w:p>
    <w:p w:rsidR="00DA03AA" w:rsidRDefault="005A1FC1">
      <w:pPr>
        <w:pStyle w:val="Zkladntext1"/>
        <w:framePr w:w="8630" w:h="1445" w:wrap="none" w:vAnchor="text" w:hAnchor="page" w:x="1710" w:y="6049"/>
        <w:shd w:val="clear" w:color="auto" w:fill="auto"/>
        <w:ind w:left="540" w:firstLine="20"/>
      </w:pPr>
      <w:r>
        <w:t>Vandalský čin po vloupání (čl. 7, odst. 1., písm. d) výše uvedených VPP)</w:t>
      </w:r>
    </w:p>
    <w:p w:rsidR="00DA03AA" w:rsidRDefault="005A1FC1">
      <w:pPr>
        <w:pStyle w:val="Nadpis30"/>
        <w:keepNext/>
        <w:keepLines/>
        <w:framePr w:w="5707" w:h="648" w:wrap="none" w:vAnchor="text" w:hAnchor="page" w:x="1585" w:y="8454"/>
        <w:shd w:val="clear" w:color="auto" w:fill="auto"/>
        <w:spacing w:after="200"/>
      </w:pPr>
      <w:bookmarkStart w:id="29" w:name="bookmark29"/>
      <w:r>
        <w:t>Sjednané limity pojistného plnění:</w:t>
      </w:r>
      <w:bookmarkEnd w:id="29"/>
    </w:p>
    <w:p w:rsidR="00DA03AA" w:rsidRDefault="005A1FC1">
      <w:pPr>
        <w:pStyle w:val="Nadpis30"/>
        <w:keepNext/>
        <w:keepLines/>
        <w:framePr w:w="5707" w:h="648" w:wrap="none" w:vAnchor="text" w:hAnchor="page" w:x="1585" w:y="8454"/>
        <w:shd w:val="clear" w:color="auto" w:fill="auto"/>
        <w:ind w:left="140"/>
      </w:pPr>
      <w:bookmarkStart w:id="30" w:name="bookmark30"/>
      <w:r>
        <w:t>Pro všechna místa pojištění</w:t>
      </w:r>
      <w:r>
        <w:t xml:space="preserve"> se sjednávají následující limity pojistného plnění:</w:t>
      </w:r>
      <w:bookmarkEnd w:id="30"/>
    </w:p>
    <w:p w:rsidR="00DA03AA" w:rsidRDefault="005A1FC1">
      <w:pPr>
        <w:pStyle w:val="Nadpis30"/>
        <w:keepNext/>
        <w:keepLines/>
        <w:framePr w:w="3197" w:h="442" w:wrap="none" w:vAnchor="text" w:hAnchor="page" w:x="7552" w:y="9049"/>
        <w:shd w:val="clear" w:color="auto" w:fill="auto"/>
        <w:tabs>
          <w:tab w:val="left" w:pos="1894"/>
        </w:tabs>
        <w:ind w:left="300"/>
        <w:jc w:val="both"/>
      </w:pPr>
      <w:bookmarkStart w:id="31" w:name="bookmark31"/>
      <w:r>
        <w:t>Limit plnění</w:t>
      </w:r>
      <w:r>
        <w:tab/>
        <w:t>Limit plnění pro</w:t>
      </w:r>
      <w:bookmarkEnd w:id="31"/>
    </w:p>
    <w:p w:rsidR="00DA03AA" w:rsidRDefault="005A1FC1">
      <w:pPr>
        <w:pStyle w:val="Zkladntext1"/>
        <w:framePr w:w="3197" w:h="442" w:wrap="none" w:vAnchor="text" w:hAnchor="page" w:x="7552" w:y="9049"/>
        <w:shd w:val="clear" w:color="auto" w:fill="auto"/>
      </w:pPr>
      <w:r>
        <w:rPr>
          <w:b/>
          <w:bCs/>
        </w:rPr>
        <w:t>pro jednu pojistnou jedno pojistné období</w:t>
      </w:r>
    </w:p>
    <w:p w:rsidR="00DA03AA" w:rsidRDefault="005A1FC1">
      <w:pPr>
        <w:pStyle w:val="Nadpis30"/>
        <w:keepNext/>
        <w:keepLines/>
        <w:framePr w:w="4934" w:h="2261" w:wrap="none" w:vAnchor="text" w:hAnchor="page" w:x="1893" w:y="9668"/>
        <w:shd w:val="clear" w:color="auto" w:fill="auto"/>
      </w:pPr>
      <w:bookmarkStart w:id="32" w:name="bookmark32"/>
      <w:r>
        <w:t>Pro pojistné nebezpečí:</w:t>
      </w:r>
      <w:bookmarkEnd w:id="32"/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Vichřice a krupobití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Povodeň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Zemětřesení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Výbuch sopky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Sesednutí, sesuv půdy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Lavina a působení tíhy sněhu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Působení vody z vodovodního zařízení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 xml:space="preserve">Voda unikající ze </w:t>
      </w:r>
      <w:proofErr w:type="spellStart"/>
      <w:r>
        <w:t>sprinklerových</w:t>
      </w:r>
      <w:proofErr w:type="spellEnd"/>
      <w:r>
        <w:t xml:space="preserve"> hasicích zařízení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Náraz vozidla, kouř a rázová vlna způsobená nadzvukovým letadlem</w:t>
      </w:r>
    </w:p>
    <w:p w:rsidR="00DA03AA" w:rsidRDefault="005A1FC1">
      <w:pPr>
        <w:pStyle w:val="Zkladntext1"/>
        <w:framePr w:w="4934" w:h="2261" w:wrap="none" w:vAnchor="text" w:hAnchor="page" w:x="1893" w:y="9668"/>
        <w:shd w:val="clear" w:color="auto" w:fill="auto"/>
        <w:ind w:left="240"/>
      </w:pPr>
      <w:r>
        <w:t>Pád stromů, stožárů a jiných předmětů ve smyslu doložky M-449</w:t>
      </w:r>
    </w:p>
    <w:p w:rsidR="00DA03AA" w:rsidRDefault="005A1FC1">
      <w:pPr>
        <w:pStyle w:val="Nadpis30"/>
        <w:keepNext/>
        <w:keepLines/>
        <w:framePr w:w="931" w:h="235" w:wrap="none" w:vAnchor="text" w:hAnchor="page" w:x="7811" w:y="9457"/>
        <w:shd w:val="clear" w:color="auto" w:fill="auto"/>
      </w:pPr>
      <w:bookmarkStart w:id="33" w:name="bookmark33"/>
      <w:r>
        <w:t>událost (Kč)</w:t>
      </w:r>
      <w:bookmarkEnd w:id="33"/>
    </w:p>
    <w:p w:rsidR="00DA03AA" w:rsidRDefault="005A1FC1">
      <w:pPr>
        <w:pStyle w:val="Zkladntext1"/>
        <w:framePr w:w="907" w:h="235" w:wrap="none" w:vAnchor="text" w:hAnchor="page" w:x="7561" w:y="9860"/>
        <w:shd w:val="clear" w:color="auto" w:fill="auto"/>
      </w:pPr>
      <w:r>
        <w:t>20 000 000,-</w:t>
      </w:r>
    </w:p>
    <w:p w:rsidR="00DA03AA" w:rsidRDefault="005A1FC1">
      <w:pPr>
        <w:pStyle w:val="Zkladntext1"/>
        <w:framePr w:w="912" w:h="1646" w:wrap="none" w:vAnchor="text" w:hAnchor="page" w:x="7561" w:y="10268"/>
        <w:shd w:val="clear" w:color="auto" w:fill="auto"/>
        <w:jc w:val="both"/>
      </w:pPr>
      <w:r>
        <w:t>20 000 000,- 20</w:t>
      </w:r>
      <w:r>
        <w:t xml:space="preserve"> 000 000,- 20 000 000,- 20 000 000,- 20 000 000,- 20 000 000,- 20 000 000,- 25 000 000,-</w:t>
      </w:r>
    </w:p>
    <w:p w:rsidR="00DA03AA" w:rsidRDefault="005A1FC1">
      <w:pPr>
        <w:pStyle w:val="Nadpis30"/>
        <w:keepNext/>
        <w:keepLines/>
        <w:framePr w:w="355" w:h="240" w:wrap="none" w:vAnchor="text" w:hAnchor="page" w:x="9861" w:y="9452"/>
        <w:shd w:val="clear" w:color="auto" w:fill="auto"/>
      </w:pPr>
      <w:bookmarkStart w:id="34" w:name="bookmark34"/>
      <w:r>
        <w:t>(Kč)</w:t>
      </w:r>
      <w:bookmarkEnd w:id="34"/>
    </w:p>
    <w:p w:rsidR="00DA03AA" w:rsidRDefault="005A1FC1">
      <w:pPr>
        <w:pStyle w:val="Zkladntext1"/>
        <w:framePr w:w="912" w:h="1848" w:wrap="none" w:vAnchor="text" w:hAnchor="page" w:x="9577" w:y="9860"/>
        <w:shd w:val="clear" w:color="auto" w:fill="auto"/>
        <w:jc w:val="both"/>
      </w:pPr>
      <w:r>
        <w:t>25 000 000,- 20 000 000,- 25 000 000,- 25 000 000,- 25 000 000,- 25 000 000,- 25 000 000,- 25 000 000,- 25 000 000,-</w:t>
      </w: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line="360" w:lineRule="exact"/>
      </w:pPr>
    </w:p>
    <w:p w:rsidR="00DA03AA" w:rsidRDefault="00DA03AA">
      <w:pPr>
        <w:spacing w:after="394" w:line="14" w:lineRule="exact"/>
      </w:pPr>
    </w:p>
    <w:p w:rsidR="00DA03AA" w:rsidRDefault="00DA03AA">
      <w:pPr>
        <w:spacing w:line="14" w:lineRule="exact"/>
        <w:sectPr w:rsidR="00DA03AA">
          <w:type w:val="continuous"/>
          <w:pgSz w:w="11900" w:h="16840"/>
          <w:pgMar w:top="1762" w:right="1152" w:bottom="1762" w:left="1584" w:header="0" w:footer="1334" w:gutter="0"/>
          <w:cols w:space="720"/>
          <w:noEndnote/>
          <w:docGrid w:linePitch="360"/>
        </w:sectPr>
      </w:pPr>
    </w:p>
    <w:p w:rsidR="00DA03AA" w:rsidRDefault="005A1FC1">
      <w:pPr>
        <w:pStyle w:val="Nadpis30"/>
        <w:keepNext/>
        <w:keepLines/>
        <w:shd w:val="clear" w:color="auto" w:fill="auto"/>
        <w:spacing w:after="200"/>
      </w:pPr>
      <w:bookmarkStart w:id="35" w:name="bookmark35"/>
      <w:r>
        <w:lastRenderedPageBreak/>
        <w:t>Sjednané spoluúčasti:</w:t>
      </w:r>
      <w:bookmarkEnd w:id="35"/>
    </w:p>
    <w:p w:rsidR="00DA03AA" w:rsidRDefault="005A1FC1">
      <w:pPr>
        <w:pStyle w:val="Nadpis30"/>
        <w:keepNext/>
        <w:keepLines/>
        <w:shd w:val="clear" w:color="auto" w:fill="auto"/>
        <w:tabs>
          <w:tab w:val="left" w:pos="7649"/>
        </w:tabs>
        <w:ind w:left="180"/>
        <w:jc w:val="both"/>
      </w:pPr>
      <w:bookmarkStart w:id="36" w:name="bookmark36"/>
      <w:r>
        <w:t>Pro všechna místa pojištění se sjednávají následující spoluúčasti:</w:t>
      </w:r>
      <w:r>
        <w:tab/>
        <w:t>Spoluúčast</w:t>
      </w:r>
      <w:bookmarkEnd w:id="36"/>
    </w:p>
    <w:p w:rsidR="00DA03AA" w:rsidRDefault="005A1FC1">
      <w:pPr>
        <w:pStyle w:val="Zkladntext1"/>
        <w:shd w:val="clear" w:color="auto" w:fill="auto"/>
        <w:jc w:val="right"/>
      </w:pPr>
      <w:r>
        <w:rPr>
          <w:b/>
          <w:bCs/>
        </w:rPr>
        <w:t>% z pojistného plnění min. Kč</w:t>
      </w:r>
    </w:p>
    <w:p w:rsidR="00DA03AA" w:rsidRDefault="005A1FC1">
      <w:pPr>
        <w:pStyle w:val="Zkladntext1"/>
        <w:shd w:val="clear" w:color="auto" w:fill="auto"/>
        <w:ind w:left="560"/>
      </w:pPr>
      <w:r>
        <w:rPr>
          <w:b/>
          <w:bCs/>
        </w:rPr>
        <w:t>Pro pojistné nebezpečí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Požár, úder blesku, výbuch a náraz nebo zřícení letadla</w:t>
      </w:r>
      <w:r>
        <w:tab/>
        <w:t>-</w:t>
      </w:r>
      <w:r>
        <w:tab/>
        <w:t>20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Vichřice a krupobití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Povodeň</w:t>
      </w:r>
      <w:r>
        <w:tab/>
        <w:t>5,0</w:t>
      </w:r>
      <w:r>
        <w:tab/>
        <w:t>20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Zemětřeseni</w:t>
      </w:r>
      <w:r>
        <w:tab/>
        <w:t>-</w:t>
      </w:r>
      <w:r>
        <w:tab/>
        <w:t>50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Výbuch sopky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Sesednutí, sesuv půdy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Lavina a působení tíhy sněhu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Působení vody z vodovodního zařízení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Voda unikající ze sprinkl</w:t>
      </w:r>
      <w:r>
        <w:t>erových hasicích zařízení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Krádež vloupáním včetně loupeže a vandalský čin po vloupání</w:t>
      </w:r>
      <w:r>
        <w:tab/>
        <w:t>-</w:t>
      </w:r>
      <w:r>
        <w:tab/>
        <w:t>5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</w:pPr>
      <w:r>
        <w:t>Náraz vozidla, kouř a rázová vlna způsobená nadzvukovým letadlem</w:t>
      </w:r>
      <w:r>
        <w:tab/>
        <w:t>-</w:t>
      </w:r>
      <w:r>
        <w:tab/>
        <w:t>10</w:t>
      </w:r>
      <w:r>
        <w:tab/>
        <w:t>000,-</w:t>
      </w:r>
    </w:p>
    <w:p w:rsidR="00DA03AA" w:rsidRDefault="005A1FC1">
      <w:pPr>
        <w:pStyle w:val="Obsah0"/>
        <w:shd w:val="clear" w:color="auto" w:fill="auto"/>
        <w:tabs>
          <w:tab w:val="right" w:pos="7142"/>
          <w:tab w:val="right" w:pos="8471"/>
          <w:tab w:val="right" w:pos="8831"/>
        </w:tabs>
        <w:spacing w:after="380"/>
      </w:pPr>
      <w:r>
        <w:t>Pád stromů, stožárů a jiných předmětů ve smyslu sjednané doložky M-449</w:t>
      </w:r>
      <w:r>
        <w:tab/>
        <w:t>-</w:t>
      </w:r>
      <w:r>
        <w:tab/>
      </w:r>
      <w:r>
        <w:t>10</w:t>
      </w:r>
      <w:r>
        <w:tab/>
        <w:t>000,-</w:t>
      </w:r>
      <w:r>
        <w:fldChar w:fldCharType="end"/>
      </w:r>
    </w:p>
    <w:p w:rsidR="00DA03AA" w:rsidRDefault="005A1FC1">
      <w:pPr>
        <w:pStyle w:val="Nadpis20"/>
        <w:keepNext/>
        <w:keepLines/>
        <w:shd w:val="clear" w:color="auto" w:fill="auto"/>
        <w:spacing w:after="200"/>
        <w:jc w:val="left"/>
      </w:pPr>
      <w:bookmarkStart w:id="37" w:name="bookmark37"/>
      <w:r>
        <w:t>Společná ustanovení</w:t>
      </w:r>
      <w:bookmarkEnd w:id="37"/>
    </w:p>
    <w:p w:rsidR="00DA03AA" w:rsidRDefault="005A1FC1">
      <w:pPr>
        <w:pStyle w:val="Nadpis30"/>
        <w:keepNext/>
        <w:keepLines/>
        <w:shd w:val="clear" w:color="auto" w:fill="auto"/>
      </w:pPr>
      <w:bookmarkStart w:id="38" w:name="bookmark38"/>
      <w:r>
        <w:t>Smluvní ujednání o výpovědi pojistné smlouvy ze strany pojistitele nebo pojistníka:</w:t>
      </w:r>
      <w:bookmarkEnd w:id="38"/>
    </w:p>
    <w:p w:rsidR="00DA03AA" w:rsidRDefault="005A1FC1">
      <w:pPr>
        <w:pStyle w:val="Zkladntext1"/>
        <w:shd w:val="clear" w:color="auto" w:fill="auto"/>
        <w:spacing w:after="560"/>
        <w:ind w:left="680" w:firstLine="20"/>
      </w:pPr>
      <w:r>
        <w:t>Smluvní strany se dohodly, že výpověď pojistné smlouvy musí být doručena alespoň 3 měsíce před uplynutím pojistného období, jinak je neplatn</w:t>
      </w:r>
      <w:r>
        <w:t>á. Pojistným obdobím je kalendářní rok.</w:t>
      </w:r>
    </w:p>
    <w:p w:rsidR="00DA03AA" w:rsidRDefault="005A1FC1">
      <w:pPr>
        <w:pStyle w:val="Nadpis20"/>
        <w:keepNext/>
        <w:keepLines/>
        <w:shd w:val="clear" w:color="auto" w:fill="auto"/>
        <w:spacing w:after="3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3267075</wp:posOffset>
                </wp:positionH>
                <wp:positionV relativeFrom="paragraph">
                  <wp:posOffset>12700</wp:posOffset>
                </wp:positionV>
                <wp:extent cx="731520" cy="17970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412 020,-Kč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57.25pt;margin-top:1.pt;width:57.600000000000001pt;height:14.1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412 020,-Kč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9" w:name="bookmark39"/>
      <w:r>
        <w:t>Roční pojistné:</w:t>
      </w:r>
      <w:bookmarkEnd w:id="39"/>
    </w:p>
    <w:p w:rsidR="00DA03AA" w:rsidRDefault="005A1FC1">
      <w:pPr>
        <w:pStyle w:val="Nadpis30"/>
        <w:keepNext/>
        <w:keepLines/>
        <w:shd w:val="clear" w:color="auto" w:fill="auto"/>
      </w:pPr>
      <w:bookmarkStart w:id="40" w:name="bookmark40"/>
      <w:r>
        <w:t>Splatnost pojistného:</w:t>
      </w:r>
      <w:bookmarkEnd w:id="40"/>
    </w:p>
    <w:p w:rsidR="00DA03AA" w:rsidRDefault="005A1FC1">
      <w:pPr>
        <w:pStyle w:val="Zkladntext1"/>
        <w:shd w:val="clear" w:color="auto" w:fill="auto"/>
        <w:ind w:left="680" w:firstLine="20"/>
      </w:pPr>
      <w:r>
        <w:t>Výše uvedené pojistné je splatné na účet:</w:t>
      </w:r>
    </w:p>
    <w:p w:rsidR="00DA03AA" w:rsidRDefault="005A1FC1">
      <w:pPr>
        <w:pStyle w:val="Zkladntext1"/>
        <w:shd w:val="clear" w:color="auto" w:fill="auto"/>
        <w:ind w:left="680" w:firstLine="20"/>
      </w:pPr>
      <w:r>
        <w:t xml:space="preserve">Allianz pojišťovna, a. s., Ke Štvanici 655/3,186 00 Praha 8, Česká republika </w:t>
      </w:r>
      <w:proofErr w:type="spellStart"/>
      <w:r>
        <w:t>UniCredit</w:t>
      </w:r>
      <w:proofErr w:type="spellEnd"/>
      <w:r>
        <w:t xml:space="preserve"> Bank Czech Republic, a.s., </w:t>
      </w:r>
      <w:r>
        <w:t>Želetavská 1525/1,140 92 Praha 4 - Michle číslo účtu: 2727/2700</w:t>
      </w:r>
    </w:p>
    <w:p w:rsidR="00DA03AA" w:rsidRDefault="005A1FC1">
      <w:pPr>
        <w:pStyle w:val="Zkladntext1"/>
        <w:shd w:val="clear" w:color="auto" w:fill="auto"/>
        <w:spacing w:line="480" w:lineRule="auto"/>
        <w:ind w:left="680" w:firstLine="20"/>
      </w:pPr>
      <w:r>
        <w:t xml:space="preserve">konstantní symbol 3558, variabilní symbol: 550003960,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BACXCZPP ve dvou lhůtních splátkách:</w:t>
      </w:r>
    </w:p>
    <w:p w:rsidR="00DA03AA" w:rsidRDefault="005A1FC1">
      <w:pPr>
        <w:pStyle w:val="Zkladntext1"/>
        <w:numPr>
          <w:ilvl w:val="0"/>
          <w:numId w:val="1"/>
        </w:numPr>
        <w:shd w:val="clear" w:color="auto" w:fill="auto"/>
        <w:tabs>
          <w:tab w:val="left" w:pos="1001"/>
          <w:tab w:val="left" w:pos="1679"/>
          <w:tab w:val="left" w:pos="3335"/>
        </w:tabs>
        <w:ind w:left="680" w:firstLine="20"/>
      </w:pPr>
      <w:r>
        <w:t>splátka</w:t>
      </w:r>
      <w:r>
        <w:tab/>
        <w:t>Kč 206 010,-</w:t>
      </w:r>
      <w:r>
        <w:tab/>
        <w:t xml:space="preserve">splatná k </w:t>
      </w:r>
      <w:proofErr w:type="gramStart"/>
      <w:r>
        <w:t>15.07.2024</w:t>
      </w:r>
      <w:proofErr w:type="gramEnd"/>
    </w:p>
    <w:p w:rsidR="00DA03AA" w:rsidRDefault="005A1FC1">
      <w:pPr>
        <w:pStyle w:val="Zkladntext1"/>
        <w:numPr>
          <w:ilvl w:val="0"/>
          <w:numId w:val="1"/>
        </w:numPr>
        <w:shd w:val="clear" w:color="auto" w:fill="auto"/>
        <w:tabs>
          <w:tab w:val="left" w:pos="1010"/>
          <w:tab w:val="left" w:pos="1679"/>
          <w:tab w:val="left" w:pos="3335"/>
        </w:tabs>
        <w:spacing w:after="200"/>
        <w:ind w:left="680" w:firstLine="20"/>
      </w:pPr>
      <w:r>
        <w:t>splátka</w:t>
      </w:r>
      <w:r>
        <w:tab/>
        <w:t>Kč 206 010,-</w:t>
      </w:r>
      <w:r>
        <w:tab/>
        <w:t xml:space="preserve">splatná k </w:t>
      </w:r>
      <w:proofErr w:type="gramStart"/>
      <w:r>
        <w:t>15.01.2025</w:t>
      </w:r>
      <w:proofErr w:type="gramEnd"/>
    </w:p>
    <w:p w:rsidR="00DA03AA" w:rsidRDefault="005A1FC1">
      <w:pPr>
        <w:pStyle w:val="Zkladntext1"/>
        <w:shd w:val="clear" w:color="auto" w:fill="auto"/>
      </w:pPr>
      <w:r>
        <w:rPr>
          <w:b/>
          <w:bCs/>
        </w:rPr>
        <w:t>Přílo</w:t>
      </w:r>
      <w:r>
        <w:rPr>
          <w:b/>
          <w:bCs/>
        </w:rPr>
        <w:t xml:space="preserve">ha: </w:t>
      </w:r>
      <w:r>
        <w:t>- sjednané doložky a smluvní ujednání dle textu;</w:t>
      </w:r>
    </w:p>
    <w:p w:rsidR="00DA03AA" w:rsidRDefault="005A1FC1">
      <w:pPr>
        <w:pStyle w:val="Zkladntext1"/>
        <w:shd w:val="clear" w:color="auto" w:fill="auto"/>
        <w:spacing w:after="200"/>
        <w:ind w:left="680" w:firstLine="20"/>
      </w:pPr>
      <w:r>
        <w:t>- příloha č. 1 - adresy míst pojištění a pojistné částky</w:t>
      </w:r>
    </w:p>
    <w:p w:rsidR="00DA03AA" w:rsidRDefault="005A1FC1">
      <w:pPr>
        <w:pStyle w:val="Nadpis30"/>
        <w:keepNext/>
        <w:keepLines/>
        <w:shd w:val="clear" w:color="auto" w:fill="auto"/>
      </w:pPr>
      <w:bookmarkStart w:id="41" w:name="bookmark41"/>
      <w:r>
        <w:t>Závěrečné prohlášení:</w:t>
      </w:r>
      <w:bookmarkEnd w:id="41"/>
    </w:p>
    <w:p w:rsidR="00DA03AA" w:rsidRDefault="005A1FC1">
      <w:pPr>
        <w:pStyle w:val="Zkladntext1"/>
        <w:shd w:val="clear" w:color="auto" w:fill="auto"/>
        <w:spacing w:after="200"/>
        <w:ind w:left="680" w:firstLine="20"/>
      </w:pPr>
      <w:r>
        <w:t xml:space="preserve">Pojistník podpisem potvrzuje, že šije vědom specifického způsobu sjednání pojištění prostřednictvím na pojistiteli </w:t>
      </w:r>
      <w:r>
        <w:t>nezávislého poradce (pojišťovací makléř), a prohlašuje, že mu byl obsah pojištění makléřem vysvětlen, popřípadě že ho makléř upozornil na odchylky nabízeného pojištění a jeho požadavků. Podpisem smlouvy pojistník stvrzuje, že sjednané pojištění odpovídá je</w:t>
      </w:r>
      <w:r>
        <w:t>ho potřebám a požadavkům, případně že s tímto pojištěním na základě doporučení pojišťovacího makléře souhlasí, ač byl upozorněn na odchylky oproti svým požadavkům.</w:t>
      </w:r>
    </w:p>
    <w:p w:rsidR="00DA03AA" w:rsidRDefault="005A1FC1">
      <w:pPr>
        <w:pStyle w:val="Zkladntext1"/>
        <w:shd w:val="clear" w:color="auto" w:fill="auto"/>
      </w:pPr>
      <w:r>
        <w:t xml:space="preserve">V Praze dne </w:t>
      </w:r>
      <w:proofErr w:type="gramStart"/>
      <w:r>
        <w:t>20.06.2024</w:t>
      </w:r>
      <w:proofErr w:type="gramEnd"/>
    </w:p>
    <w:p w:rsidR="00DA03AA" w:rsidRDefault="005A1FC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9700" distB="0" distL="114300" distR="4128770" simplePos="0" relativeHeight="125829384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139700</wp:posOffset>
                </wp:positionV>
                <wp:extent cx="1499870" cy="63373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tabs>
                                <w:tab w:val="left" w:pos="1171"/>
                              </w:tabs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</w:rPr>
                              <w:t>Digitálně podepsal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tabs>
                                <w:tab w:val="left" w:pos="1171"/>
                              </w:tabs>
                              <w:spacing w:line="194" w:lineRule="auto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</w:rPr>
                              <w:t>RNDr. Mikuláš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199" w:lineRule="auto"/>
                              <w:ind w:left="12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</w:rPr>
                              <w:t>Madaras, Ph.D.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tabs>
                                <w:tab w:val="left" w:pos="1176"/>
                              </w:tabs>
                              <w:spacing w:line="180" w:lineRule="auto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</w:rPr>
                              <w:t>Datum: 2024.06.28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tabs>
                                <w:tab w:val="left" w:pos="1171"/>
                              </w:tabs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13"/>
                                <w:szCs w:val="13"/>
                              </w:rPr>
                              <w:tab/>
                              <w:t>08:47:34+02'00'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9" type="#_x0000_t202" style="position:absolute;margin-left:143.95pt;margin-top:11pt;width:118.1pt;height:49.9pt;z-index:125829384;visibility:visible;mso-wrap-style:square;mso-wrap-distance-left:9pt;mso-wrap-distance-top:11pt;mso-wrap-distance-right:325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OhQEAAAUDAAAOAAAAZHJzL2Uyb0RvYy54bWysUstqwzAQvBf6D0L3xk5S8j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" filled="f" stroked="f">
                <v:textbox inset="0,0,0,0">
                  <w:txbxContent>
                    <w:p w:rsidR="00DA03AA" w:rsidRDefault="005A1FC1">
                      <w:pPr>
                        <w:pStyle w:val="Jin0"/>
                        <w:shd w:val="clear" w:color="auto" w:fill="auto"/>
                        <w:tabs>
                          <w:tab w:val="left" w:pos="1171"/>
                        </w:tabs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Segoe UI" w:eastAsia="Segoe UI" w:hAnsi="Segoe UI" w:cs="Segoe UI"/>
                          <w:sz w:val="13"/>
                          <w:szCs w:val="13"/>
                        </w:rPr>
                        <w:t>Digitálně podepsal</w:t>
                      </w:r>
                    </w:p>
                    <w:p w:rsidR="00DA03AA" w:rsidRDefault="005A1FC1">
                      <w:pPr>
                        <w:pStyle w:val="Jin0"/>
                        <w:shd w:val="clear" w:color="auto" w:fill="auto"/>
                        <w:tabs>
                          <w:tab w:val="left" w:pos="1171"/>
                        </w:tabs>
                        <w:spacing w:line="194" w:lineRule="auto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Segoe UI" w:eastAsia="Segoe UI" w:hAnsi="Segoe UI" w:cs="Segoe UI"/>
                          <w:sz w:val="13"/>
                          <w:szCs w:val="13"/>
                        </w:rPr>
                        <w:t>RNDr. Mikuláš</w:t>
                      </w:r>
                    </w:p>
                    <w:p w:rsidR="00DA03AA" w:rsidRDefault="005A1FC1">
                      <w:pPr>
                        <w:pStyle w:val="Jin0"/>
                        <w:shd w:val="clear" w:color="auto" w:fill="auto"/>
                        <w:spacing w:line="199" w:lineRule="auto"/>
                        <w:ind w:left="120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3"/>
                          <w:szCs w:val="13"/>
                        </w:rPr>
                        <w:t>Madaras, Ph.D.</w:t>
                      </w:r>
                    </w:p>
                    <w:p w:rsidR="00DA03AA" w:rsidRDefault="005A1FC1">
                      <w:pPr>
                        <w:pStyle w:val="Jin0"/>
                        <w:shd w:val="clear" w:color="auto" w:fill="auto"/>
                        <w:tabs>
                          <w:tab w:val="left" w:pos="1176"/>
                        </w:tabs>
                        <w:spacing w:line="180" w:lineRule="auto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Segoe UI" w:eastAsia="Segoe UI" w:hAnsi="Segoe UI" w:cs="Segoe UI"/>
                          <w:sz w:val="13"/>
                          <w:szCs w:val="13"/>
                        </w:rPr>
                        <w:t>Datum: 2024.06.28</w:t>
                      </w:r>
                    </w:p>
                    <w:p w:rsidR="00DA03AA" w:rsidRDefault="005A1FC1">
                      <w:pPr>
                        <w:pStyle w:val="Jin0"/>
                        <w:shd w:val="clear" w:color="auto" w:fill="auto"/>
                        <w:tabs>
                          <w:tab w:val="left" w:pos="1171"/>
                        </w:tabs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13"/>
                          <w:szCs w:val="13"/>
                        </w:rPr>
                        <w:tab/>
                        <w:t>08:47:34+02'00'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5750" distB="43180" distL="3104515" distR="1921510" simplePos="0" relativeHeight="125829386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ragraph">
                  <wp:posOffset>285750</wp:posOffset>
                </wp:positionV>
                <wp:extent cx="716280" cy="43561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ind w:left="600"/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>Digitálnr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 xml:space="preserve"> podepsal Ing. Pavlína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206" w:lineRule="auto"/>
                              <w:ind w:left="600" w:hanging="60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12477D"/>
                                <w:sz w:val="13"/>
                                <w:szCs w:val="13"/>
                              </w:rPr>
                              <w:t xml:space="preserve">Allianz </w:t>
                            </w:r>
                            <w:proofErr w:type="spellStart"/>
                            <w:r>
                              <w:rPr>
                                <w:color w:val="12477D"/>
                                <w:sz w:val="13"/>
                                <w:szCs w:val="13"/>
                              </w:rPr>
                              <w:t>tlil</w:t>
                            </w:r>
                            <w:proofErr w:type="spellEnd"/>
                            <w:r>
                              <w:rPr>
                                <w:color w:val="12477D"/>
                                <w:sz w:val="13"/>
                                <w:szCs w:val="13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>Milichovská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  <w:t xml:space="preserve"> Datum 2024 06 20 12:27:46 (02 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79.39999999999998pt;margin-top:22.5pt;width:56.399999999999999pt;height:34.299999999999997pt;z-index:-125829367;mso-wrap-distance-left:244.44999999999999pt;mso-wrap-distance-top:22.5pt;mso-wrap-distance-right:151.30000000000001pt;mso-wrap-distance-bottom:3.39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60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Digitálnr podepsal Ing. Pavlína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600" w:right="0" w:hanging="60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12477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Allianz tlil)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Milichovská Datum 2024 06 20 12:27:46 (02 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6710" distB="27940" distL="4237990" distR="114300" simplePos="0" relativeHeight="125829388" behindDoc="0" locked="0" layoutInCell="1" allowOverlap="1">
                <wp:simplePos x="0" y="0"/>
                <wp:positionH relativeFrom="page">
                  <wp:posOffset>5951855</wp:posOffset>
                </wp:positionH>
                <wp:positionV relativeFrom="paragraph">
                  <wp:posOffset>346710</wp:posOffset>
                </wp:positionV>
                <wp:extent cx="1390015" cy="3898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298" w:lineRule="auto"/>
                              <w:ind w:left="840" w:firstLine="30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Digitálně podepsal </w:t>
                            </w:r>
                            <w:r>
                              <w:rPr>
                                <w:rFonts w:ascii="Arial" w:eastAsia="Arial" w:hAnsi="Arial" w:cs="Arial"/>
                                <w:color w:val="12477D"/>
                                <w:sz w:val="11"/>
                                <w:szCs w:val="11"/>
                              </w:rPr>
                              <w:t xml:space="preserve">Z?7\Mgr.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Jana Bublíková</w:t>
                            </w:r>
                          </w:p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211" w:lineRule="auto"/>
                              <w:ind w:left="1140" w:hanging="1140"/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2477D"/>
                                <w:sz w:val="20"/>
                                <w:szCs w:val="20"/>
                              </w:rPr>
                              <w:t>AllianZ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2477D"/>
                                <w:sz w:val="20"/>
                                <w:szCs w:val="20"/>
                              </w:rPr>
                              <w:t xml:space="preserve"> (lil)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Datum:2024.06.20 13:37:30 +02'00‘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68.64999999999998pt;margin-top:27.300000000000001pt;width:109.45pt;height:30.699999999999999pt;z-index:-125829365;mso-wrap-distance-left:333.69999999999999pt;mso-wrap-distance-top:27.300000000000001pt;mso-wrap-distance-right:9.pt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840" w:right="0" w:firstLine="30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Digitálně podepsal </w:t>
                      </w:r>
                      <w:r>
                        <w:rPr>
                          <w:rFonts w:ascii="Arial" w:eastAsia="Arial" w:hAnsi="Arial" w:cs="Arial"/>
                          <w:color w:val="12477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Z?7\Mgr.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Jana Bublíková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1140" w:right="0" w:hanging="114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12477D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AllianZ (lil)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Datum:2024.06.20 13:37:30 +02'00‘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3AA" w:rsidRDefault="005A1FC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985" distB="0" distL="114300" distR="2988310" simplePos="0" relativeHeight="125829390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15875</wp:posOffset>
                </wp:positionV>
                <wp:extent cx="399415" cy="1524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pojistník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50.19999999999999pt;margin-top:1.25pt;width:31.449999999999999pt;height:12.pt;z-index:-125829363;mso-wrap-distance-left:9.pt;mso-wrap-distance-top:0.55000000000000004pt;mso-wrap-distance-right:235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" distB="0" distL="2991485" distR="114300" simplePos="0" relativeHeight="125829392" behindDoc="0" locked="0" layoutInCell="1" allowOverlap="1">
                <wp:simplePos x="0" y="0"/>
                <wp:positionH relativeFrom="page">
                  <wp:posOffset>4784725</wp:posOffset>
                </wp:positionH>
                <wp:positionV relativeFrom="paragraph">
                  <wp:posOffset>12700</wp:posOffset>
                </wp:positionV>
                <wp:extent cx="396240" cy="14922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pojistitel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76.75pt;margin-top:1.pt;width:31.199999999999999pt;height:11.75pt;z-index:-125829361;mso-wrap-distance-left:235.55000000000001pt;mso-wrap-distance-top:0.299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  <w:bookmarkStart w:id="42" w:name="_GoBack"/>
      <w:bookmarkEnd w:id="42"/>
    </w:p>
    <w:p w:rsidR="00DA03AA" w:rsidRDefault="005A1FC1">
      <w:pPr>
        <w:pStyle w:val="Nadpis10"/>
        <w:keepNext/>
        <w:keepLines/>
        <w:shd w:val="clear" w:color="auto" w:fill="auto"/>
        <w:spacing w:after="280"/>
        <w:ind w:left="4020"/>
      </w:pPr>
      <w:bookmarkStart w:id="43" w:name="bookmark42"/>
      <w:r>
        <w:lastRenderedPageBreak/>
        <w:t>Rozpis pojistného</w:t>
      </w:r>
      <w:bookmarkEnd w:id="43"/>
    </w:p>
    <w:p w:rsidR="00DA03AA" w:rsidRDefault="005A1FC1">
      <w:pPr>
        <w:pStyle w:val="Jin0"/>
        <w:shd w:val="clear" w:color="auto" w:fill="auto"/>
        <w:spacing w:after="400"/>
        <w:ind w:left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6186805</wp:posOffset>
                </wp:positionH>
                <wp:positionV relativeFrom="paragraph">
                  <wp:posOffset>12700</wp:posOffset>
                </wp:positionV>
                <wp:extent cx="795655" cy="28321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spacing w:line="324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Roční pojistné (Kč)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br/>
                              <w:t>549 360,00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87.14999999999998pt;margin-top:1.pt;width:62.649999999999999pt;height:22.300000000000001pt;z-index:-12582935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Roční pojistné (Kč)</w:t>
                        <w:br/>
                        <w:t>549 360,00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</w:rPr>
        <w:t>Pojištění pro případ poškození věci a jiného majetku</w:t>
      </w:r>
    </w:p>
    <w:p w:rsidR="00DA03AA" w:rsidRDefault="005A1FC1">
      <w:pPr>
        <w:pStyle w:val="Jin0"/>
        <w:shd w:val="clear" w:color="auto" w:fill="auto"/>
        <w:tabs>
          <w:tab w:val="left" w:pos="5486"/>
        </w:tabs>
        <w:ind w:left="2680"/>
        <w:jc w:val="both"/>
        <w:rPr>
          <w:sz w:val="20"/>
          <w:szCs w:val="20"/>
        </w:rPr>
      </w:pPr>
      <w:r>
        <w:rPr>
          <w:sz w:val="20"/>
          <w:szCs w:val="20"/>
        </w:rPr>
        <w:t>sleva za škodní průběh</w:t>
      </w:r>
      <w:r>
        <w:rPr>
          <w:sz w:val="20"/>
          <w:szCs w:val="20"/>
        </w:rPr>
        <w:tab/>
        <w:t>20%</w:t>
      </w:r>
    </w:p>
    <w:p w:rsidR="00DA03AA" w:rsidRDefault="005A1FC1">
      <w:pPr>
        <w:pStyle w:val="Jin0"/>
        <w:shd w:val="clear" w:color="auto" w:fill="auto"/>
        <w:tabs>
          <w:tab w:val="left" w:leader="dot" w:pos="5486"/>
        </w:tabs>
        <w:spacing w:after="40"/>
        <w:ind w:left="2680"/>
        <w:jc w:val="both"/>
        <w:rPr>
          <w:sz w:val="20"/>
          <w:szCs w:val="20"/>
        </w:rPr>
      </w:pPr>
      <w:r>
        <w:rPr>
          <w:sz w:val="20"/>
          <w:szCs w:val="20"/>
        </w:rPr>
        <w:t>obchodní sleva</w:t>
      </w:r>
      <w:r>
        <w:rPr>
          <w:sz w:val="20"/>
          <w:szCs w:val="20"/>
        </w:rPr>
        <w:tab/>
        <w:t>5%</w:t>
      </w:r>
    </w:p>
    <w:p w:rsidR="00DA03AA" w:rsidRDefault="005A1FC1">
      <w:pPr>
        <w:pStyle w:val="Jin0"/>
        <w:shd w:val="clear" w:color="auto" w:fill="auto"/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Roční pojistné celkem 412 020,- Kč</w:t>
      </w:r>
      <w:r>
        <w:br w:type="page"/>
      </w:r>
    </w:p>
    <w:p w:rsidR="00DA03AA" w:rsidRDefault="005A1FC1">
      <w:pPr>
        <w:pStyle w:val="Nadpis20"/>
        <w:keepNext/>
        <w:keepLines/>
        <w:shd w:val="clear" w:color="auto" w:fill="auto"/>
        <w:spacing w:after="320"/>
        <w:jc w:val="left"/>
      </w:pPr>
      <w:bookmarkStart w:id="44" w:name="bookmark43"/>
      <w:r>
        <w:lastRenderedPageBreak/>
        <w:t>Příloha č. 1 — adresy míst pojištění a pojistné částky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2832"/>
      </w:tblGrid>
      <w:tr w:rsidR="00DA03AA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MÍSTO POJIŠTĚNÍ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PČ s navýšením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Praha 6 - Ruzyně, Drnovská 507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588 982 800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Praha 6 - Ruzyně, Drnovská 508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19 200 000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Praha 6 - Ruzyně, Drnovská 524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5 400 000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Praha 6 - Ruzyně, Sobínská 725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55 800 000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Hněvčeves 13, Nechanice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8 520 000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Pernolec 37, </w:t>
            </w:r>
            <w:r>
              <w:t>Staré Sedliště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4 854 000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Ivanovice na Hané, Husova 750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13 152 000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Čáslav, Sadová 1234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282 000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Liberec 11, Rolnická 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22 800 000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Hrabětice 1530, Janov nad Nisou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3 954 000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Jevíčko, </w:t>
            </w:r>
            <w:proofErr w:type="gramStart"/>
            <w:r>
              <w:t>K.H.</w:t>
            </w:r>
            <w:proofErr w:type="gramEnd"/>
            <w:r>
              <w:t xml:space="preserve"> Borovského 461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13 800 000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Chomutov Nové Spořiče, Černovická 4987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37 646 400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r>
              <w:t>Budňany</w:t>
            </w:r>
            <w:proofErr w:type="spellEnd"/>
            <w:r>
              <w:t xml:space="preserve"> 98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22 800 000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r>
              <w:t>Budňany</w:t>
            </w:r>
            <w:proofErr w:type="spellEnd"/>
            <w:r>
              <w:t xml:space="preserve"> 98 (dvougaráž, sklad, kolna)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744 000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r>
              <w:t>Budňany</w:t>
            </w:r>
            <w:proofErr w:type="spellEnd"/>
            <w:r>
              <w:t xml:space="preserve"> 26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11 400 000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r>
              <w:t>Budňany</w:t>
            </w:r>
            <w:proofErr w:type="spellEnd"/>
            <w:r>
              <w:t xml:space="preserve"> 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7 680 000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Humpolec, </w:t>
            </w:r>
            <w:proofErr w:type="gramStart"/>
            <w:r>
              <w:t>Na Závodí</w:t>
            </w:r>
            <w:proofErr w:type="gramEnd"/>
            <w:r>
              <w:t xml:space="preserve"> 173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7 440 000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Olomouc - Holice, Šlechtitelů 892/29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46 826 472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Olomouc - Holice, Šlechtitelů 892/29 (garáž, hala)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18 540 000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proofErr w:type="gramStart"/>
            <w:r>
              <w:t>k.ú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Budňany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139/2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540 000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nemovitosti celkem: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890 361 672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Praha 6 - Ruzyně, Drnovská 507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42 218 400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Liberec 11, Rolnická 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1 440 000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 xml:space="preserve">Karlštejn, </w:t>
            </w:r>
            <w:proofErr w:type="spellStart"/>
            <w:r>
              <w:t>Budňany</w:t>
            </w:r>
            <w:proofErr w:type="spellEnd"/>
            <w:r>
              <w:t xml:space="preserve"> 98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144 000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Slaný, Politických vězňů 1346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817 841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Olomouc - Holice, Šlechtitelů 892/29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10 960 968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skleníky celkem: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55 581 209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Olomouc - Holice, Šlechtitelů 892/29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134 326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informační panel před budovou celkem: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1280"/>
              <w:jc w:val="right"/>
            </w:pPr>
            <w:r>
              <w:rPr>
                <w:b/>
                <w:bCs/>
              </w:rPr>
              <w:t>134 326</w:t>
            </w:r>
          </w:p>
        </w:tc>
      </w:tr>
    </w:tbl>
    <w:p w:rsidR="00DA03AA" w:rsidRDefault="00DA03AA">
      <w:pPr>
        <w:spacing w:line="14" w:lineRule="exact"/>
        <w:sectPr w:rsidR="00DA03AA">
          <w:headerReference w:type="even" r:id="rId14"/>
          <w:headerReference w:type="default" r:id="rId15"/>
          <w:headerReference w:type="first" r:id="rId16"/>
          <w:pgSz w:w="11900" w:h="16840"/>
          <w:pgMar w:top="2055" w:right="1230" w:bottom="2665" w:left="1746" w:header="0" w:footer="3" w:gutter="0"/>
          <w:cols w:space="720"/>
          <w:noEndnote/>
          <w:titlePg/>
          <w:docGrid w:linePitch="360"/>
        </w:sectPr>
      </w:pPr>
    </w:p>
    <w:p w:rsidR="00DA03AA" w:rsidRDefault="005A1FC1">
      <w:pPr>
        <w:pStyle w:val="Nadpis20"/>
        <w:keepNext/>
        <w:keepLines/>
        <w:shd w:val="clear" w:color="auto" w:fill="auto"/>
        <w:spacing w:after="280"/>
        <w:ind w:left="700" w:hanging="3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12700</wp:posOffset>
                </wp:positionV>
                <wp:extent cx="905510" cy="179705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Doložka M-420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12.59999999999999pt;margin-top:1.pt;width:71.299999999999997pt;height:14.15pt;z-index:-12582935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Doložka M-420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5" w:name="bookmark44"/>
      <w:r>
        <w:t>Jedna pojistná událost - 72 hodin</w:t>
      </w:r>
      <w:bookmarkEnd w:id="45"/>
    </w:p>
    <w:p w:rsidR="00DA03AA" w:rsidRDefault="005A1FC1">
      <w:pPr>
        <w:pStyle w:val="Zkladntext1"/>
        <w:shd w:val="clear" w:color="auto" w:fill="auto"/>
        <w:ind w:left="700" w:hanging="340"/>
      </w:pPr>
      <w:r>
        <w:t>V případě, že dojde v průběhu trvání pojistné smlouvy k pojistné události způsobené následkem: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vichřice a krupobití;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povodně;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zemětřesení;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výbuchu sopky;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sesednutí, sesuvu půdy;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laviny a působení tíhy sněhu;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působení vody z vodovodního zařízení;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 xml:space="preserve">úniku vody ze </w:t>
      </w:r>
      <w:proofErr w:type="spellStart"/>
      <w:r>
        <w:t>sprinklerových</w:t>
      </w:r>
      <w:proofErr w:type="spellEnd"/>
      <w:r>
        <w:t xml:space="preserve"> hasicích zařízení;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nárazu vozidla, kouře a rázové vlny způsobené nadzvukovým letadlem;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 xml:space="preserve">zlovolného </w:t>
      </w:r>
      <w:r>
        <w:t>poškození;</w:t>
      </w:r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r>
        <w:t>krádež vloupáním, včetně loupeže</w:t>
      </w:r>
    </w:p>
    <w:p w:rsidR="00DA03AA" w:rsidRDefault="005A1FC1">
      <w:pPr>
        <w:pStyle w:val="Zkladntext1"/>
        <w:shd w:val="clear" w:color="auto" w:fill="auto"/>
        <w:spacing w:after="200"/>
        <w:ind w:left="340" w:firstLine="20"/>
      </w:pPr>
      <w:r>
        <w:t xml:space="preserve">budou za jednu pojistnou událost považovány všechny škodní události, resp. série </w:t>
      </w:r>
      <w:proofErr w:type="spellStart"/>
      <w:r>
        <w:t>škodních</w:t>
      </w:r>
      <w:proofErr w:type="spellEnd"/>
      <w:r>
        <w:t xml:space="preserve"> událostí, vzniklé v důsledku jedné příčiny během 72 hodin, které jsou kryty sjednaným pojištěním. Za počátek časové lhůty </w:t>
      </w:r>
      <w:r>
        <w:t>72 hodin je považován okamžik, kdy došlo k prvnímu poškození pojištěného majetku ve smyslu sjednaného pojištění.</w:t>
      </w:r>
    </w:p>
    <w:p w:rsidR="00DA03AA" w:rsidRDefault="005A1FC1">
      <w:pPr>
        <w:pStyle w:val="Zkladntext1"/>
        <w:shd w:val="clear" w:color="auto" w:fill="auto"/>
        <w:spacing w:after="620"/>
        <w:ind w:left="340" w:firstLine="20"/>
      </w:pPr>
      <w:r>
        <w:t>Za škodní událost nebudou považovány pojistné události vzniklé před datem (časem) počátku pojištění, resp. po datu (čase) zániku pojištění.</w:t>
      </w:r>
    </w:p>
    <w:p w:rsidR="00DA03AA" w:rsidRDefault="005A1FC1">
      <w:pPr>
        <w:pStyle w:val="Nadpis20"/>
        <w:keepNext/>
        <w:keepLines/>
        <w:shd w:val="clear" w:color="auto" w:fill="auto"/>
        <w:spacing w:after="280"/>
      </w:pPr>
      <w:bookmarkStart w:id="46" w:name="bookmark45"/>
      <w:r>
        <w:t>Dol</w:t>
      </w:r>
      <w:r>
        <w:t>ožka M-449 Pojištění škod způsobených pádem stromů, stožárů a jiných předmětů</w:t>
      </w:r>
      <w:bookmarkEnd w:id="46"/>
    </w:p>
    <w:p w:rsidR="00DA03AA" w:rsidRDefault="005A1FC1">
      <w:pPr>
        <w:pStyle w:val="Zkladntext1"/>
        <w:shd w:val="clear" w:color="auto" w:fill="auto"/>
        <w:spacing w:after="200"/>
        <w:jc w:val="both"/>
      </w:pPr>
      <w:r>
        <w:t>Odchylně od Všeobecných pojistných podmínek Pojištění průmyslu - pojištění věci a jiného majetku se touto doložkou, která je nedílnou součástí pojistné smlouvy, ujednává, že:</w:t>
      </w:r>
    </w:p>
    <w:p w:rsidR="00DA03AA" w:rsidRDefault="005A1FC1">
      <w:pPr>
        <w:pStyle w:val="Zkladntext1"/>
        <w:shd w:val="clear" w:color="auto" w:fill="auto"/>
        <w:spacing w:after="200"/>
        <w:jc w:val="both"/>
      </w:pPr>
      <w:r>
        <w:t>Poj</w:t>
      </w:r>
      <w:r>
        <w:t>istitel poskytne pojistné plnění (maximálně však do výše sjednaného limitu pojistného plnění) i za škody způsobené pádem stromů, stožárů a jiných předmětů. Toto pojištění se však vztahuje pouze na ty předměty pojištění, pro které je pojištění tohoto pojist</w:t>
      </w:r>
      <w:r>
        <w:t>ného nebezpečí v pojistné smlouvě sjednáno. Pádem stromů, stožárů a jiných předmětů se pro účely pojištění rozumí pohyb tělesa, který má znaky volného pádu.</w:t>
      </w:r>
    </w:p>
    <w:p w:rsidR="00DA03AA" w:rsidRDefault="005A1FC1">
      <w:pPr>
        <w:pStyle w:val="Zkladntext1"/>
        <w:shd w:val="clear" w:color="auto" w:fill="auto"/>
        <w:spacing w:after="960"/>
        <w:jc w:val="both"/>
      </w:pPr>
      <w:r>
        <w:t>Maximální limit pojistného plnění: 25 000 000,- Kč pro každou pojistnou událost.</w:t>
      </w:r>
    </w:p>
    <w:p w:rsidR="00DA03AA" w:rsidRDefault="005A1FC1">
      <w:pPr>
        <w:pStyle w:val="Nadpis20"/>
        <w:keepNext/>
        <w:keepLines/>
        <w:shd w:val="clear" w:color="auto" w:fill="auto"/>
        <w:spacing w:after="280"/>
        <w:ind w:left="700" w:hanging="3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12700</wp:posOffset>
                </wp:positionV>
                <wp:extent cx="905510" cy="17970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Doložka M-490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112.09999999999999pt;margin-top:1.pt;width:71.299999999999997pt;height:14.15pt;z-index:-12582935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Doložka M-490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7" w:name="bookmark46"/>
      <w:r>
        <w:t>Výluka kontaminace a infekčních chorob</w:t>
      </w:r>
      <w:bookmarkEnd w:id="47"/>
    </w:p>
    <w:p w:rsidR="00DA03AA" w:rsidRDefault="005A1FC1">
      <w:pPr>
        <w:pStyle w:val="Zkladntext1"/>
        <w:shd w:val="clear" w:color="auto" w:fill="auto"/>
        <w:spacing w:after="200"/>
        <w:jc w:val="both"/>
      </w:pPr>
      <w:r>
        <w:t>Tímto ujednáním se článek VPP upravující obecné výluky z pojištění doplňuje následovně:</w:t>
      </w:r>
    </w:p>
    <w:p w:rsidR="00DA03AA" w:rsidRDefault="005A1FC1">
      <w:pPr>
        <w:pStyle w:val="Nadpis30"/>
        <w:keepNext/>
        <w:keepLines/>
        <w:shd w:val="clear" w:color="auto" w:fill="auto"/>
        <w:jc w:val="both"/>
      </w:pPr>
      <w:bookmarkStart w:id="48" w:name="bookmark47"/>
      <w:r>
        <w:t>Pojištění se nevztahuje na škody či odpovědnost za škodu, která byla přímo či nepřímo zvýšena nebo způsobena;</w:t>
      </w:r>
      <w:bookmarkEnd w:id="48"/>
    </w:p>
    <w:p w:rsidR="00DA03AA" w:rsidRDefault="005A1FC1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spacing w:after="200"/>
        <w:ind w:left="700" w:hanging="340"/>
      </w:pPr>
      <w:r>
        <w:rPr>
          <w:b/>
          <w:bCs/>
        </w:rPr>
        <w:t>kontaminací a zneči</w:t>
      </w:r>
      <w:r>
        <w:rPr>
          <w:b/>
          <w:bCs/>
        </w:rPr>
        <w:t xml:space="preserve">štěním. </w:t>
      </w:r>
      <w:r>
        <w:t>Kontaminací a znečištěním se mimo případy uvedené ve VPP rozumí i napadení plísněmi, houbami, sporami nebo mikroorganismy jakéhokoli druhu a povahy, včetně jakékoliv látky, jejíž přítomnost představuje skutečné nebo potenciální ohrožení lidského zd</w:t>
      </w:r>
      <w:r>
        <w:t>raví. Tato výluka neplatí, pokud takováto škoda na pojištěné věci vznikla v důsledku některého ze sjednaných pojistných nebezpečí.</w:t>
      </w:r>
    </w:p>
    <w:p w:rsidR="00DA03AA" w:rsidRDefault="005A1FC1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99"/>
        </w:tabs>
        <w:ind w:left="700" w:hanging="340"/>
      </w:pPr>
      <w:bookmarkStart w:id="49" w:name="bookmark48"/>
      <w:r>
        <w:t>infekčním onemocněním, ohrožením (</w:t>
      </w:r>
      <w:proofErr w:type="spellStart"/>
      <w:r>
        <w:t>aťjiž</w:t>
      </w:r>
      <w:proofErr w:type="spellEnd"/>
      <w:r>
        <w:t xml:space="preserve"> skutečným nebo vnímaným) či strachem z infekčního onemocnění,</w:t>
      </w:r>
      <w:bookmarkEnd w:id="49"/>
    </w:p>
    <w:p w:rsidR="00DA03AA" w:rsidRDefault="005A1FC1">
      <w:pPr>
        <w:pStyle w:val="Zkladntext1"/>
        <w:shd w:val="clear" w:color="auto" w:fill="auto"/>
        <w:spacing w:after="200"/>
        <w:ind w:left="700"/>
        <w:jc w:val="both"/>
      </w:pPr>
      <w:r>
        <w:t>nebo jakýmkoli opatření</w:t>
      </w:r>
      <w:r>
        <w:t>m na potlačení infekčního onemocnění, které je přenosné z člověka na člověka, z člověka na zvíře, ze zvířete na člověka nebo ze zvířete na zvíře, anebo se dá získat působením z vnějšího prostředí.</w:t>
      </w:r>
    </w:p>
    <w:p w:rsidR="00DA03AA" w:rsidRDefault="005A1FC1">
      <w:pPr>
        <w:pStyle w:val="Zkladntext1"/>
        <w:shd w:val="clear" w:color="auto" w:fill="auto"/>
        <w:ind w:right="160"/>
        <w:jc w:val="both"/>
      </w:pPr>
      <w:r>
        <w:t xml:space="preserve">Infekčním onemocněním se rozumí příznakové i bezpříznakové </w:t>
      </w:r>
      <w:r>
        <w:t>onemocnění vyvolané původcem infekce nebo jeho toxinem, které vzniká v důsledku přenosu tohoto původce nebo jeho toxinu.</w:t>
      </w:r>
      <w:r>
        <w:br w:type="page"/>
      </w:r>
    </w:p>
    <w:p w:rsidR="00DA03AA" w:rsidRDefault="005A1FC1">
      <w:pPr>
        <w:pStyle w:val="Nadpis20"/>
        <w:keepNext/>
        <w:keepLines/>
        <w:shd w:val="clear" w:color="auto" w:fill="auto"/>
        <w:spacing w:after="300"/>
        <w:ind w:left="17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12700</wp:posOffset>
                </wp:positionV>
                <wp:extent cx="902335" cy="179705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3AA" w:rsidRDefault="005A1FC1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Doložka M-479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15.45pt;margin-top:1.pt;width:71.049999999999997pt;height:14.15pt;z-index:-12582935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Doložka M-479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0" w:name="bookmark49"/>
      <w:r>
        <w:t>Slevy za škodní průběh - bonifikace</w:t>
      </w:r>
      <w:bookmarkEnd w:id="50"/>
    </w:p>
    <w:p w:rsidR="00DA03AA" w:rsidRDefault="005A1FC1">
      <w:pPr>
        <w:pStyle w:val="Zkladntext1"/>
        <w:shd w:val="clear" w:color="auto" w:fill="auto"/>
        <w:spacing w:after="380"/>
      </w:pPr>
      <w:r>
        <w:t xml:space="preserve">Tímto se ujednává, že v závislosti na dosaženém </w:t>
      </w:r>
      <w:proofErr w:type="spellStart"/>
      <w:r>
        <w:t>škodním</w:t>
      </w:r>
      <w:proofErr w:type="spellEnd"/>
      <w:r>
        <w:t xml:space="preserve"> průběhu poskytne </w:t>
      </w:r>
      <w:r>
        <w:t xml:space="preserve">pojistitel slevu z pojistného za uplynulé pojistné období, v němž byl škodní průběh sledován. Tato sleva bude poskytnuta v následné prolongaci pojistné smlouvy. </w:t>
      </w:r>
      <w:proofErr w:type="spellStart"/>
      <w:r>
        <w:t>Škodním</w:t>
      </w:r>
      <w:proofErr w:type="spellEnd"/>
      <w:r>
        <w:t xml:space="preserve"> průběhem se pro účely tohoto ujednání rozumí podíl vyplacených škod a rezerv na vzniklé</w:t>
      </w:r>
      <w:r>
        <w:t xml:space="preserve"> škody v příslušném pojistném období a pojistného v příslušném pojistném období. </w:t>
      </w:r>
      <w:proofErr w:type="spellStart"/>
      <w:r>
        <w:t>Škodním</w:t>
      </w:r>
      <w:proofErr w:type="spellEnd"/>
      <w:r>
        <w:t xml:space="preserve"> procentem (dále jen „škodní %") se rozumí vyjádření </w:t>
      </w:r>
      <w:proofErr w:type="spellStart"/>
      <w:r>
        <w:t>škodního</w:t>
      </w:r>
      <w:proofErr w:type="spellEnd"/>
      <w:r>
        <w:t xml:space="preserve"> průběhu v procentech ze základu přijatého pojistného za posuzované období.</w:t>
      </w:r>
    </w:p>
    <w:p w:rsidR="00DA03AA" w:rsidRDefault="005A1FC1">
      <w:pPr>
        <w:pStyle w:val="Titulektabulky0"/>
        <w:shd w:val="clear" w:color="auto" w:fill="auto"/>
      </w:pPr>
      <w:r>
        <w:t>Slevy za bonifikaci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1478"/>
        <w:gridCol w:w="2112"/>
      </w:tblGrid>
      <w:tr w:rsidR="00DA03A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56" w:type="dxa"/>
            <w:shd w:val="clear" w:color="auto" w:fill="FFFFFF"/>
            <w:vAlign w:val="center"/>
          </w:tcPr>
          <w:p w:rsidR="00DA03AA" w:rsidRDefault="005A1FC1">
            <w:pPr>
              <w:pStyle w:val="Jin0"/>
              <w:shd w:val="clear" w:color="auto" w:fill="auto"/>
            </w:pPr>
            <w:r>
              <w:t>po 1 roce p</w:t>
            </w:r>
            <w:r>
              <w:t>ojištění u Allianz (druhé pojistné období)</w:t>
            </w: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škodní % do 20% do 50%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1020" w:hanging="660"/>
            </w:pPr>
            <w:r>
              <w:t>poskytnutá sleva (bonus) 5%</w:t>
            </w:r>
          </w:p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2,5%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56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po druhém roce pojištění u Allianz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20%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10%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56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</w:pPr>
            <w:r>
              <w:t>(třetí pojistné období)</w:t>
            </w: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50%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56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po třetím roce pojištění u Allianz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20%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56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</w:pPr>
            <w:r>
              <w:t>(čtvrté pojistné období)</w:t>
            </w: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</w:t>
            </w:r>
            <w:r>
              <w:t xml:space="preserve"> 50%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10%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56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po čtvrtém roce pojištění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20%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20%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56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</w:pPr>
            <w:r>
              <w:t>(páté pojistné období)</w:t>
            </w: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50%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56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po pátém roce pojištění u Allianz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20%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56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</w:pPr>
            <w:r>
              <w:t>(šesté pojistné období)</w:t>
            </w: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30%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20%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56" w:type="dxa"/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50%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56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</w:pPr>
            <w:r>
              <w:t>každé další pojistné období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20%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25%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856" w:type="dxa"/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30%</w:t>
            </w:r>
          </w:p>
        </w:tc>
        <w:tc>
          <w:tcPr>
            <w:tcW w:w="2112" w:type="dxa"/>
            <w:shd w:val="clear" w:color="auto" w:fill="FFFFFF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20%</w:t>
            </w:r>
          </w:p>
        </w:tc>
      </w:tr>
      <w:tr w:rsidR="00DA03A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856" w:type="dxa"/>
            <w:shd w:val="clear" w:color="auto" w:fill="FFFFFF"/>
          </w:tcPr>
          <w:p w:rsidR="00DA03AA" w:rsidRDefault="00DA03A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left="500"/>
            </w:pPr>
            <w:r>
              <w:t>do 50%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DA03AA" w:rsidRDefault="005A1FC1">
            <w:pPr>
              <w:pStyle w:val="Jin0"/>
              <w:shd w:val="clear" w:color="auto" w:fill="auto"/>
              <w:ind w:right="720"/>
              <w:jc w:val="right"/>
            </w:pPr>
            <w:r>
              <w:t>15%</w:t>
            </w:r>
          </w:p>
        </w:tc>
      </w:tr>
    </w:tbl>
    <w:p w:rsidR="00DA03AA" w:rsidRDefault="00DA03AA">
      <w:pPr>
        <w:spacing w:after="186" w:line="14" w:lineRule="exact"/>
      </w:pPr>
    </w:p>
    <w:p w:rsidR="00DA03AA" w:rsidRDefault="005A1FC1">
      <w:pPr>
        <w:pStyle w:val="Zkladntext1"/>
        <w:shd w:val="clear" w:color="auto" w:fill="auto"/>
      </w:pPr>
      <w:r>
        <w:t>Škodní % se</w:t>
      </w:r>
      <w:r>
        <w:t xml:space="preserve"> počítá vždy za všechna uplynulá pojistná období, nikoli pro každé pojistné období odděleně.</w:t>
      </w:r>
    </w:p>
    <w:p w:rsidR="00DA03AA" w:rsidRDefault="005A1FC1">
      <w:pPr>
        <w:pStyle w:val="Zkladntext1"/>
        <w:shd w:val="clear" w:color="auto" w:fill="auto"/>
        <w:spacing w:after="300"/>
        <w:jc w:val="both"/>
      </w:pPr>
      <w:r>
        <w:t>Pokud škodní % přesáhne 51% z celkově přijatého pojistného za všechna pojistná období (maximálně však za deset pojistných období), kdy byl klient u Allianz pojišťo</w:t>
      </w:r>
      <w:r>
        <w:t>vny, a.s. pojištěn, bude pojistné pro další pojistné období kalkulováno beze slev tak, jako pro první pojistné období.</w:t>
      </w:r>
    </w:p>
    <w:sectPr w:rsidR="00DA03AA">
      <w:headerReference w:type="even" r:id="rId17"/>
      <w:headerReference w:type="default" r:id="rId18"/>
      <w:pgSz w:w="11900" w:h="16840"/>
      <w:pgMar w:top="2084" w:right="932" w:bottom="3130" w:left="2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C1" w:rsidRDefault="005A1FC1">
      <w:r>
        <w:separator/>
      </w:r>
    </w:p>
  </w:endnote>
  <w:endnote w:type="continuationSeparator" w:id="0">
    <w:p w:rsidR="005A1FC1" w:rsidRDefault="005A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C1" w:rsidRDefault="005A1FC1"/>
  </w:footnote>
  <w:footnote w:type="continuationSeparator" w:id="0">
    <w:p w:rsidR="005A1FC1" w:rsidRDefault="005A1F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537210</wp:posOffset>
              </wp:positionV>
              <wp:extent cx="575945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76.pt;margin-top:42.299999999999997pt;width:45.350000000000001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5678805</wp:posOffset>
              </wp:positionH>
              <wp:positionV relativeFrom="page">
                <wp:posOffset>802005</wp:posOffset>
              </wp:positionV>
              <wp:extent cx="1042670" cy="243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 xml:space="preserve">Allianz </w:t>
                          </w:r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fli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7.14999999999998pt;margin-top:63.149999999999999pt;width:82.099999999999994pt;height:19.1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Allianz </w:t>
                    </w:r>
                    <w:r>
                      <w:rPr>
                        <w:rFonts w:ascii="Calibri" w:eastAsia="Calibri" w:hAnsi="Calibri" w:cs="Calibri"/>
                        <w:color w:val="12477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(fli)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3538855</wp:posOffset>
              </wp:positionH>
              <wp:positionV relativeFrom="page">
                <wp:posOffset>549275</wp:posOffset>
              </wp:positionV>
              <wp:extent cx="572770" cy="825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78.64999999999998pt;margin-top:43.25pt;width:45.100000000000001pt;height:6.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814070</wp:posOffset>
              </wp:positionV>
              <wp:extent cx="1036320" cy="24066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(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ňi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449.30000000000001pt;margin-top:64.099999999999994pt;width:81.599999999999994pt;height:18.949999999999999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(ňi)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524510</wp:posOffset>
              </wp:positionV>
              <wp:extent cx="572770" cy="8255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83.64999999999998pt;margin-top:41.299999999999997pt;width:45.100000000000001pt;height:6.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789940</wp:posOffset>
              </wp:positionV>
              <wp:extent cx="1039495" cy="26797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54.75pt;margin-top:62.200000000000003pt;width:81.849999999999994pt;height:21.10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537210</wp:posOffset>
              </wp:positionV>
              <wp:extent cx="57594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6.pt;margin-top:42.299999999999997pt;width:45.350000000000001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5678805</wp:posOffset>
              </wp:positionH>
              <wp:positionV relativeFrom="page">
                <wp:posOffset>802005</wp:posOffset>
              </wp:positionV>
              <wp:extent cx="1042670" cy="2438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 xml:space="preserve">Allianz </w:t>
                          </w:r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fli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47.14999999999998pt;margin-top:63.149999999999999pt;width:82.099999999999994pt;height:19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Allianz </w:t>
                    </w:r>
                    <w:r>
                      <w:rPr>
                        <w:rFonts w:ascii="Calibri" w:eastAsia="Calibri" w:hAnsi="Calibri" w:cs="Calibri"/>
                        <w:color w:val="12477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(fli)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537210</wp:posOffset>
              </wp:positionV>
              <wp:extent cx="572770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76.pt;margin-top:42.299999999999997pt;width:45.100000000000001pt;height:6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5672455</wp:posOffset>
              </wp:positionH>
              <wp:positionV relativeFrom="page">
                <wp:posOffset>796290</wp:posOffset>
              </wp:positionV>
              <wp:extent cx="1036320" cy="2622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(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ňj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46.64999999999998pt;margin-top:62.700000000000003pt;width:81.599999999999994pt;height:20.6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(ňj)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537210</wp:posOffset>
              </wp:positionV>
              <wp:extent cx="572770" cy="825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76.pt;margin-top:42.299999999999997pt;width:45.100000000000001pt;height:6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5672455</wp:posOffset>
              </wp:positionH>
              <wp:positionV relativeFrom="page">
                <wp:posOffset>796290</wp:posOffset>
              </wp:positionV>
              <wp:extent cx="1036320" cy="2622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(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ňj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46.64999999999998pt;margin-top:62.700000000000003pt;width:81.599999999999994pt;height:20.6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(ňj)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527685</wp:posOffset>
              </wp:positionV>
              <wp:extent cx="575945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76.pt;margin-top:41.549999999999997pt;width:45.350000000000001pt;height:6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 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5684520</wp:posOffset>
              </wp:positionH>
              <wp:positionV relativeFrom="page">
                <wp:posOffset>789940</wp:posOffset>
              </wp:positionV>
              <wp:extent cx="1036320" cy="2654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(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Hj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47.60000000000002pt;margin-top:62.200000000000003pt;width:81.599999999999994pt;height:20.89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(Hj)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527685</wp:posOffset>
              </wp:positionV>
              <wp:extent cx="575945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76.pt;margin-top:41.549999999999997pt;width:45.350000000000001pt;height:6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 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5684520</wp:posOffset>
              </wp:positionH>
              <wp:positionV relativeFrom="page">
                <wp:posOffset>789940</wp:posOffset>
              </wp:positionV>
              <wp:extent cx="1036320" cy="2654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(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Hj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47.60000000000002pt;margin-top:62.200000000000003pt;width:81.599999999999994pt;height:20.89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(Hj)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524510</wp:posOffset>
              </wp:positionV>
              <wp:extent cx="572770" cy="825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83.64999999999998pt;margin-top:41.299999999999997pt;width:45.100000000000001pt;height:6.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789940</wp:posOffset>
              </wp:positionV>
              <wp:extent cx="1039495" cy="2679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54.75pt;margin-top:62.200000000000003pt;width:81.849999999999994pt;height:21.10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524510</wp:posOffset>
              </wp:positionV>
              <wp:extent cx="572770" cy="825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83.64999999999998pt;margin-top:41.299999999999997pt;width:45.100000000000001pt;height:6.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789940</wp:posOffset>
              </wp:positionV>
              <wp:extent cx="1039495" cy="2679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54.75pt;margin-top:62.200000000000003pt;width:81.849999999999994pt;height:21.1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AA" w:rsidRDefault="005A1F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3620135</wp:posOffset>
              </wp:positionH>
              <wp:positionV relativeFrom="page">
                <wp:posOffset>530860</wp:posOffset>
              </wp:positionV>
              <wp:extent cx="572770" cy="8255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85.05000000000001pt;margin-top:41.799999999999997pt;width:45.100000000000001pt;height:6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5787390</wp:posOffset>
              </wp:positionH>
              <wp:positionV relativeFrom="page">
                <wp:posOffset>793115</wp:posOffset>
              </wp:positionV>
              <wp:extent cx="1036320" cy="23749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03AA" w:rsidRDefault="005A1FC1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12477D"/>
                              <w:sz w:val="28"/>
                              <w:szCs w:val="28"/>
                            </w:rPr>
                            <w:t xml:space="preserve">Allianz </w:t>
                          </w:r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ňi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12477D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55.69999999999999pt;margin-top:62.450000000000003pt;width:81.599999999999994pt;height:18.69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12477D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Allianz </w:t>
                    </w:r>
                    <w:r>
                      <w:rPr>
                        <w:rFonts w:ascii="Calibri" w:eastAsia="Calibri" w:hAnsi="Calibri" w:cs="Calibri"/>
                        <w:color w:val="12477D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(ňi)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227"/>
    <w:multiLevelType w:val="multilevel"/>
    <w:tmpl w:val="B70CD6DA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D3464"/>
    <w:multiLevelType w:val="multilevel"/>
    <w:tmpl w:val="1D3C09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03AA"/>
    <w:rsid w:val="005A1FC1"/>
    <w:rsid w:val="00BA74FF"/>
    <w:rsid w:val="00D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70"/>
      <w:ind w:left="2010"/>
      <w:outlineLvl w:val="0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left="8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70"/>
      <w:ind w:left="2010"/>
      <w:outlineLvl w:val="0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left="8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2032</Words>
  <Characters>11992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2024-06-28T09:00:00Z</dcterms:created>
  <dcterms:modified xsi:type="dcterms:W3CDTF">2024-06-28T09:04:00Z</dcterms:modified>
</cp:coreProperties>
</file>