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B4953" w14:textId="77777777" w:rsidR="00BB67E0" w:rsidRDefault="00DA3731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KUPNÍ SMLOUVA č.  </w:t>
      </w:r>
    </w:p>
    <w:p w14:paraId="4EE8BFEE" w14:textId="77777777" w:rsidR="00BB67E0" w:rsidRDefault="00DA3731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uzavřená dle </w:t>
      </w:r>
      <w:proofErr w:type="spellStart"/>
      <w:r>
        <w:rPr>
          <w:color w:val="000000" w:themeColor="text1"/>
          <w:szCs w:val="24"/>
        </w:rPr>
        <w:t>ust</w:t>
      </w:r>
      <w:proofErr w:type="spellEnd"/>
      <w:r>
        <w:rPr>
          <w:color w:val="000000" w:themeColor="text1"/>
          <w:szCs w:val="24"/>
        </w:rPr>
        <w:t>. § 2079 a násl. Zákona č. 89/2012 Sb., občanský zákoník, v platném znění</w:t>
      </w:r>
    </w:p>
    <w:p w14:paraId="5217F1F0" w14:textId="77777777" w:rsidR="00BB67E0" w:rsidRDefault="00DA3731">
      <w:pPr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níže uvedeného dne, měsíce a roku mezi smluvními stranami:</w:t>
      </w:r>
    </w:p>
    <w:p w14:paraId="7BA97447" w14:textId="77777777" w:rsidR="00BB67E0" w:rsidRDefault="00BB67E0">
      <w:pPr>
        <w:jc w:val="center"/>
        <w:rPr>
          <w:color w:val="000000" w:themeColor="text1"/>
          <w:szCs w:val="24"/>
        </w:rPr>
      </w:pPr>
    </w:p>
    <w:p w14:paraId="2EDEBDCE" w14:textId="77777777" w:rsidR="00BB67E0" w:rsidRDefault="00DA3731">
      <w:pPr>
        <w:rPr>
          <w:color w:val="000000" w:themeColor="text1"/>
        </w:rPr>
      </w:pPr>
      <w:r>
        <w:rPr>
          <w:noProof/>
          <w:color w:val="000000" w:themeColor="text1"/>
          <w:lang w:eastAsia="cs-CZ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CDCF2FD" wp14:editId="0362970D">
                <wp:simplePos x="0" y="0"/>
                <wp:positionH relativeFrom="column">
                  <wp:posOffset>1905</wp:posOffset>
                </wp:positionH>
                <wp:positionV relativeFrom="paragraph">
                  <wp:posOffset>36830</wp:posOffset>
                </wp:positionV>
                <wp:extent cx="6116320" cy="1270"/>
                <wp:effectExtent l="7620" t="10795" r="11430" b="825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68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E3965" id="Přímá spojnice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15pt,2.9pt" to="481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" o:allowincell="f" strokeweight=".26mm">
                <v:stroke joinstyle="miter" endcap="square"/>
              </v:line>
            </w:pict>
          </mc:Fallback>
        </mc:AlternateContent>
      </w:r>
    </w:p>
    <w:p w14:paraId="322464F9" w14:textId="77777777" w:rsidR="00BB67E0" w:rsidRDefault="00BB67E0">
      <w:pPr>
        <w:rPr>
          <w:color w:val="000000" w:themeColor="text1"/>
        </w:rPr>
      </w:pPr>
    </w:p>
    <w:p w14:paraId="394275D4" w14:textId="77777777" w:rsidR="00BB67E0" w:rsidRDefault="00DA3731">
      <w:pPr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Smluvní strany</w:t>
      </w:r>
    </w:p>
    <w:p w14:paraId="45AF29E5" w14:textId="77777777" w:rsidR="00BB67E0" w:rsidRDefault="00BB67E0">
      <w:pPr>
        <w:jc w:val="center"/>
        <w:rPr>
          <w:color w:val="000000" w:themeColor="text1"/>
          <w:szCs w:val="24"/>
        </w:rPr>
      </w:pPr>
    </w:p>
    <w:p w14:paraId="6BE714E6" w14:textId="77777777" w:rsidR="00BB67E0" w:rsidRDefault="00BB67E0">
      <w:pPr>
        <w:jc w:val="center"/>
        <w:rPr>
          <w:color w:val="000000" w:themeColor="text1"/>
          <w:szCs w:val="24"/>
        </w:rPr>
      </w:pPr>
    </w:p>
    <w:p w14:paraId="1B19AC2D" w14:textId="77777777" w:rsidR="00BB67E0" w:rsidRDefault="00DA3731">
      <w:pPr>
        <w:spacing w:line="276" w:lineRule="auto"/>
        <w:rPr>
          <w:bCs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AUTO POKORNÝ, s.r.o.</w:t>
      </w:r>
    </w:p>
    <w:p w14:paraId="42EEEE20" w14:textId="77777777" w:rsidR="00BB67E0" w:rsidRDefault="00DA3731">
      <w:p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se </w:t>
      </w:r>
      <w:proofErr w:type="gramStart"/>
      <w:r>
        <w:rPr>
          <w:color w:val="000000" w:themeColor="text1"/>
          <w:szCs w:val="24"/>
        </w:rPr>
        <w:t>sídlem :</w:t>
      </w:r>
      <w:proofErr w:type="gramEnd"/>
      <w:r>
        <w:rPr>
          <w:color w:val="000000" w:themeColor="text1"/>
          <w:szCs w:val="24"/>
        </w:rPr>
        <w:t xml:space="preserve"> Okružní 25a, Brno, 638 00</w:t>
      </w:r>
    </w:p>
    <w:p w14:paraId="633208CE" w14:textId="77777777" w:rsidR="00BB67E0" w:rsidRDefault="00DA3731">
      <w:p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IČ: 25512579</w:t>
      </w:r>
    </w:p>
    <w:p w14:paraId="1188B61C" w14:textId="77777777" w:rsidR="00BB67E0" w:rsidRDefault="00DA3731">
      <w:p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DIČ: CZ25512579</w:t>
      </w:r>
    </w:p>
    <w:p w14:paraId="44BEF988" w14:textId="77777777" w:rsidR="00BB67E0" w:rsidRDefault="00DA3731">
      <w:pPr>
        <w:spacing w:line="276" w:lineRule="auto"/>
        <w:rPr>
          <w:color w:val="000000" w:themeColor="text1"/>
          <w:szCs w:val="24"/>
        </w:rPr>
      </w:pPr>
      <w:proofErr w:type="gramStart"/>
      <w:r>
        <w:rPr>
          <w:color w:val="000000" w:themeColor="text1"/>
          <w:szCs w:val="24"/>
        </w:rPr>
        <w:t>zápis :</w:t>
      </w:r>
      <w:proofErr w:type="gramEnd"/>
      <w:r>
        <w:rPr>
          <w:color w:val="000000" w:themeColor="text1"/>
          <w:szCs w:val="24"/>
        </w:rPr>
        <w:t> C 29244 vedená u Krajského soudu v Brně</w:t>
      </w:r>
    </w:p>
    <w:p w14:paraId="6D77BA6F" w14:textId="77777777" w:rsidR="00BB67E0" w:rsidRDefault="00DA3731">
      <w:p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bankovní spojení: </w:t>
      </w:r>
      <w:proofErr w:type="spellStart"/>
      <w:r>
        <w:rPr>
          <w:color w:val="000000" w:themeColor="text1"/>
          <w:szCs w:val="24"/>
        </w:rPr>
        <w:t>Oberbank</w:t>
      </w:r>
      <w:proofErr w:type="spellEnd"/>
    </w:p>
    <w:p w14:paraId="253820F9" w14:textId="77777777" w:rsidR="00BB67E0" w:rsidRDefault="00DA3731">
      <w:p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číslo účtu:3000001023/8040</w:t>
      </w:r>
    </w:p>
    <w:p w14:paraId="7555B29E" w14:textId="77777777" w:rsidR="00BB67E0" w:rsidRDefault="00DA3731">
      <w:p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zástupce: Zdeněk Pokorný</w:t>
      </w:r>
    </w:p>
    <w:p w14:paraId="73B24025" w14:textId="77777777" w:rsidR="00BB67E0" w:rsidRDefault="00BB67E0">
      <w:pPr>
        <w:spacing w:line="276" w:lineRule="auto"/>
        <w:rPr>
          <w:color w:val="000000" w:themeColor="text1"/>
          <w:szCs w:val="24"/>
        </w:rPr>
      </w:pPr>
    </w:p>
    <w:p w14:paraId="1853C940" w14:textId="77777777" w:rsidR="00BB67E0" w:rsidRDefault="00DA3731">
      <w:pPr>
        <w:spacing w:line="276" w:lineRule="auto"/>
        <w:rPr>
          <w:color w:val="000000" w:themeColor="text1"/>
          <w:szCs w:val="24"/>
        </w:rPr>
      </w:pPr>
      <w:r>
        <w:rPr>
          <w:i/>
          <w:iCs/>
          <w:color w:val="000000" w:themeColor="text1"/>
          <w:szCs w:val="24"/>
        </w:rPr>
        <w:t>(dále také jako „prodávající“)</w:t>
      </w:r>
    </w:p>
    <w:p w14:paraId="615C4ED3" w14:textId="77777777" w:rsidR="00BB67E0" w:rsidRDefault="00BB67E0">
      <w:pPr>
        <w:rPr>
          <w:color w:val="000000" w:themeColor="text1"/>
          <w:szCs w:val="24"/>
        </w:rPr>
      </w:pPr>
    </w:p>
    <w:p w14:paraId="2D48E5CC" w14:textId="77777777" w:rsidR="00BB67E0" w:rsidRDefault="00DA3731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</w:t>
      </w:r>
    </w:p>
    <w:p w14:paraId="60A48139" w14:textId="77777777" w:rsidR="00BB67E0" w:rsidRDefault="00BB67E0">
      <w:pPr>
        <w:rPr>
          <w:color w:val="000000" w:themeColor="text1"/>
          <w:szCs w:val="24"/>
        </w:rPr>
      </w:pPr>
    </w:p>
    <w:p w14:paraId="21FE57CD" w14:textId="77777777" w:rsidR="00BB67E0" w:rsidRDefault="00F05FBB">
      <w:pPr>
        <w:spacing w:line="276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Centrum sociálních služeb Tišnov, příspěvková organizace</w:t>
      </w:r>
    </w:p>
    <w:p w14:paraId="357B231F" w14:textId="77777777" w:rsidR="00BB67E0" w:rsidRDefault="00DA3731">
      <w:pPr>
        <w:spacing w:line="276" w:lineRule="auto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se </w:t>
      </w:r>
      <w:proofErr w:type="gramStart"/>
      <w:r>
        <w:rPr>
          <w:bCs/>
          <w:color w:val="000000" w:themeColor="text1"/>
          <w:szCs w:val="24"/>
        </w:rPr>
        <w:t>sídlem :</w:t>
      </w:r>
      <w:proofErr w:type="gramEnd"/>
      <w:r>
        <w:rPr>
          <w:bCs/>
          <w:color w:val="000000" w:themeColor="text1"/>
          <w:szCs w:val="24"/>
        </w:rPr>
        <w:t xml:space="preserve">  </w:t>
      </w:r>
      <w:r w:rsidR="00F05FBB">
        <w:rPr>
          <w:bCs/>
          <w:color w:val="000000" w:themeColor="text1"/>
          <w:szCs w:val="24"/>
        </w:rPr>
        <w:t>Králova 1742, 666 01, Tišnov</w:t>
      </w:r>
    </w:p>
    <w:p w14:paraId="4FFF3952" w14:textId="77777777" w:rsidR="00BB67E0" w:rsidRDefault="00DA3731">
      <w:p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IČ: </w:t>
      </w:r>
      <w:r w:rsidR="00F05FBB">
        <w:rPr>
          <w:color w:val="000000" w:themeColor="text1"/>
          <w:szCs w:val="24"/>
        </w:rPr>
        <w:t>28334949</w:t>
      </w:r>
    </w:p>
    <w:p w14:paraId="0D46EF8F" w14:textId="77777777" w:rsidR="00BB67E0" w:rsidRDefault="00DA3731">
      <w:pPr>
        <w:tabs>
          <w:tab w:val="left" w:pos="2977"/>
        </w:tabs>
        <w:suppressAutoHyphens w:val="0"/>
        <w:spacing w:line="276" w:lineRule="auto"/>
        <w:ind w:left="3261" w:hanging="3261"/>
        <w:jc w:val="both"/>
        <w:rPr>
          <w:color w:val="000000" w:themeColor="text1"/>
          <w:szCs w:val="24"/>
          <w:lang w:eastAsia="cs-CZ"/>
        </w:rPr>
      </w:pPr>
      <w:r>
        <w:rPr>
          <w:color w:val="000000" w:themeColor="text1"/>
          <w:szCs w:val="24"/>
          <w:lang w:eastAsia="cs-CZ"/>
        </w:rPr>
        <w:t xml:space="preserve">DIČ: </w:t>
      </w:r>
      <w:r w:rsidR="00F05FBB">
        <w:rPr>
          <w:color w:val="000000" w:themeColor="text1"/>
          <w:szCs w:val="24"/>
          <w:lang w:eastAsia="cs-CZ"/>
        </w:rPr>
        <w:t>CZ28334949</w:t>
      </w:r>
    </w:p>
    <w:p w14:paraId="75610295" w14:textId="20F20E54" w:rsidR="00BB67E0" w:rsidRPr="00AC6DBF" w:rsidRDefault="00DA3731">
      <w:pPr>
        <w:tabs>
          <w:tab w:val="left" w:pos="2977"/>
        </w:tabs>
        <w:suppressAutoHyphens w:val="0"/>
        <w:spacing w:line="276" w:lineRule="auto"/>
        <w:ind w:left="3261" w:hanging="3261"/>
        <w:jc w:val="both"/>
        <w:rPr>
          <w:color w:val="000000" w:themeColor="text1"/>
          <w:szCs w:val="24"/>
          <w:lang w:eastAsia="cs-CZ"/>
        </w:rPr>
      </w:pPr>
      <w:r w:rsidRPr="00AC6DBF">
        <w:rPr>
          <w:color w:val="000000" w:themeColor="text1"/>
          <w:szCs w:val="24"/>
          <w:lang w:eastAsia="cs-CZ"/>
        </w:rPr>
        <w:t xml:space="preserve">bankovní spojení: </w:t>
      </w:r>
      <w:r w:rsidR="00E85CC6" w:rsidRPr="00AC6DBF">
        <w:rPr>
          <w:color w:val="000000" w:themeColor="text1"/>
          <w:szCs w:val="24"/>
          <w:lang w:eastAsia="cs-CZ"/>
        </w:rPr>
        <w:t>Komerční banka</w:t>
      </w:r>
    </w:p>
    <w:p w14:paraId="25AD12D4" w14:textId="493E250D" w:rsidR="00BB67E0" w:rsidRPr="00AC6DBF" w:rsidRDefault="00DA3731">
      <w:pPr>
        <w:spacing w:line="276" w:lineRule="auto"/>
        <w:rPr>
          <w:color w:val="000000" w:themeColor="text1"/>
          <w:szCs w:val="24"/>
          <w:lang w:eastAsia="cs-CZ"/>
        </w:rPr>
      </w:pPr>
      <w:r w:rsidRPr="00AC6DBF">
        <w:rPr>
          <w:color w:val="000000" w:themeColor="text1"/>
          <w:szCs w:val="24"/>
          <w:lang w:eastAsia="cs-CZ"/>
        </w:rPr>
        <w:t>číslo účtu:</w:t>
      </w:r>
      <w:r w:rsidR="00E85CC6" w:rsidRPr="00AC6DBF">
        <w:rPr>
          <w:color w:val="000000" w:themeColor="text1"/>
          <w:szCs w:val="24"/>
          <w:lang w:eastAsia="cs-CZ"/>
        </w:rPr>
        <w:t xml:space="preserve"> 43-4496410297/0100</w:t>
      </w:r>
    </w:p>
    <w:p w14:paraId="7BB81CDD" w14:textId="00879811" w:rsidR="00BB67E0" w:rsidRDefault="00DA3731">
      <w:pPr>
        <w:spacing w:line="276" w:lineRule="auto"/>
        <w:rPr>
          <w:color w:val="000000" w:themeColor="text1"/>
          <w:szCs w:val="24"/>
          <w:lang w:eastAsia="cs-CZ"/>
        </w:rPr>
      </w:pPr>
      <w:r w:rsidRPr="00AC6DBF">
        <w:rPr>
          <w:color w:val="000000" w:themeColor="text1"/>
          <w:szCs w:val="24"/>
          <w:lang w:eastAsia="cs-CZ"/>
        </w:rPr>
        <w:t xml:space="preserve">Zástupce: </w:t>
      </w:r>
      <w:r w:rsidR="00E85CC6" w:rsidRPr="00AC6DBF">
        <w:rPr>
          <w:color w:val="000000" w:themeColor="text1"/>
          <w:szCs w:val="24"/>
          <w:lang w:eastAsia="cs-CZ"/>
        </w:rPr>
        <w:t>PhDr Jana Hutařová</w:t>
      </w:r>
    </w:p>
    <w:p w14:paraId="61383FEC" w14:textId="77777777" w:rsidR="00BB67E0" w:rsidRDefault="00DA3731">
      <w:pPr>
        <w:spacing w:line="276" w:lineRule="auto"/>
        <w:rPr>
          <w:i/>
          <w:iCs/>
          <w:color w:val="000000" w:themeColor="text1"/>
          <w:szCs w:val="24"/>
        </w:rPr>
      </w:pPr>
      <w:r>
        <w:rPr>
          <w:color w:val="000000" w:themeColor="text1"/>
          <w:szCs w:val="24"/>
          <w:lang w:eastAsia="cs-CZ"/>
        </w:rPr>
        <w:tab/>
      </w:r>
    </w:p>
    <w:p w14:paraId="45F92177" w14:textId="77777777" w:rsidR="00BB67E0" w:rsidRDefault="00DA3731">
      <w:pPr>
        <w:spacing w:line="276" w:lineRule="auto"/>
        <w:rPr>
          <w:b/>
          <w:color w:val="000000" w:themeColor="text1"/>
        </w:rPr>
      </w:pPr>
      <w:r>
        <w:rPr>
          <w:i/>
          <w:iCs/>
          <w:color w:val="000000" w:themeColor="text1"/>
          <w:szCs w:val="24"/>
        </w:rPr>
        <w:t>(dále také jako „kupující“)</w:t>
      </w:r>
    </w:p>
    <w:p w14:paraId="0185BF2E" w14:textId="77777777" w:rsidR="00BB67E0" w:rsidRDefault="00BB67E0">
      <w:pPr>
        <w:rPr>
          <w:b/>
          <w:color w:val="000000" w:themeColor="text1"/>
        </w:rPr>
      </w:pPr>
    </w:p>
    <w:p w14:paraId="0303FF3D" w14:textId="77777777" w:rsidR="00BB67E0" w:rsidRDefault="00DA3731">
      <w:pPr>
        <w:rPr>
          <w:color w:val="000000" w:themeColor="text1"/>
        </w:rPr>
      </w:pPr>
      <w:r>
        <w:rPr>
          <w:i/>
          <w:color w:val="000000" w:themeColor="text1"/>
        </w:rPr>
        <w:t>(společně též jako „smluvní strany“)</w:t>
      </w:r>
    </w:p>
    <w:p w14:paraId="4B636B20" w14:textId="77777777" w:rsidR="00BB67E0" w:rsidRDefault="00BB67E0">
      <w:pPr>
        <w:jc w:val="center"/>
        <w:rPr>
          <w:color w:val="000000" w:themeColor="text1"/>
        </w:rPr>
      </w:pPr>
    </w:p>
    <w:p w14:paraId="40119728" w14:textId="77777777" w:rsidR="00BB67E0" w:rsidRDefault="00BB67E0">
      <w:pPr>
        <w:jc w:val="center"/>
        <w:rPr>
          <w:color w:val="000000" w:themeColor="text1"/>
        </w:rPr>
      </w:pPr>
    </w:p>
    <w:p w14:paraId="7DE0B3AB" w14:textId="77777777" w:rsidR="00BB67E0" w:rsidRDefault="00BB67E0">
      <w:pPr>
        <w:jc w:val="center"/>
        <w:rPr>
          <w:color w:val="000000" w:themeColor="text1"/>
        </w:rPr>
      </w:pPr>
    </w:p>
    <w:p w14:paraId="305994AB" w14:textId="77777777" w:rsidR="00BB67E0" w:rsidRDefault="00BB67E0">
      <w:pPr>
        <w:jc w:val="center"/>
        <w:rPr>
          <w:b/>
          <w:bCs/>
          <w:color w:val="000000" w:themeColor="text1"/>
          <w:szCs w:val="24"/>
        </w:rPr>
      </w:pPr>
    </w:p>
    <w:p w14:paraId="77A92D2C" w14:textId="5319930A" w:rsidR="00BB67E0" w:rsidRPr="00736BE2" w:rsidRDefault="00DA3731" w:rsidP="00736BE2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 w:rsidRPr="00736BE2">
        <w:rPr>
          <w:rFonts w:cstheme="minorHAnsi"/>
        </w:rPr>
        <w:t>Předmětem kupní smlouvy je závazek prodávajícího odevzdat kupujícímu vozidlo/vozidla dle technické specifikace, která byla součástí nabídky prodávajícího v zadávacím řízení „</w:t>
      </w:r>
      <w:r w:rsidR="00736BE2" w:rsidRPr="00736BE2">
        <w:rPr>
          <w:rFonts w:cstheme="minorHAnsi"/>
        </w:rPr>
        <w:t>„Nákup užitkového automobilu pro Centrum sociálních služeb Tišnov, příspěvkovou or</w:t>
      </w:r>
      <w:r w:rsidR="00736BE2">
        <w:rPr>
          <w:rFonts w:cstheme="minorHAnsi"/>
        </w:rPr>
        <w:t>ganizac</w:t>
      </w:r>
      <w:r w:rsidR="00736BE2" w:rsidRPr="00736BE2">
        <w:rPr>
          <w:rFonts w:cstheme="minorHAnsi"/>
        </w:rPr>
        <w:t>i“</w:t>
      </w:r>
      <w:r w:rsidR="00736BE2">
        <w:rPr>
          <w:rFonts w:cstheme="minorHAnsi"/>
        </w:rPr>
        <w:t xml:space="preserve"> </w:t>
      </w:r>
      <w:r w:rsidRPr="00736BE2">
        <w:rPr>
          <w:rFonts w:cstheme="minorHAnsi"/>
        </w:rPr>
        <w:t>a to dle konkrétní dílčí části veřejné zakázky (dále jen „vozidlo/vozidla“ nebo také „předmět koupě“), a umožnit kupujícímu nabýt k vozidlu/vozidlům vlastnické právo a závazek kupujícího vozidlo/vozidla převzít a zaplatit prodávajícímu kupní cenu.</w:t>
      </w:r>
    </w:p>
    <w:p w14:paraId="3036F502" w14:textId="77777777" w:rsidR="00ED1B2D" w:rsidRPr="00F378E8" w:rsidRDefault="00ED1B2D" w:rsidP="00ED1B2D">
      <w:pPr>
        <w:pStyle w:val="Default"/>
        <w:rPr>
          <w:rFonts w:ascii="Century Gothic" w:eastAsia="Times New Roman" w:hAnsi="Century Gothic" w:cstheme="minorHAnsi"/>
          <w:color w:val="auto"/>
          <w:sz w:val="20"/>
          <w:lang w:eastAsia="cs-CZ"/>
        </w:rPr>
      </w:pPr>
    </w:p>
    <w:p w14:paraId="476229AA" w14:textId="77777777" w:rsidR="00F378E8" w:rsidRPr="00F378E8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360"/>
        <w:contextualSpacing/>
        <w:rPr>
          <w:rFonts w:cstheme="minorHAnsi"/>
        </w:rPr>
      </w:pPr>
      <w:r w:rsidRPr="00F378E8">
        <w:rPr>
          <w:rFonts w:cstheme="minorHAnsi"/>
        </w:rPr>
        <w:t>Cena:</w:t>
      </w:r>
    </w:p>
    <w:p w14:paraId="1BE533BB" w14:textId="77777777" w:rsidR="00F378E8" w:rsidRPr="00F378E8" w:rsidRDefault="00F378E8" w:rsidP="00F378E8">
      <w:pPr>
        <w:spacing w:before="80" w:line="276" w:lineRule="auto"/>
        <w:ind w:left="360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>Na základě dohody smluvních stran je kupní cena stanovena takto:</w:t>
      </w:r>
    </w:p>
    <w:p w14:paraId="42FE3FA9" w14:textId="77777777" w:rsidR="00F378E8" w:rsidRPr="00F378E8" w:rsidRDefault="00F378E8" w:rsidP="00F378E8">
      <w:pPr>
        <w:spacing w:before="80" w:line="276" w:lineRule="auto"/>
        <w:ind w:left="1062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 xml:space="preserve">Celková kupní cena v Kč bez DPH: </w:t>
      </w:r>
      <w:proofErr w:type="gramStart"/>
      <w:r>
        <w:rPr>
          <w:rFonts w:ascii="Century Gothic" w:hAnsi="Century Gothic" w:cstheme="minorHAnsi"/>
          <w:sz w:val="20"/>
          <w:szCs w:val="24"/>
          <w:lang w:eastAsia="cs-CZ"/>
        </w:rPr>
        <w:t>4</w:t>
      </w:r>
      <w:r w:rsidR="0017790A">
        <w:rPr>
          <w:rFonts w:ascii="Century Gothic" w:hAnsi="Century Gothic" w:cstheme="minorHAnsi"/>
          <w:sz w:val="20"/>
          <w:szCs w:val="24"/>
          <w:lang w:eastAsia="cs-CZ"/>
        </w:rPr>
        <w:t>5</w:t>
      </w:r>
      <w:r>
        <w:rPr>
          <w:rFonts w:ascii="Century Gothic" w:hAnsi="Century Gothic" w:cstheme="minorHAnsi"/>
          <w:sz w:val="20"/>
          <w:szCs w:val="24"/>
          <w:lang w:eastAsia="cs-CZ"/>
        </w:rPr>
        <w:t>1.</w:t>
      </w:r>
      <w:r w:rsidR="0017790A">
        <w:rPr>
          <w:rFonts w:ascii="Century Gothic" w:hAnsi="Century Gothic" w:cstheme="minorHAnsi"/>
          <w:sz w:val="20"/>
          <w:szCs w:val="24"/>
          <w:lang w:eastAsia="cs-CZ"/>
        </w:rPr>
        <w:t>350</w:t>
      </w:r>
      <w:r>
        <w:rPr>
          <w:rFonts w:ascii="Century Gothic" w:hAnsi="Century Gothic" w:cstheme="minorHAnsi"/>
          <w:sz w:val="20"/>
          <w:szCs w:val="24"/>
          <w:lang w:eastAsia="cs-CZ"/>
        </w:rPr>
        <w:t>,-</w:t>
      </w:r>
      <w:proofErr w:type="gramEnd"/>
    </w:p>
    <w:p w14:paraId="2EDD0F1C" w14:textId="77777777" w:rsidR="00F378E8" w:rsidRPr="00F378E8" w:rsidRDefault="00F378E8" w:rsidP="00F378E8">
      <w:pPr>
        <w:spacing w:before="80" w:line="276" w:lineRule="auto"/>
        <w:ind w:left="1062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lastRenderedPageBreak/>
        <w:t xml:space="preserve">DPH v Kč: </w:t>
      </w:r>
      <w:proofErr w:type="gramStart"/>
      <w:r w:rsidR="00872ACB">
        <w:rPr>
          <w:rFonts w:ascii="Century Gothic" w:hAnsi="Century Gothic" w:cstheme="minorHAnsi"/>
          <w:sz w:val="20"/>
          <w:szCs w:val="24"/>
          <w:lang w:eastAsia="cs-CZ"/>
        </w:rPr>
        <w:t>94.784</w:t>
      </w:r>
      <w:r>
        <w:rPr>
          <w:rFonts w:ascii="Century Gothic" w:hAnsi="Century Gothic" w:cstheme="minorHAnsi"/>
          <w:sz w:val="20"/>
          <w:szCs w:val="24"/>
          <w:lang w:eastAsia="cs-CZ"/>
        </w:rPr>
        <w:t>,-</w:t>
      </w:r>
      <w:proofErr w:type="gramEnd"/>
    </w:p>
    <w:p w14:paraId="71998168" w14:textId="77777777" w:rsidR="00F378E8" w:rsidRPr="00F378E8" w:rsidRDefault="00F378E8" w:rsidP="00F378E8">
      <w:pPr>
        <w:spacing w:before="80" w:line="276" w:lineRule="auto"/>
        <w:ind w:left="1062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 xml:space="preserve">Celková kupní cena v Kč s DPH: </w:t>
      </w:r>
      <w:r w:rsidR="0017790A">
        <w:rPr>
          <w:rFonts w:ascii="Century Gothic" w:hAnsi="Century Gothic" w:cstheme="minorHAnsi"/>
          <w:sz w:val="20"/>
          <w:szCs w:val="24"/>
          <w:lang w:eastAsia="cs-CZ"/>
        </w:rPr>
        <w:t>546134</w:t>
      </w:r>
      <w:r>
        <w:rPr>
          <w:rFonts w:ascii="Century Gothic" w:hAnsi="Century Gothic" w:cstheme="minorHAnsi"/>
          <w:sz w:val="20"/>
          <w:szCs w:val="24"/>
          <w:lang w:eastAsia="cs-CZ"/>
        </w:rPr>
        <w:t>,-</w:t>
      </w:r>
    </w:p>
    <w:p w14:paraId="290663A0" w14:textId="77777777" w:rsidR="00F378E8" w:rsidRPr="00F378E8" w:rsidRDefault="00F378E8" w:rsidP="00F378E8">
      <w:pPr>
        <w:spacing w:before="80" w:line="276" w:lineRule="auto"/>
        <w:ind w:left="354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>Pozn.: V případě, že předmětem smlouvy bude dodávka více vozidel odlišné technické specifikace, uvede dodavatel cenu v členění dle jednotlivých typů a následně cenu celkovou – vždy bez DPH, DPH, vč. DPH.</w:t>
      </w:r>
    </w:p>
    <w:p w14:paraId="7528B9E1" w14:textId="77777777" w:rsidR="00F378E8" w:rsidRPr="00F378E8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360"/>
        <w:contextualSpacing/>
        <w:rPr>
          <w:rFonts w:cstheme="minorHAnsi"/>
        </w:rPr>
      </w:pPr>
      <w:r w:rsidRPr="00F378E8">
        <w:rPr>
          <w:rFonts w:cstheme="minorHAnsi"/>
        </w:rPr>
        <w:t>Doba dodání:</w:t>
      </w:r>
    </w:p>
    <w:p w14:paraId="366FD4E4" w14:textId="77777777" w:rsidR="00F378E8" w:rsidRPr="00F378E8" w:rsidRDefault="00F378E8" w:rsidP="00F378E8">
      <w:pPr>
        <w:spacing w:before="80" w:line="276" w:lineRule="auto"/>
        <w:ind w:left="360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>Prodávající se zavazuje dodat předmět plnění do 120 kalendářních dnů od uzavření smlouvy. Rozhodným okamžikem pro konec doby dodání je předání a převzetí předmětu plnění.</w:t>
      </w:r>
    </w:p>
    <w:p w14:paraId="7B46F4E2" w14:textId="77777777" w:rsidR="00F378E8" w:rsidRPr="00BD7AFA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>
        <w:rPr>
          <w:rFonts w:cstheme="minorHAnsi"/>
        </w:rPr>
        <w:t>Na vozidla bude kupujícím poskytnuta z</w:t>
      </w:r>
      <w:r w:rsidRPr="00BD7AFA">
        <w:rPr>
          <w:rFonts w:cstheme="minorHAnsi"/>
        </w:rPr>
        <w:t xml:space="preserve">áruka </w:t>
      </w:r>
      <w:r>
        <w:rPr>
          <w:rFonts w:cstheme="minorHAnsi"/>
        </w:rPr>
        <w:t xml:space="preserve">za jakost v délce </w:t>
      </w:r>
      <w:r w:rsidRPr="00BD7AFA">
        <w:rPr>
          <w:rFonts w:cstheme="minorHAnsi"/>
        </w:rPr>
        <w:t>min. 24 měsíců</w:t>
      </w:r>
      <w:r>
        <w:rPr>
          <w:rFonts w:cstheme="minorHAnsi"/>
        </w:rPr>
        <w:t>.</w:t>
      </w:r>
    </w:p>
    <w:p w14:paraId="6C2D7BEF" w14:textId="77777777" w:rsidR="00F378E8" w:rsidRPr="003E2A56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 w:rsidRPr="00D4565E">
        <w:rPr>
          <w:rFonts w:cstheme="minorHAnsi"/>
        </w:rPr>
        <w:t>Předmětem dodávky musí být nová, nepoužívaná vozidla s rokem výroby ne starším než 12 měsíců před zahájení</w:t>
      </w:r>
      <w:r>
        <w:rPr>
          <w:rFonts w:cstheme="minorHAnsi"/>
        </w:rPr>
        <w:t>m</w:t>
      </w:r>
      <w:r w:rsidRPr="00D4565E">
        <w:rPr>
          <w:rFonts w:cstheme="minorHAnsi"/>
        </w:rPr>
        <w:t xml:space="preserve"> </w:t>
      </w:r>
      <w:proofErr w:type="spellStart"/>
      <w:r w:rsidRPr="00D4565E">
        <w:rPr>
          <w:rFonts w:cstheme="minorHAnsi"/>
        </w:rPr>
        <w:t>minitendru</w:t>
      </w:r>
      <w:proofErr w:type="spellEnd"/>
      <w:r w:rsidRPr="00D4565E">
        <w:rPr>
          <w:rFonts w:cstheme="minorHAnsi"/>
        </w:rPr>
        <w:t xml:space="preserve"> a dále s takovou maximální ujetou vzdáleností, která je nutná pro převoz vozidla do místa dodání. Kupující musí být první osobou (majitelem</w:t>
      </w:r>
      <w:r w:rsidRPr="000D555F">
        <w:rPr>
          <w:rFonts w:cstheme="minorHAnsi"/>
        </w:rPr>
        <w:t>, resp. provozovatelem</w:t>
      </w:r>
      <w:r w:rsidRPr="00D4565E">
        <w:rPr>
          <w:rFonts w:cstheme="minorHAnsi"/>
        </w:rPr>
        <w:t>) zapsanou</w:t>
      </w:r>
      <w:r w:rsidRPr="003E2A56">
        <w:rPr>
          <w:rFonts w:cstheme="minorHAnsi"/>
        </w:rPr>
        <w:t xml:space="preserve"> v</w:t>
      </w:r>
      <w:r>
        <w:rPr>
          <w:rFonts w:cstheme="minorHAnsi"/>
        </w:rPr>
        <w:t> osvědčení o registraci vozidla</w:t>
      </w:r>
      <w:r w:rsidRPr="003E2A56">
        <w:rPr>
          <w:rFonts w:cstheme="minorHAnsi"/>
        </w:rPr>
        <w:t>.</w:t>
      </w:r>
    </w:p>
    <w:p w14:paraId="27F86727" w14:textId="77777777" w:rsidR="00F378E8" w:rsidRPr="00805DA3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 w:rsidRPr="00BD7AFA">
        <w:rPr>
          <w:rFonts w:cstheme="minorHAnsi"/>
        </w:rPr>
        <w:t>Prodávající je povinen zajistit změnu vlastníka silničního vozidla v souladu se zákonem č. 56/2001 Sb., o podmínkách provozu vozidel na pozemních komunikacích, a veškeré související činnosti (tzn. kompletní přepis vozidla/vozidel),</w:t>
      </w:r>
      <w:r>
        <w:rPr>
          <w:rFonts w:cstheme="minorHAnsi"/>
        </w:rPr>
        <w:t xml:space="preserve"> přičemž veškeré vzniklé náklady v souvislosti se změnou vlastníka budou součástí nabídkové ceny prodávajícího.</w:t>
      </w:r>
      <w:r w:rsidRPr="00F378E8">
        <w:rPr>
          <w:rFonts w:cstheme="minorHAnsi"/>
        </w:rPr>
        <w:t xml:space="preserve"> Zápis silničního vozidla do registru silničních vozidel je prodávající povinen provést do 5 pracovních dnů od předání a převzetí předmětu koupě.</w:t>
      </w:r>
    </w:p>
    <w:p w14:paraId="7F9A0939" w14:textId="77777777" w:rsidR="00F378E8" w:rsidRPr="00BD7AFA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 w:rsidRPr="00BD7AFA">
        <w:rPr>
          <w:rFonts w:cstheme="minorHAnsi"/>
        </w:rPr>
        <w:t>Spolu s vozidlem/vozidly předá prodávající kupujícímu i:</w:t>
      </w:r>
    </w:p>
    <w:p w14:paraId="5360C98A" w14:textId="77777777" w:rsidR="00F378E8" w:rsidRPr="00F378E8" w:rsidRDefault="00F378E8" w:rsidP="00F378E8">
      <w:pPr>
        <w:spacing w:before="80" w:line="276" w:lineRule="auto"/>
        <w:ind w:left="708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>1. návody k obsluze a údržbě vozidel,</w:t>
      </w:r>
    </w:p>
    <w:p w14:paraId="43209A76" w14:textId="77777777" w:rsidR="00F378E8" w:rsidRPr="00F378E8" w:rsidRDefault="00F378E8" w:rsidP="00F378E8">
      <w:pPr>
        <w:spacing w:before="80" w:line="276" w:lineRule="auto"/>
        <w:ind w:left="709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>2. servisní knížky k vozidlům,</w:t>
      </w:r>
    </w:p>
    <w:p w14:paraId="54D266D9" w14:textId="77777777" w:rsidR="00F378E8" w:rsidRPr="00F378E8" w:rsidRDefault="00F378E8" w:rsidP="00F378E8">
      <w:pPr>
        <w:spacing w:before="80" w:line="276" w:lineRule="auto"/>
        <w:ind w:left="708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 xml:space="preserve">3. </w:t>
      </w:r>
      <w:proofErr w:type="spellStart"/>
      <w:r w:rsidRPr="00F378E8">
        <w:rPr>
          <w:rFonts w:ascii="Century Gothic" w:hAnsi="Century Gothic" w:cstheme="minorHAnsi"/>
          <w:sz w:val="20"/>
          <w:szCs w:val="24"/>
          <w:lang w:eastAsia="cs-CZ"/>
        </w:rPr>
        <w:t>CoC</w:t>
      </w:r>
      <w:proofErr w:type="spellEnd"/>
      <w:r w:rsidRPr="00F378E8">
        <w:rPr>
          <w:rFonts w:ascii="Century Gothic" w:hAnsi="Century Gothic" w:cstheme="minorHAnsi"/>
          <w:sz w:val="20"/>
          <w:szCs w:val="24"/>
          <w:lang w:eastAsia="cs-CZ"/>
        </w:rPr>
        <w:t xml:space="preserve"> listy (listy pravosti) </w:t>
      </w:r>
    </w:p>
    <w:p w14:paraId="26C085B3" w14:textId="77777777" w:rsidR="00F378E8" w:rsidRPr="00F378E8" w:rsidRDefault="00F378E8" w:rsidP="00F378E8">
      <w:pPr>
        <w:spacing w:before="80" w:line="276" w:lineRule="auto"/>
        <w:ind w:left="708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>4. předávací protokol s uvedením počtu ujetých km a potvrzením o proškolení obsluhy</w:t>
      </w:r>
    </w:p>
    <w:p w14:paraId="42D5E8F6" w14:textId="77777777" w:rsidR="00F378E8" w:rsidRPr="00F378E8" w:rsidRDefault="00F378E8" w:rsidP="00F378E8">
      <w:pPr>
        <w:spacing w:before="80" w:line="276" w:lineRule="auto"/>
        <w:ind w:left="708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>5. další nezbytné průvodní doklady vážící se k vozidlům.</w:t>
      </w:r>
    </w:p>
    <w:p w14:paraId="23570367" w14:textId="77777777" w:rsidR="00F378E8" w:rsidRPr="00F378E8" w:rsidRDefault="00F378E8" w:rsidP="00F378E8">
      <w:pPr>
        <w:spacing w:before="80" w:line="276" w:lineRule="auto"/>
        <w:ind w:left="709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t>Bez těchto dokladů nebudou vozidla považována za předaná a kupující je oprávněn nepodepsat předávací protokol, který je nutnou součástí předání vozidla.</w:t>
      </w:r>
    </w:p>
    <w:p w14:paraId="5C2A5EAF" w14:textId="77777777" w:rsidR="00F378E8" w:rsidRPr="008B13FD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 w:rsidRPr="00F378E8">
        <w:t xml:space="preserve">Místem dodání je sídlo </w:t>
      </w:r>
      <w:r w:rsidR="00872ACB">
        <w:t xml:space="preserve">prodávajícího na adrese Okružní </w:t>
      </w:r>
      <w:proofErr w:type="gramStart"/>
      <w:r w:rsidR="00872ACB">
        <w:t>25a</w:t>
      </w:r>
      <w:proofErr w:type="gramEnd"/>
      <w:r w:rsidR="00872ACB">
        <w:t>, Brno</w:t>
      </w:r>
      <w:r w:rsidRPr="00F378E8">
        <w:rPr>
          <w:rFonts w:cstheme="minorHAnsi"/>
        </w:rPr>
        <w:t>.</w:t>
      </w:r>
    </w:p>
    <w:p w14:paraId="607F385D" w14:textId="77777777" w:rsidR="00F378E8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 w:rsidRPr="00BD7AFA">
        <w:rPr>
          <w:rFonts w:cstheme="minorHAnsi"/>
        </w:rPr>
        <w:t>Náklady na dopravu vozidel do místa dodání</w:t>
      </w:r>
      <w:r>
        <w:rPr>
          <w:rFonts w:cstheme="minorHAnsi"/>
        </w:rPr>
        <w:t xml:space="preserve"> stanoveného kupujícím</w:t>
      </w:r>
      <w:r w:rsidRPr="00BD7AFA">
        <w:rPr>
          <w:rFonts w:cstheme="minorHAnsi"/>
        </w:rPr>
        <w:t xml:space="preserve"> nese prodávající.</w:t>
      </w:r>
    </w:p>
    <w:p w14:paraId="0BA22AFE" w14:textId="77777777" w:rsidR="00F378E8" w:rsidRPr="00BD7AFA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>
        <w:rPr>
          <w:rFonts w:cstheme="minorHAnsi"/>
        </w:rPr>
        <w:t xml:space="preserve">Kupující neposkytuje prodávajícímu zálohy. </w:t>
      </w:r>
      <w:r w:rsidRPr="00105AD3">
        <w:rPr>
          <w:rFonts w:cstheme="minorHAnsi"/>
        </w:rPr>
        <w:t>Úhrada kupní ceny kupujícím prodávajícímu bude provedena nejdříve po doručení vystavené faktury kupujícímu. Prodávající je oprávněn vystavit fakturu nejdříve ke dni předání a převzetí předmětu plnění. Splatnost faktur činí 14 dní ode dne doručení faktury kupujícímu. Úhrada kupní ceny bude provedena bankovním převodem.</w:t>
      </w:r>
    </w:p>
    <w:p w14:paraId="675818A1" w14:textId="77777777" w:rsidR="00F378E8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>
        <w:rPr>
          <w:rFonts w:cstheme="minorHAnsi"/>
        </w:rPr>
        <w:t>Smluvní pokuta</w:t>
      </w:r>
      <w:r w:rsidRPr="00AF5371">
        <w:rPr>
          <w:rFonts w:cstheme="minorHAnsi"/>
        </w:rPr>
        <w:t xml:space="preserve"> za prodlení kupujícího s úhradou faktury bude max. 0,05 % z fakturované částky za každý den prodlení.</w:t>
      </w:r>
    </w:p>
    <w:p w14:paraId="39B5C7D5" w14:textId="77777777" w:rsidR="00F378E8" w:rsidRPr="00AF5371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 w:rsidRPr="00A9102D">
        <w:rPr>
          <w:rFonts w:cstheme="minorHAnsi"/>
        </w:rPr>
        <w:t xml:space="preserve">V případě prodlení s dodávkou </w:t>
      </w:r>
      <w:r>
        <w:rPr>
          <w:rFonts w:cstheme="minorHAnsi"/>
        </w:rPr>
        <w:t xml:space="preserve">může kupující po </w:t>
      </w:r>
      <w:r w:rsidRPr="00A9102D">
        <w:rPr>
          <w:rFonts w:cstheme="minorHAnsi"/>
        </w:rPr>
        <w:t>prodávající</w:t>
      </w:r>
      <w:r>
        <w:rPr>
          <w:rFonts w:cstheme="minorHAnsi"/>
        </w:rPr>
        <w:t>m požadovat</w:t>
      </w:r>
      <w:r w:rsidRPr="00A9102D">
        <w:rPr>
          <w:rFonts w:cstheme="minorHAnsi"/>
        </w:rPr>
        <w:t xml:space="preserve"> smluvní pokutu ve výši</w:t>
      </w:r>
      <w:r>
        <w:rPr>
          <w:rFonts w:cstheme="minorHAnsi"/>
        </w:rPr>
        <w:t xml:space="preserve"> </w:t>
      </w:r>
      <w:r w:rsidRPr="00A9102D">
        <w:rPr>
          <w:rFonts w:cstheme="minorHAnsi"/>
        </w:rPr>
        <w:t>0,05 % z celkové ceny dodávky za každý den prodlení.</w:t>
      </w:r>
    </w:p>
    <w:p w14:paraId="0DC00D13" w14:textId="77777777" w:rsidR="00F378E8" w:rsidRPr="00BD7AFA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6" w:hanging="357"/>
        <w:rPr>
          <w:rFonts w:cstheme="minorHAnsi"/>
        </w:rPr>
      </w:pPr>
      <w:r>
        <w:rPr>
          <w:rFonts w:cstheme="minorHAnsi"/>
        </w:rPr>
        <w:t>Při prodlení s dodáním předmětu plnění o více než 30 dní je kupující oprávněn odstoupit od smlouvy.</w:t>
      </w:r>
    </w:p>
    <w:p w14:paraId="1BC24B73" w14:textId="77777777" w:rsidR="00F378E8" w:rsidRPr="00D44A2F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5" w:hanging="357"/>
        <w:rPr>
          <w:rFonts w:cstheme="minorHAnsi"/>
        </w:rPr>
      </w:pPr>
      <w:r w:rsidRPr="00D44A2F">
        <w:rPr>
          <w:rFonts w:cstheme="minorHAnsi"/>
        </w:rPr>
        <w:t xml:space="preserve">Prodávající je povinen zajistit záruční servis a řešení předepsaných servisních prohlídek u Prodávajícího nebo v autorizovaném servisu výrobce, a to ve vzdálenosti do 50 km </w:t>
      </w:r>
      <w:r w:rsidRPr="00D91C98">
        <w:rPr>
          <w:rFonts w:cstheme="minorHAnsi"/>
        </w:rPr>
        <w:t xml:space="preserve">od </w:t>
      </w:r>
      <w:r w:rsidR="00872ACB">
        <w:rPr>
          <w:rFonts w:cstheme="minorHAnsi"/>
        </w:rPr>
        <w:t>sídla</w:t>
      </w:r>
      <w:r>
        <w:rPr>
          <w:rFonts w:cstheme="minorHAnsi"/>
        </w:rPr>
        <w:t>.</w:t>
      </w:r>
    </w:p>
    <w:p w14:paraId="07D54170" w14:textId="77777777" w:rsidR="00F378E8" w:rsidRPr="00F378E8" w:rsidRDefault="00F378E8" w:rsidP="00F378E8">
      <w:pPr>
        <w:spacing w:before="80" w:line="276" w:lineRule="auto"/>
        <w:ind w:left="425"/>
        <w:jc w:val="both"/>
        <w:rPr>
          <w:rFonts w:ascii="Century Gothic" w:hAnsi="Century Gothic" w:cstheme="minorHAnsi"/>
          <w:sz w:val="20"/>
          <w:szCs w:val="24"/>
          <w:lang w:eastAsia="cs-CZ"/>
        </w:rPr>
      </w:pPr>
      <w:r w:rsidRPr="00F378E8">
        <w:rPr>
          <w:rFonts w:ascii="Century Gothic" w:hAnsi="Century Gothic" w:cstheme="minorHAnsi"/>
          <w:sz w:val="20"/>
          <w:szCs w:val="24"/>
          <w:lang w:eastAsia="cs-CZ"/>
        </w:rPr>
        <w:lastRenderedPageBreak/>
        <w:t>Současně v případě záruční opravy vozidla nezpůsobilého k provozu z důvodu výrobní vady prodávající zajistí možnost bezplatného poskytnutí náhradního vozidla po dobu provádění záručního servisu.</w:t>
      </w:r>
    </w:p>
    <w:p w14:paraId="1B3C242E" w14:textId="77777777" w:rsidR="00F378E8" w:rsidRPr="00F378E8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5" w:hanging="357"/>
        <w:rPr>
          <w:rFonts w:cstheme="minorHAnsi"/>
        </w:rPr>
      </w:pPr>
      <w:r w:rsidRPr="00F378E8">
        <w:rPr>
          <w:rFonts w:cstheme="minorHAnsi"/>
        </w:rPr>
        <w:t xml:space="preserve">Součástí předání vozidel bude i proškolení obsluhy – seznámení s optimálním provozním režimem vozidel, seznámení s </w:t>
      </w:r>
      <w:proofErr w:type="spellStart"/>
      <w:r w:rsidRPr="00F378E8">
        <w:rPr>
          <w:rFonts w:cstheme="minorHAnsi"/>
        </w:rPr>
        <w:t>infotainmentem</w:t>
      </w:r>
      <w:proofErr w:type="spellEnd"/>
      <w:r w:rsidRPr="00F378E8">
        <w:rPr>
          <w:rFonts w:cstheme="minorHAnsi"/>
        </w:rPr>
        <w:t xml:space="preserve"> vozidel.</w:t>
      </w:r>
    </w:p>
    <w:p w14:paraId="6D44BEEB" w14:textId="77777777" w:rsidR="00F378E8" w:rsidRPr="00F378E8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5" w:hanging="357"/>
        <w:rPr>
          <w:rFonts w:cstheme="minorHAnsi"/>
        </w:rPr>
      </w:pPr>
      <w:r w:rsidRPr="00F378E8">
        <w:rPr>
          <w:rFonts w:cstheme="minorHAnsi"/>
        </w:rPr>
        <w:t>Smluvní strany mohou odstoupit od kupní smlouvy pouze v případě podstatného porušení smluvních povinností druhé smluvní strany.</w:t>
      </w:r>
    </w:p>
    <w:p w14:paraId="015D1EC8" w14:textId="77777777" w:rsidR="00F378E8" w:rsidRPr="00F378E8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5" w:hanging="357"/>
        <w:rPr>
          <w:rFonts w:cstheme="minorHAnsi"/>
        </w:rPr>
      </w:pPr>
      <w:r w:rsidRPr="00F378E8">
        <w:rPr>
          <w:rFonts w:cstheme="minorHAnsi"/>
        </w:rPr>
        <w:t>Závazek z kupní smlouvy nelze vypovědět z jiných důvodů, než které jsou stanoveny zákonem č. 89/2012 Sb., občanským zákoníkem, ve znění pozdějších předpisů. Výpověď bez uvedení důvodu není možná.</w:t>
      </w:r>
    </w:p>
    <w:p w14:paraId="6C72973A" w14:textId="77777777" w:rsidR="00F378E8" w:rsidRPr="00F378E8" w:rsidRDefault="00F378E8" w:rsidP="00F378E8">
      <w:pPr>
        <w:pStyle w:val="Odstavecseseznamem"/>
        <w:numPr>
          <w:ilvl w:val="0"/>
          <w:numId w:val="5"/>
        </w:numPr>
        <w:spacing w:before="80" w:line="276" w:lineRule="auto"/>
        <w:ind w:left="425" w:hanging="357"/>
        <w:rPr>
          <w:rFonts w:cstheme="minorHAnsi"/>
        </w:rPr>
      </w:pPr>
      <w:r w:rsidRPr="00F378E8">
        <w:rPr>
          <w:rFonts w:cstheme="minorHAnsi"/>
        </w:rPr>
        <w:t>Tato smlouva nabývá účinnosti nejdříve okamžikem vyznačení schvalovací doložky Biskupství brněnského ve smyslu partikulárního zákona PZ 5.2., ledaže je kupní cena dle této smlouvy nižší než 2 000 000 Kč včetně DPH, v tom případě nabývá smlouva účinnosti podpisem obou smluvních stran.</w:t>
      </w:r>
    </w:p>
    <w:p w14:paraId="03206B3C" w14:textId="77777777" w:rsidR="00ED1B2D" w:rsidRDefault="00ED1B2D" w:rsidP="00ED1B2D">
      <w:pPr>
        <w:pStyle w:val="Styl2"/>
        <w:numPr>
          <w:ilvl w:val="0"/>
          <w:numId w:val="0"/>
        </w:numPr>
        <w:ind w:left="363"/>
        <w:rPr>
          <w:color w:val="000000"/>
        </w:rPr>
      </w:pPr>
    </w:p>
    <w:p w14:paraId="0DBE8FAD" w14:textId="77777777" w:rsidR="00BB67E0" w:rsidRDefault="00BB67E0">
      <w:pPr>
        <w:jc w:val="center"/>
        <w:rPr>
          <w:b/>
          <w:bCs/>
          <w:color w:val="000000" w:themeColor="text1"/>
          <w:szCs w:val="24"/>
        </w:rPr>
      </w:pPr>
    </w:p>
    <w:p w14:paraId="629AA023" w14:textId="77777777" w:rsidR="00BB67E0" w:rsidRDefault="00BB67E0">
      <w:pPr>
        <w:jc w:val="both"/>
        <w:rPr>
          <w:color w:val="000000" w:themeColor="text1"/>
        </w:rPr>
      </w:pPr>
    </w:p>
    <w:p w14:paraId="60FE49B6" w14:textId="77777777" w:rsidR="00BB67E0" w:rsidRDefault="00BB67E0">
      <w:pPr>
        <w:jc w:val="both"/>
        <w:rPr>
          <w:color w:val="000000" w:themeColor="text1"/>
        </w:rPr>
      </w:pPr>
    </w:p>
    <w:p w14:paraId="165EB3A5" w14:textId="77777777" w:rsidR="00BB67E0" w:rsidRDefault="00DA3731">
      <w:pPr>
        <w:tabs>
          <w:tab w:val="left" w:pos="510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 Brně, dne   </w:t>
      </w:r>
      <w:r w:rsidR="00F378E8">
        <w:rPr>
          <w:color w:val="000000" w:themeColor="text1"/>
          <w:szCs w:val="24"/>
        </w:rPr>
        <w:t>2</w:t>
      </w:r>
      <w:r w:rsidR="00872AC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.</w:t>
      </w:r>
      <w:r w:rsidR="00872ACB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>.202</w:t>
      </w:r>
      <w:r w:rsidR="00F378E8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 xml:space="preserve">                    </w:t>
      </w:r>
      <w:r>
        <w:rPr>
          <w:color w:val="000000" w:themeColor="text1"/>
          <w:szCs w:val="24"/>
        </w:rPr>
        <w:tab/>
        <w:t>V </w:t>
      </w:r>
      <w:r w:rsidR="00872ACB">
        <w:rPr>
          <w:color w:val="000000" w:themeColor="text1"/>
          <w:szCs w:val="24"/>
        </w:rPr>
        <w:t>Tišnově</w:t>
      </w:r>
      <w:r>
        <w:rPr>
          <w:color w:val="000000" w:themeColor="text1"/>
          <w:szCs w:val="24"/>
        </w:rPr>
        <w:t xml:space="preserve"> dne</w:t>
      </w:r>
      <w:r>
        <w:rPr>
          <w:color w:val="000000" w:themeColor="text1"/>
          <w:szCs w:val="24"/>
        </w:rPr>
        <w:tab/>
        <w:t xml:space="preserve">                 </w:t>
      </w:r>
    </w:p>
    <w:p w14:paraId="4A1E8354" w14:textId="77777777" w:rsidR="00BB67E0" w:rsidRDefault="00BB67E0">
      <w:pPr>
        <w:rPr>
          <w:color w:val="000000" w:themeColor="text1"/>
          <w:szCs w:val="24"/>
        </w:rPr>
      </w:pPr>
    </w:p>
    <w:p w14:paraId="0FA104CF" w14:textId="77777777" w:rsidR="00BB67E0" w:rsidRDefault="00BB67E0">
      <w:pPr>
        <w:rPr>
          <w:color w:val="000000" w:themeColor="text1"/>
          <w:szCs w:val="24"/>
        </w:rPr>
      </w:pPr>
    </w:p>
    <w:p w14:paraId="2F424421" w14:textId="77777777" w:rsidR="00BB67E0" w:rsidRDefault="00BB67E0">
      <w:pPr>
        <w:rPr>
          <w:color w:val="000000" w:themeColor="text1"/>
          <w:szCs w:val="24"/>
        </w:rPr>
      </w:pPr>
    </w:p>
    <w:p w14:paraId="1C3C720B" w14:textId="77777777" w:rsidR="00BB67E0" w:rsidRDefault="00DA3731">
      <w:pPr>
        <w:tabs>
          <w:tab w:val="left" w:pos="510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…...............................................................                 …...............................................................   </w:t>
      </w:r>
      <w:r>
        <w:rPr>
          <w:color w:val="000000" w:themeColor="text1"/>
          <w:szCs w:val="24"/>
        </w:rPr>
        <w:tab/>
        <w:t xml:space="preserve"> </w:t>
      </w:r>
    </w:p>
    <w:p w14:paraId="55EFD17B" w14:textId="77777777" w:rsidR="00BB67E0" w:rsidRDefault="00DA3731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za </w:t>
      </w:r>
      <w:r>
        <w:rPr>
          <w:b/>
          <w:bCs/>
          <w:color w:val="000000" w:themeColor="text1"/>
          <w:szCs w:val="24"/>
        </w:rPr>
        <w:t xml:space="preserve">prodávajícího                                                         </w:t>
      </w:r>
      <w:r>
        <w:rPr>
          <w:color w:val="000000" w:themeColor="text1"/>
          <w:szCs w:val="24"/>
        </w:rPr>
        <w:t xml:space="preserve">za </w:t>
      </w:r>
      <w:r>
        <w:rPr>
          <w:b/>
          <w:bCs/>
          <w:color w:val="000000" w:themeColor="text1"/>
          <w:szCs w:val="24"/>
        </w:rPr>
        <w:t>kupujícího</w:t>
      </w:r>
    </w:p>
    <w:p w14:paraId="6C445271" w14:textId="3DBE706F" w:rsidR="00BB67E0" w:rsidRDefault="00DA3731" w:rsidP="00AC6DBF">
      <w:pPr>
        <w:tabs>
          <w:tab w:val="left" w:pos="5103"/>
          <w:tab w:val="left" w:pos="5670"/>
        </w:tabs>
        <w:ind w:right="-426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Zdeněk Pokorný, jednatel                                            </w:t>
      </w:r>
      <w:r w:rsidR="00AC6DBF">
        <w:rPr>
          <w:bCs/>
          <w:color w:val="000000" w:themeColor="text1"/>
          <w:szCs w:val="24"/>
        </w:rPr>
        <w:t>PhDr Jana Hutařová, ředitelka CSS Tišnov</w:t>
      </w:r>
    </w:p>
    <w:p w14:paraId="141BB56F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060C2AE2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1BD5E57D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77D1A787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4114CBF2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55E0DDF3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2EAFA7B8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23C1FBA9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63E0569D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3067A52B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13383E30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6FB66990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43FCA702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4E9FCE91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63C47E85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04369919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3D9C1352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279E1652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76CAFFFB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64CB493A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65C51873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5547E092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417F375A" w14:textId="77777777" w:rsidR="00473E3C" w:rsidRDefault="00473E3C">
      <w:pPr>
        <w:tabs>
          <w:tab w:val="left" w:pos="5103"/>
          <w:tab w:val="left" w:pos="5670"/>
        </w:tabs>
        <w:rPr>
          <w:bCs/>
          <w:color w:val="000000" w:themeColor="text1"/>
          <w:szCs w:val="24"/>
        </w:rPr>
      </w:pPr>
    </w:p>
    <w:p w14:paraId="487B4A44" w14:textId="77777777" w:rsidR="00473E3C" w:rsidRDefault="00872ACB">
      <w:pPr>
        <w:tabs>
          <w:tab w:val="left" w:pos="5103"/>
          <w:tab w:val="left" w:pos="5670"/>
        </w:tabs>
        <w:rPr>
          <w:color w:val="000000" w:themeColor="text1"/>
        </w:rPr>
      </w:pPr>
      <w:r>
        <w:rPr>
          <w:noProof/>
          <w:lang w:eastAsia="cs-CZ"/>
        </w:rPr>
        <w:lastRenderedPageBreak/>
        <w:drawing>
          <wp:inline distT="0" distB="0" distL="0" distR="0" wp14:anchorId="7849779B" wp14:editId="357E63C1">
            <wp:extent cx="5093970" cy="8258810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E3C">
      <w:pgSz w:w="11906" w:h="16838"/>
      <w:pgMar w:top="1417" w:right="1417" w:bottom="127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DB6540E"/>
    <w:multiLevelType w:val="hybridMultilevel"/>
    <w:tmpl w:val="D0FC600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F3C09"/>
    <w:multiLevelType w:val="multilevel"/>
    <w:tmpl w:val="AA8AF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ED4F5F"/>
    <w:multiLevelType w:val="multilevel"/>
    <w:tmpl w:val="8F8A477C"/>
    <w:lvl w:ilvl="0">
      <w:start w:val="1"/>
      <w:numFmt w:val="decimal"/>
      <w:pStyle w:val="Cislovani3"/>
      <w:lvlText w:val="%1."/>
      <w:lvlJc w:val="left"/>
      <w:pPr>
        <w:tabs>
          <w:tab w:val="num" w:pos="0"/>
        </w:tabs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02010A"/>
    <w:multiLevelType w:val="hybridMultilevel"/>
    <w:tmpl w:val="4866F47A"/>
    <w:lvl w:ilvl="0" w:tplc="040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 w15:restartNumberingAfterBreak="0">
    <w:nsid w:val="74F65142"/>
    <w:multiLevelType w:val="multilevel"/>
    <w:tmpl w:val="1292B4F0"/>
    <w:lvl w:ilvl="0">
      <w:start w:val="1"/>
      <w:numFmt w:val="decimal"/>
      <w:pStyle w:val="Styl2"/>
      <w:lvlText w:val="%1."/>
      <w:lvlJc w:val="left"/>
      <w:pPr>
        <w:tabs>
          <w:tab w:val="num" w:pos="363"/>
        </w:tabs>
        <w:ind w:left="363" w:hanging="363"/>
      </w:pPr>
      <w:rPr>
        <w:bCs/>
        <w:szCs w:val="24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</w:lvl>
    <w:lvl w:ilvl="3">
      <w:start w:val="1"/>
      <w:numFmt w:val="decimal"/>
      <w:lvlText w:val="%4."/>
      <w:lvlJc w:val="left"/>
      <w:pPr>
        <w:tabs>
          <w:tab w:val="num" w:pos="363"/>
        </w:tabs>
        <w:ind w:left="363" w:hanging="363"/>
      </w:pPr>
    </w:lvl>
    <w:lvl w:ilvl="4">
      <w:start w:val="1"/>
      <w:numFmt w:val="decimal"/>
      <w:lvlText w:val="%5."/>
      <w:lvlJc w:val="left"/>
      <w:pPr>
        <w:tabs>
          <w:tab w:val="num" w:pos="363"/>
        </w:tabs>
        <w:ind w:left="363" w:hanging="363"/>
      </w:pPr>
    </w:lvl>
    <w:lvl w:ilvl="5">
      <w:start w:val="1"/>
      <w:numFmt w:val="decimal"/>
      <w:lvlText w:val="%6."/>
      <w:lvlJc w:val="left"/>
      <w:pPr>
        <w:tabs>
          <w:tab w:val="num" w:pos="363"/>
        </w:tabs>
        <w:ind w:left="363" w:hanging="363"/>
      </w:pPr>
    </w:lvl>
    <w:lvl w:ilvl="6">
      <w:start w:val="1"/>
      <w:numFmt w:val="decimal"/>
      <w:lvlText w:val="%7."/>
      <w:lvlJc w:val="left"/>
      <w:pPr>
        <w:tabs>
          <w:tab w:val="num" w:pos="363"/>
        </w:tabs>
        <w:ind w:left="363" w:hanging="363"/>
      </w:pPr>
    </w:lvl>
    <w:lvl w:ilvl="7">
      <w:start w:val="1"/>
      <w:numFmt w:val="decimal"/>
      <w:lvlText w:val="%8."/>
      <w:lvlJc w:val="left"/>
      <w:pPr>
        <w:tabs>
          <w:tab w:val="num" w:pos="363"/>
        </w:tabs>
        <w:ind w:left="363" w:hanging="363"/>
      </w:pPr>
    </w:lvl>
    <w:lvl w:ilvl="8">
      <w:start w:val="1"/>
      <w:numFmt w:val="decimal"/>
      <w:lvlText w:val="%9."/>
      <w:lvlJc w:val="left"/>
      <w:pPr>
        <w:tabs>
          <w:tab w:val="num" w:pos="363"/>
        </w:tabs>
        <w:ind w:left="363" w:hanging="363"/>
      </w:pPr>
    </w:lvl>
  </w:abstractNum>
  <w:num w:numId="1" w16cid:durableId="423187956">
    <w:abstractNumId w:val="2"/>
  </w:num>
  <w:num w:numId="2" w16cid:durableId="1426075962">
    <w:abstractNumId w:val="4"/>
  </w:num>
  <w:num w:numId="3" w16cid:durableId="479928271">
    <w:abstractNumId w:val="1"/>
  </w:num>
  <w:num w:numId="4" w16cid:durableId="1448083624">
    <w:abstractNumId w:val="0"/>
  </w:num>
  <w:num w:numId="5" w16cid:durableId="1435251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E0"/>
    <w:rsid w:val="0017790A"/>
    <w:rsid w:val="001F483D"/>
    <w:rsid w:val="00255E15"/>
    <w:rsid w:val="00402D73"/>
    <w:rsid w:val="00473E3C"/>
    <w:rsid w:val="004F200F"/>
    <w:rsid w:val="00736BE2"/>
    <w:rsid w:val="008327CB"/>
    <w:rsid w:val="00872ACB"/>
    <w:rsid w:val="00874464"/>
    <w:rsid w:val="00AA5C88"/>
    <w:rsid w:val="00AC6DBF"/>
    <w:rsid w:val="00BB67E0"/>
    <w:rsid w:val="00DA3731"/>
    <w:rsid w:val="00E85CC6"/>
    <w:rsid w:val="00ED1B2D"/>
    <w:rsid w:val="00F05FBB"/>
    <w:rsid w:val="00F3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72E2"/>
  <w15:docId w15:val="{58D68049-FB5D-4EB3-8C66-37211E33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A8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747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qFormat/>
    <w:rsid w:val="000E7A8C"/>
    <w:pPr>
      <w:jc w:val="both"/>
    </w:pPr>
  </w:style>
  <w:style w:type="paragraph" w:styleId="Odstavecseseznamem">
    <w:name w:val="List Paragraph"/>
    <w:basedOn w:val="Normln"/>
    <w:uiPriority w:val="34"/>
    <w:qFormat/>
    <w:rsid w:val="00B96E52"/>
    <w:pPr>
      <w:suppressAutoHyphens w:val="0"/>
      <w:ind w:left="708" w:firstLine="170"/>
      <w:jc w:val="both"/>
    </w:pPr>
    <w:rPr>
      <w:rFonts w:ascii="Century Gothic" w:hAnsi="Century Gothic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74712"/>
    <w:rPr>
      <w:rFonts w:ascii="Tahoma" w:hAnsi="Tahoma" w:cs="Tahoma"/>
      <w:sz w:val="16"/>
      <w:szCs w:val="16"/>
    </w:rPr>
  </w:style>
  <w:style w:type="paragraph" w:customStyle="1" w:styleId="Cislovani3">
    <w:name w:val="Cislovani 3"/>
    <w:basedOn w:val="Normln"/>
    <w:qFormat/>
    <w:pPr>
      <w:numPr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Styl2">
    <w:name w:val="Styl2"/>
    <w:basedOn w:val="Cislovani3"/>
    <w:qFormat/>
    <w:pPr>
      <w:numPr>
        <w:numId w:val="2"/>
      </w:numPr>
      <w:tabs>
        <w:tab w:val="left" w:pos="1702"/>
      </w:tabs>
      <w:jc w:val="both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D1B2D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F378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Martina Otepková</dc:creator>
  <cp:lastModifiedBy>Jana Hutařová</cp:lastModifiedBy>
  <cp:revision>2</cp:revision>
  <cp:lastPrinted>2024-06-27T11:33:00Z</cp:lastPrinted>
  <dcterms:created xsi:type="dcterms:W3CDTF">2024-06-28T07:06:00Z</dcterms:created>
  <dcterms:modified xsi:type="dcterms:W3CDTF">2024-06-28T07:06:00Z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