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5AD9" w14:textId="77777777" w:rsidR="006E795A" w:rsidRDefault="006E795A">
      <w:pPr>
        <w:spacing w:line="276" w:lineRule="auto"/>
        <w:ind w:left="0" w:hanging="2"/>
        <w:rPr>
          <w:b/>
          <w:sz w:val="24"/>
          <w:szCs w:val="24"/>
        </w:rPr>
      </w:pPr>
    </w:p>
    <w:sdt>
      <w:sdtPr>
        <w:tag w:val="goog_rdk_0"/>
        <w:id w:val="1954753933"/>
        <w:lock w:val="contentLocked"/>
      </w:sdtPr>
      <w:sdtContent>
        <w:tbl>
          <w:tblPr>
            <w:tblStyle w:val="a"/>
            <w:tblW w:w="1092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5535"/>
          </w:tblGrid>
          <w:tr w:rsidR="006E795A" w14:paraId="6AACF550" w14:textId="77777777">
            <w:tc>
              <w:tcPr>
                <w:tcW w:w="5385" w:type="dxa"/>
                <w:shd w:val="clear" w:color="auto" w:fill="auto"/>
                <w:tcMar>
                  <w:top w:w="100" w:type="dxa"/>
                  <w:left w:w="100" w:type="dxa"/>
                  <w:bottom w:w="100" w:type="dxa"/>
                  <w:right w:w="100" w:type="dxa"/>
                </w:tcMar>
              </w:tcPr>
              <w:p w14:paraId="6ACBEE34" w14:textId="77777777" w:rsidR="006E795A" w:rsidRDefault="00000000">
                <w:pPr>
                  <w:spacing w:line="276" w:lineRule="auto"/>
                  <w:ind w:left="0" w:hanging="2"/>
                  <w:jc w:val="center"/>
                  <w:rPr>
                    <w:b/>
                    <w:sz w:val="28"/>
                    <w:szCs w:val="28"/>
                  </w:rPr>
                </w:pPr>
                <w:r>
                  <w:rPr>
                    <w:b/>
                    <w:sz w:val="28"/>
                    <w:szCs w:val="28"/>
                  </w:rPr>
                  <w:t>DODATEK č. 1</w:t>
                </w:r>
              </w:p>
              <w:p w14:paraId="2C7E23A6" w14:textId="77777777" w:rsidR="006E795A" w:rsidRDefault="00000000">
                <w:pPr>
                  <w:spacing w:line="276" w:lineRule="auto"/>
                  <w:ind w:left="1" w:hanging="3"/>
                  <w:jc w:val="center"/>
                  <w:rPr>
                    <w:b/>
                    <w:sz w:val="16"/>
                    <w:szCs w:val="16"/>
                  </w:rPr>
                </w:pPr>
                <w:r>
                  <w:rPr>
                    <w:b/>
                    <w:sz w:val="28"/>
                    <w:szCs w:val="28"/>
                  </w:rPr>
                  <w:t>ke SMLOUVĚ O POSKYTOVÁNÍ SLUŽEB</w:t>
                </w:r>
              </w:p>
            </w:tc>
            <w:tc>
              <w:tcPr>
                <w:tcW w:w="5535" w:type="dxa"/>
                <w:shd w:val="clear" w:color="auto" w:fill="auto"/>
                <w:tcMar>
                  <w:top w:w="100" w:type="dxa"/>
                  <w:left w:w="100" w:type="dxa"/>
                  <w:bottom w:w="100" w:type="dxa"/>
                  <w:right w:w="100" w:type="dxa"/>
                </w:tcMar>
              </w:tcPr>
              <w:p w14:paraId="7E2A5A5D" w14:textId="77777777" w:rsidR="006E795A" w:rsidRDefault="00000000">
                <w:pPr>
                  <w:spacing w:line="276" w:lineRule="auto"/>
                  <w:ind w:left="1" w:hanging="3"/>
                  <w:jc w:val="center"/>
                  <w:rPr>
                    <w:b/>
                    <w:sz w:val="28"/>
                    <w:szCs w:val="28"/>
                  </w:rPr>
                </w:pPr>
                <w:r>
                  <w:rPr>
                    <w:b/>
                    <w:sz w:val="28"/>
                    <w:szCs w:val="28"/>
                  </w:rPr>
                  <w:t>APPENDIX 1</w:t>
                </w:r>
              </w:p>
              <w:p w14:paraId="39D9916E" w14:textId="77777777" w:rsidR="006E795A" w:rsidRDefault="00000000">
                <w:pPr>
                  <w:spacing w:line="276" w:lineRule="auto"/>
                  <w:ind w:left="1" w:hanging="3"/>
                  <w:jc w:val="center"/>
                  <w:rPr>
                    <w:b/>
                    <w:sz w:val="16"/>
                    <w:szCs w:val="16"/>
                  </w:rPr>
                </w:pPr>
                <w:r>
                  <w:rPr>
                    <w:b/>
                    <w:sz w:val="28"/>
                    <w:szCs w:val="28"/>
                  </w:rPr>
                  <w:t>to the SERVICE PROVISION AGREEMENT</w:t>
                </w:r>
              </w:p>
            </w:tc>
          </w:tr>
          <w:tr w:rsidR="006E795A" w14:paraId="0812783C" w14:textId="77777777">
            <w:tc>
              <w:tcPr>
                <w:tcW w:w="5385" w:type="dxa"/>
                <w:shd w:val="clear" w:color="auto" w:fill="auto"/>
                <w:tcMar>
                  <w:top w:w="100" w:type="dxa"/>
                  <w:left w:w="100" w:type="dxa"/>
                  <w:bottom w:w="100" w:type="dxa"/>
                  <w:right w:w="100" w:type="dxa"/>
                </w:tcMar>
              </w:tcPr>
              <w:p w14:paraId="084BDB6D" w14:textId="77777777" w:rsidR="006E795A" w:rsidRDefault="00000000">
                <w:pPr>
                  <w:spacing w:line="276" w:lineRule="auto"/>
                  <w:ind w:left="0" w:hanging="2"/>
                  <w:jc w:val="both"/>
                  <w:rPr>
                    <w:b/>
                    <w:sz w:val="24"/>
                    <w:szCs w:val="24"/>
                  </w:rPr>
                </w:pPr>
                <w:r>
                  <w:rPr>
                    <w:b/>
                    <w:sz w:val="24"/>
                    <w:szCs w:val="24"/>
                  </w:rPr>
                  <w:t>Smluvní strany:</w:t>
                </w:r>
              </w:p>
              <w:p w14:paraId="612DA483" w14:textId="77777777" w:rsidR="006E795A" w:rsidRDefault="00000000">
                <w:pPr>
                  <w:spacing w:line="276" w:lineRule="auto"/>
                  <w:ind w:left="0" w:hanging="2"/>
                  <w:jc w:val="both"/>
                  <w:rPr>
                    <w:b/>
                    <w:sz w:val="24"/>
                    <w:szCs w:val="24"/>
                  </w:rPr>
                </w:pPr>
                <w:r>
                  <w:rPr>
                    <w:b/>
                    <w:sz w:val="24"/>
                    <w:szCs w:val="24"/>
                  </w:rPr>
                  <w:t xml:space="preserve"> </w:t>
                </w:r>
              </w:p>
              <w:p w14:paraId="2F0D0D1C" w14:textId="77777777" w:rsidR="006E795A" w:rsidRDefault="00000000">
                <w:pPr>
                  <w:spacing w:line="276" w:lineRule="auto"/>
                  <w:ind w:left="0" w:hanging="2"/>
                  <w:jc w:val="both"/>
                  <w:rPr>
                    <w:b/>
                    <w:sz w:val="24"/>
                    <w:szCs w:val="24"/>
                  </w:rPr>
                </w:pPr>
                <w:r>
                  <w:rPr>
                    <w:b/>
                    <w:sz w:val="24"/>
                    <w:szCs w:val="24"/>
                  </w:rPr>
                  <w:t>České Budějovice – Evropské hlavní město kultury 2028, z.ú.</w:t>
                </w:r>
              </w:p>
              <w:p w14:paraId="22BCA4A5" w14:textId="77777777" w:rsidR="006E795A" w:rsidRDefault="00000000">
                <w:pPr>
                  <w:spacing w:line="276" w:lineRule="auto"/>
                  <w:ind w:left="0" w:hanging="2"/>
                  <w:jc w:val="both"/>
                  <w:rPr>
                    <w:b/>
                    <w:sz w:val="24"/>
                    <w:szCs w:val="24"/>
                  </w:rPr>
                </w:pPr>
                <w:r>
                  <w:rPr>
                    <w:b/>
                    <w:sz w:val="24"/>
                    <w:szCs w:val="24"/>
                  </w:rPr>
                  <w:t>se sídlem nám. Přemysla Otakara II. 1/1, České Budějovice 1, 370 01 České Budějovice</w:t>
                </w:r>
              </w:p>
              <w:p w14:paraId="3A050DA2" w14:textId="77777777" w:rsidR="006E795A" w:rsidRDefault="00000000">
                <w:pPr>
                  <w:spacing w:line="276" w:lineRule="auto"/>
                  <w:ind w:left="0" w:hanging="2"/>
                  <w:jc w:val="both"/>
                  <w:rPr>
                    <w:b/>
                    <w:sz w:val="24"/>
                    <w:szCs w:val="24"/>
                  </w:rPr>
                </w:pPr>
                <w:r>
                  <w:rPr>
                    <w:b/>
                    <w:sz w:val="24"/>
                    <w:szCs w:val="24"/>
                  </w:rPr>
                  <w:t>IČO: 193 11 052</w:t>
                </w:r>
              </w:p>
              <w:p w14:paraId="6EE8C276" w14:textId="77777777" w:rsidR="006E795A" w:rsidRDefault="00000000">
                <w:pPr>
                  <w:spacing w:line="276" w:lineRule="auto"/>
                  <w:ind w:left="0" w:hanging="2"/>
                  <w:jc w:val="both"/>
                  <w:rPr>
                    <w:b/>
                    <w:sz w:val="24"/>
                    <w:szCs w:val="24"/>
                  </w:rPr>
                </w:pPr>
                <w:r>
                  <w:rPr>
                    <w:b/>
                    <w:sz w:val="24"/>
                    <w:szCs w:val="24"/>
                  </w:rPr>
                  <w:t>DIČ: CZ19311052</w:t>
                </w:r>
              </w:p>
              <w:p w14:paraId="72791510" w14:textId="77777777" w:rsidR="006E795A" w:rsidRDefault="00000000">
                <w:pPr>
                  <w:spacing w:line="276" w:lineRule="auto"/>
                  <w:ind w:left="0" w:hanging="2"/>
                  <w:jc w:val="both"/>
                  <w:rPr>
                    <w:b/>
                    <w:sz w:val="24"/>
                    <w:szCs w:val="24"/>
                  </w:rPr>
                </w:pPr>
                <w:r>
                  <w:rPr>
                    <w:b/>
                    <w:sz w:val="24"/>
                    <w:szCs w:val="24"/>
                  </w:rPr>
                  <w:t>ústav zapsaný v rejstříku ústavů vedeném Krajským soudem v Českých Budějovicích, oddíl U, vložka 176</w:t>
                </w:r>
              </w:p>
              <w:p w14:paraId="2A29EBBE" w14:textId="77777777" w:rsidR="006E795A" w:rsidRDefault="00000000">
                <w:pPr>
                  <w:spacing w:line="276" w:lineRule="auto"/>
                  <w:ind w:left="0" w:hanging="2"/>
                  <w:jc w:val="both"/>
                  <w:rPr>
                    <w:b/>
                    <w:sz w:val="24"/>
                    <w:szCs w:val="24"/>
                    <w:highlight w:val="white"/>
                  </w:rPr>
                </w:pPr>
                <w:r>
                  <w:rPr>
                    <w:b/>
                    <w:sz w:val="24"/>
                    <w:szCs w:val="24"/>
                    <w:highlight w:val="white"/>
                  </w:rPr>
                  <w:t>bankovní spojení: Česká spořitelna</w:t>
                </w:r>
              </w:p>
              <w:p w14:paraId="2545A547" w14:textId="77777777" w:rsidR="006E795A" w:rsidRDefault="00000000">
                <w:pPr>
                  <w:shd w:val="clear" w:color="auto" w:fill="FFFFFF"/>
                  <w:spacing w:line="276" w:lineRule="auto"/>
                  <w:ind w:left="0" w:hanging="2"/>
                  <w:jc w:val="both"/>
                  <w:rPr>
                    <w:b/>
                    <w:sz w:val="24"/>
                    <w:szCs w:val="24"/>
                  </w:rPr>
                </w:pPr>
                <w:r>
                  <w:rPr>
                    <w:b/>
                    <w:sz w:val="24"/>
                    <w:szCs w:val="24"/>
                  </w:rPr>
                  <w:t>číslo účtu: 6495426309/0800</w:t>
                </w:r>
              </w:p>
              <w:p w14:paraId="7BE252AE" w14:textId="77777777" w:rsidR="006E795A" w:rsidRDefault="00000000">
                <w:pPr>
                  <w:shd w:val="clear" w:color="auto" w:fill="FFFFFF"/>
                  <w:spacing w:line="276" w:lineRule="auto"/>
                  <w:ind w:left="0" w:hanging="2"/>
                  <w:jc w:val="both"/>
                  <w:rPr>
                    <w:b/>
                    <w:sz w:val="24"/>
                    <w:szCs w:val="24"/>
                  </w:rPr>
                </w:pPr>
                <w:r>
                  <w:rPr>
                    <w:b/>
                    <w:sz w:val="24"/>
                    <w:szCs w:val="24"/>
                  </w:rPr>
                  <w:t>ID datové schránky: 954b2cu</w:t>
                </w:r>
              </w:p>
              <w:p w14:paraId="348ADEC3" w14:textId="77777777" w:rsidR="006E795A" w:rsidRDefault="00000000">
                <w:pPr>
                  <w:spacing w:line="276" w:lineRule="auto"/>
                  <w:ind w:left="0" w:hanging="2"/>
                  <w:jc w:val="both"/>
                  <w:rPr>
                    <w:b/>
                    <w:sz w:val="24"/>
                    <w:szCs w:val="24"/>
                  </w:rPr>
                </w:pPr>
                <w:r>
                  <w:rPr>
                    <w:b/>
                    <w:sz w:val="24"/>
                    <w:szCs w:val="24"/>
                  </w:rPr>
                  <w:t>zastoupený ředitelem Ing. Lukáš Černý</w:t>
                </w:r>
              </w:p>
              <w:p w14:paraId="4E90BAED" w14:textId="77777777" w:rsidR="006E795A" w:rsidRDefault="00000000">
                <w:pPr>
                  <w:spacing w:line="276" w:lineRule="auto"/>
                  <w:ind w:left="0" w:hanging="2"/>
                  <w:jc w:val="both"/>
                  <w:rPr>
                    <w:b/>
                    <w:sz w:val="24"/>
                    <w:szCs w:val="24"/>
                    <w:highlight w:val="black"/>
                  </w:rPr>
                </w:pPr>
                <w:r>
                  <w:rPr>
                    <w:b/>
                    <w:sz w:val="24"/>
                    <w:szCs w:val="24"/>
                    <w:highlight w:val="black"/>
                  </w:rPr>
                  <w:t>kontaktní osoba: Lucie Barnat, tel.: +420 605 309 315,</w:t>
                </w:r>
              </w:p>
              <w:p w14:paraId="215FF901" w14:textId="77777777" w:rsidR="006E795A" w:rsidRDefault="00000000">
                <w:pPr>
                  <w:spacing w:line="276" w:lineRule="auto"/>
                  <w:ind w:left="0" w:hanging="2"/>
                  <w:jc w:val="both"/>
                  <w:rPr>
                    <w:b/>
                    <w:sz w:val="24"/>
                    <w:szCs w:val="24"/>
                    <w:highlight w:val="black"/>
                  </w:rPr>
                </w:pPr>
                <w:r>
                  <w:rPr>
                    <w:b/>
                    <w:sz w:val="24"/>
                    <w:szCs w:val="24"/>
                    <w:highlight w:val="black"/>
                  </w:rPr>
                  <w:t>email: lucie.barnat@budejovice2028.cz</w:t>
                </w:r>
              </w:p>
              <w:p w14:paraId="79E06C35" w14:textId="77777777" w:rsidR="006E795A" w:rsidRDefault="00000000">
                <w:pPr>
                  <w:spacing w:line="276" w:lineRule="auto"/>
                  <w:ind w:left="0" w:hanging="2"/>
                  <w:jc w:val="both"/>
                  <w:rPr>
                    <w:b/>
                    <w:sz w:val="24"/>
                    <w:szCs w:val="24"/>
                  </w:rPr>
                </w:pPr>
                <w:r>
                  <w:rPr>
                    <w:b/>
                    <w:sz w:val="24"/>
                    <w:szCs w:val="24"/>
                  </w:rPr>
                  <w:t>jako objednatel na straně jedné (dále také jen „objednatel“)</w:t>
                </w:r>
              </w:p>
            </w:tc>
            <w:tc>
              <w:tcPr>
                <w:tcW w:w="5535" w:type="dxa"/>
                <w:shd w:val="clear" w:color="auto" w:fill="auto"/>
                <w:tcMar>
                  <w:top w:w="100" w:type="dxa"/>
                  <w:left w:w="100" w:type="dxa"/>
                  <w:bottom w:w="100" w:type="dxa"/>
                  <w:right w:w="100" w:type="dxa"/>
                </w:tcMar>
              </w:tcPr>
              <w:p w14:paraId="31A42D15" w14:textId="77777777" w:rsidR="006E795A" w:rsidRDefault="00000000">
                <w:pPr>
                  <w:spacing w:line="276" w:lineRule="auto"/>
                  <w:ind w:left="0" w:hanging="2"/>
                  <w:rPr>
                    <w:b/>
                    <w:sz w:val="24"/>
                    <w:szCs w:val="24"/>
                  </w:rPr>
                </w:pPr>
                <w:r>
                  <w:rPr>
                    <w:b/>
                    <w:sz w:val="24"/>
                    <w:szCs w:val="24"/>
                  </w:rPr>
                  <w:t xml:space="preserve"> Parties:</w:t>
                </w:r>
              </w:p>
              <w:p w14:paraId="026253FA" w14:textId="77777777" w:rsidR="006E795A" w:rsidRDefault="00000000">
                <w:pPr>
                  <w:spacing w:line="276" w:lineRule="auto"/>
                  <w:ind w:left="0" w:hanging="2"/>
                  <w:jc w:val="both"/>
                  <w:rPr>
                    <w:b/>
                    <w:sz w:val="24"/>
                    <w:szCs w:val="24"/>
                  </w:rPr>
                </w:pPr>
                <w:r>
                  <w:rPr>
                    <w:b/>
                    <w:sz w:val="24"/>
                    <w:szCs w:val="24"/>
                  </w:rPr>
                  <w:t xml:space="preserve"> </w:t>
                </w:r>
              </w:p>
              <w:p w14:paraId="113C4D07" w14:textId="77777777" w:rsidR="006E795A" w:rsidRDefault="00000000">
                <w:pPr>
                  <w:spacing w:line="276" w:lineRule="auto"/>
                  <w:ind w:left="0" w:hanging="2"/>
                  <w:jc w:val="both"/>
                  <w:rPr>
                    <w:b/>
                    <w:sz w:val="24"/>
                    <w:szCs w:val="24"/>
                  </w:rPr>
                </w:pPr>
                <w:r>
                  <w:rPr>
                    <w:b/>
                    <w:sz w:val="24"/>
                    <w:szCs w:val="24"/>
                  </w:rPr>
                  <w:t>České Budějovice – Evropské hlavní město kultury 2028, z.ú.</w:t>
                </w:r>
              </w:p>
              <w:p w14:paraId="5163C9A8" w14:textId="77777777" w:rsidR="006E795A" w:rsidRDefault="00000000">
                <w:pPr>
                  <w:spacing w:line="276" w:lineRule="auto"/>
                  <w:ind w:left="0" w:hanging="2"/>
                  <w:jc w:val="both"/>
                  <w:rPr>
                    <w:sz w:val="24"/>
                    <w:szCs w:val="24"/>
                  </w:rPr>
                </w:pPr>
                <w:r>
                  <w:rPr>
                    <w:sz w:val="24"/>
                    <w:szCs w:val="24"/>
                  </w:rPr>
                  <w:t>with registered office at nám. Přemysl Otakar II. 1/1, České Budějovice 1, 370 01 České Budějovice</w:t>
                </w:r>
              </w:p>
              <w:p w14:paraId="7C3C00C7" w14:textId="77777777" w:rsidR="006E795A" w:rsidRDefault="00000000">
                <w:pPr>
                  <w:spacing w:line="276" w:lineRule="auto"/>
                  <w:ind w:left="0" w:hanging="2"/>
                  <w:jc w:val="both"/>
                  <w:rPr>
                    <w:sz w:val="24"/>
                    <w:szCs w:val="24"/>
                  </w:rPr>
                </w:pPr>
                <w:r>
                  <w:rPr>
                    <w:sz w:val="24"/>
                    <w:szCs w:val="24"/>
                  </w:rPr>
                  <w:t>ICO: 193 11 052</w:t>
                </w:r>
              </w:p>
              <w:p w14:paraId="24F6CED3" w14:textId="77777777" w:rsidR="006E795A" w:rsidRDefault="00000000">
                <w:pPr>
                  <w:spacing w:line="276" w:lineRule="auto"/>
                  <w:ind w:left="0" w:hanging="2"/>
                  <w:jc w:val="both"/>
                  <w:rPr>
                    <w:sz w:val="24"/>
                    <w:szCs w:val="24"/>
                  </w:rPr>
                </w:pPr>
                <w:r>
                  <w:rPr>
                    <w:sz w:val="24"/>
                    <w:szCs w:val="24"/>
                  </w:rPr>
                  <w:t>DIC: CZ19311052</w:t>
                </w:r>
              </w:p>
              <w:p w14:paraId="2B694A4C" w14:textId="77777777" w:rsidR="006E795A" w:rsidRDefault="00000000">
                <w:pPr>
                  <w:spacing w:line="276" w:lineRule="auto"/>
                  <w:ind w:left="0" w:hanging="2"/>
                  <w:jc w:val="both"/>
                  <w:rPr>
                    <w:sz w:val="24"/>
                    <w:szCs w:val="24"/>
                  </w:rPr>
                </w:pPr>
                <w:r>
                  <w:rPr>
                    <w:sz w:val="24"/>
                    <w:szCs w:val="24"/>
                  </w:rPr>
                  <w:t>Institute registered in the Register of Institutes maintained by the Krajský soud in České Budějovice, Section U, Insert 176</w:t>
                </w:r>
              </w:p>
              <w:p w14:paraId="015410B1" w14:textId="77777777" w:rsidR="006E795A" w:rsidRDefault="00000000">
                <w:pPr>
                  <w:spacing w:line="276" w:lineRule="auto"/>
                  <w:ind w:left="0" w:hanging="2"/>
                  <w:jc w:val="both"/>
                  <w:rPr>
                    <w:sz w:val="24"/>
                    <w:szCs w:val="24"/>
                    <w:highlight w:val="white"/>
                  </w:rPr>
                </w:pPr>
                <w:r>
                  <w:rPr>
                    <w:sz w:val="24"/>
                    <w:szCs w:val="24"/>
                    <w:highlight w:val="white"/>
                  </w:rPr>
                  <w:t xml:space="preserve">Bank connection: </w:t>
                </w:r>
                <w:r>
                  <w:rPr>
                    <w:b/>
                    <w:sz w:val="24"/>
                    <w:szCs w:val="24"/>
                    <w:highlight w:val="white"/>
                  </w:rPr>
                  <w:t>Česká spořitelna</w:t>
                </w:r>
              </w:p>
              <w:p w14:paraId="111109EE" w14:textId="77777777" w:rsidR="006E795A" w:rsidRDefault="00000000">
                <w:pPr>
                  <w:shd w:val="clear" w:color="auto" w:fill="FFFFFF"/>
                  <w:spacing w:line="276" w:lineRule="auto"/>
                  <w:ind w:left="0" w:hanging="2"/>
                  <w:jc w:val="both"/>
                  <w:rPr>
                    <w:sz w:val="24"/>
                    <w:szCs w:val="24"/>
                  </w:rPr>
                </w:pPr>
                <w:r>
                  <w:rPr>
                    <w:sz w:val="24"/>
                    <w:szCs w:val="24"/>
                  </w:rPr>
                  <w:t>Account number: 6495426309/0800</w:t>
                </w:r>
              </w:p>
              <w:p w14:paraId="55B6A8B5" w14:textId="77777777" w:rsidR="006E795A" w:rsidRDefault="00000000">
                <w:pPr>
                  <w:shd w:val="clear" w:color="auto" w:fill="FFFFFF"/>
                  <w:spacing w:line="276" w:lineRule="auto"/>
                  <w:ind w:left="0" w:hanging="2"/>
                  <w:jc w:val="both"/>
                  <w:rPr>
                    <w:sz w:val="24"/>
                    <w:szCs w:val="24"/>
                  </w:rPr>
                </w:pPr>
                <w:r>
                  <w:rPr>
                    <w:sz w:val="24"/>
                    <w:szCs w:val="24"/>
                  </w:rPr>
                  <w:t>Mailbox ID: 954b2cu</w:t>
                </w:r>
              </w:p>
              <w:p w14:paraId="5B730467" w14:textId="77777777" w:rsidR="006E795A" w:rsidRDefault="00000000">
                <w:pPr>
                  <w:spacing w:line="276" w:lineRule="auto"/>
                  <w:ind w:left="0" w:hanging="2"/>
                  <w:jc w:val="both"/>
                  <w:rPr>
                    <w:sz w:val="24"/>
                    <w:szCs w:val="24"/>
                  </w:rPr>
                </w:pPr>
                <w:r>
                  <w:rPr>
                    <w:sz w:val="24"/>
                    <w:szCs w:val="24"/>
                  </w:rPr>
                  <w:t>represented by the director Ing. Lukáš Černý</w:t>
                </w:r>
              </w:p>
              <w:p w14:paraId="667CC114" w14:textId="77777777" w:rsidR="006E795A" w:rsidRDefault="00000000">
                <w:pPr>
                  <w:spacing w:line="276" w:lineRule="auto"/>
                  <w:ind w:left="0" w:hanging="2"/>
                  <w:jc w:val="both"/>
                  <w:rPr>
                    <w:sz w:val="24"/>
                    <w:szCs w:val="24"/>
                    <w:highlight w:val="black"/>
                  </w:rPr>
                </w:pPr>
                <w:r>
                  <w:rPr>
                    <w:sz w:val="24"/>
                    <w:szCs w:val="24"/>
                    <w:highlight w:val="black"/>
                  </w:rPr>
                  <w:t>Contact person: Lucie Barnat, tel.: +420 605 309 315,</w:t>
                </w:r>
              </w:p>
              <w:p w14:paraId="5B07F80D" w14:textId="77777777" w:rsidR="006E795A" w:rsidRDefault="00000000">
                <w:pPr>
                  <w:spacing w:line="276" w:lineRule="auto"/>
                  <w:ind w:left="0" w:hanging="2"/>
                  <w:jc w:val="both"/>
                  <w:rPr>
                    <w:sz w:val="24"/>
                    <w:szCs w:val="24"/>
                    <w:highlight w:val="black"/>
                  </w:rPr>
                </w:pPr>
                <w:r>
                  <w:rPr>
                    <w:sz w:val="24"/>
                    <w:szCs w:val="24"/>
                    <w:highlight w:val="black"/>
                  </w:rPr>
                  <w:t>Email: lucie.barnat@budejovice2028.cz</w:t>
                </w:r>
              </w:p>
              <w:p w14:paraId="5BC3F81E" w14:textId="77777777" w:rsidR="006E795A" w:rsidRDefault="00000000">
                <w:pPr>
                  <w:spacing w:line="276" w:lineRule="auto"/>
                  <w:ind w:left="0" w:hanging="2"/>
                  <w:jc w:val="both"/>
                  <w:rPr>
                    <w:b/>
                    <w:sz w:val="24"/>
                    <w:szCs w:val="24"/>
                  </w:rPr>
                </w:pPr>
                <w:r>
                  <w:rPr>
                    <w:b/>
                    <w:sz w:val="24"/>
                    <w:szCs w:val="24"/>
                  </w:rPr>
                  <w:t>"Client"</w:t>
                </w:r>
              </w:p>
            </w:tc>
          </w:tr>
          <w:tr w:rsidR="006E795A" w14:paraId="30BB0D55" w14:textId="77777777">
            <w:tc>
              <w:tcPr>
                <w:tcW w:w="5385" w:type="dxa"/>
                <w:shd w:val="clear" w:color="auto" w:fill="auto"/>
                <w:tcMar>
                  <w:top w:w="100" w:type="dxa"/>
                  <w:left w:w="100" w:type="dxa"/>
                  <w:bottom w:w="100" w:type="dxa"/>
                  <w:right w:w="100" w:type="dxa"/>
                </w:tcMar>
              </w:tcPr>
              <w:p w14:paraId="479B4766" w14:textId="77777777" w:rsidR="006E795A" w:rsidRDefault="00000000">
                <w:pPr>
                  <w:spacing w:line="276" w:lineRule="auto"/>
                  <w:ind w:left="0" w:hanging="2"/>
                  <w:jc w:val="both"/>
                  <w:rPr>
                    <w:b/>
                    <w:sz w:val="24"/>
                    <w:szCs w:val="24"/>
                    <w:highlight w:val="yellow"/>
                  </w:rPr>
                </w:pPr>
                <w:r>
                  <w:rPr>
                    <w:b/>
                    <w:sz w:val="24"/>
                    <w:szCs w:val="24"/>
                  </w:rPr>
                  <w:t>a</w:t>
                </w:r>
              </w:p>
              <w:p w14:paraId="2B0EF756" w14:textId="77777777" w:rsidR="006E795A" w:rsidRDefault="00000000">
                <w:pPr>
                  <w:spacing w:line="276" w:lineRule="auto"/>
                  <w:ind w:left="0" w:hanging="2"/>
                  <w:jc w:val="both"/>
                  <w:rPr>
                    <w:b/>
                    <w:sz w:val="24"/>
                    <w:szCs w:val="24"/>
                  </w:rPr>
                </w:pPr>
                <w:r>
                  <w:rPr>
                    <w:b/>
                    <w:sz w:val="24"/>
                    <w:szCs w:val="24"/>
                  </w:rPr>
                  <w:t>Aleksandra Koltun Badania do działania</w:t>
                </w:r>
              </w:p>
              <w:p w14:paraId="78336B91" w14:textId="77777777" w:rsidR="006E795A" w:rsidRDefault="00000000">
                <w:pPr>
                  <w:spacing w:line="276" w:lineRule="auto"/>
                  <w:ind w:left="0" w:hanging="2"/>
                  <w:jc w:val="both"/>
                  <w:rPr>
                    <w:b/>
                    <w:sz w:val="24"/>
                    <w:szCs w:val="24"/>
                  </w:rPr>
                </w:pPr>
                <w:r>
                  <w:rPr>
                    <w:b/>
                    <w:sz w:val="24"/>
                    <w:szCs w:val="24"/>
                  </w:rPr>
                  <w:t>se sídlem Zemborzycka 55, 20-455 Lublin, Polsko</w:t>
                </w:r>
              </w:p>
              <w:p w14:paraId="67B284E5" w14:textId="77777777" w:rsidR="006E795A" w:rsidRDefault="00000000">
                <w:pPr>
                  <w:spacing w:line="276" w:lineRule="auto"/>
                  <w:ind w:left="0" w:hanging="2"/>
                  <w:jc w:val="both"/>
                  <w:rPr>
                    <w:b/>
                    <w:sz w:val="24"/>
                    <w:szCs w:val="24"/>
                  </w:rPr>
                </w:pPr>
                <w:r>
                  <w:rPr>
                    <w:b/>
                    <w:sz w:val="24"/>
                    <w:szCs w:val="24"/>
                  </w:rPr>
                  <w:t>EU tax id no.</w:t>
                </w:r>
              </w:p>
              <w:p w14:paraId="46A142B2" w14:textId="77777777" w:rsidR="006E795A" w:rsidRDefault="00000000">
                <w:pPr>
                  <w:spacing w:line="276" w:lineRule="auto"/>
                  <w:ind w:left="0" w:hanging="2"/>
                  <w:jc w:val="both"/>
                  <w:rPr>
                    <w:b/>
                    <w:sz w:val="24"/>
                    <w:szCs w:val="24"/>
                  </w:rPr>
                </w:pPr>
                <w:r>
                  <w:rPr>
                    <w:b/>
                    <w:sz w:val="24"/>
                    <w:szCs w:val="24"/>
                  </w:rPr>
                  <w:t>PL7133003082</w:t>
                </w:r>
              </w:p>
              <w:p w14:paraId="33888A05" w14:textId="77777777" w:rsidR="006E795A" w:rsidRDefault="00000000">
                <w:pPr>
                  <w:spacing w:line="276" w:lineRule="auto"/>
                  <w:ind w:left="0" w:hanging="2"/>
                  <w:jc w:val="both"/>
                  <w:rPr>
                    <w:b/>
                    <w:sz w:val="24"/>
                    <w:szCs w:val="24"/>
                  </w:rPr>
                </w:pPr>
                <w:r>
                  <w:rPr>
                    <w:b/>
                    <w:sz w:val="24"/>
                    <w:szCs w:val="24"/>
                  </w:rPr>
                  <w:t>bankovní spojení: 73 1050 1953 1000 0090 8254 8752</w:t>
                </w:r>
              </w:p>
              <w:p w14:paraId="1823B61D" w14:textId="77777777" w:rsidR="006E795A" w:rsidRDefault="00000000">
                <w:pPr>
                  <w:spacing w:line="276" w:lineRule="auto"/>
                  <w:ind w:left="0" w:hanging="2"/>
                  <w:jc w:val="both"/>
                  <w:rPr>
                    <w:b/>
                    <w:sz w:val="24"/>
                    <w:szCs w:val="24"/>
                  </w:rPr>
                </w:pPr>
                <w:r>
                  <w:rPr>
                    <w:b/>
                    <w:sz w:val="24"/>
                    <w:szCs w:val="24"/>
                  </w:rPr>
                  <w:t>IBAN: PL 73 1050 1953 1000 0090 8254 8752</w:t>
                </w:r>
              </w:p>
              <w:p w14:paraId="2D0E3746" w14:textId="77777777" w:rsidR="006E795A" w:rsidRDefault="00000000">
                <w:pPr>
                  <w:spacing w:line="276" w:lineRule="auto"/>
                  <w:ind w:left="0" w:hanging="2"/>
                  <w:jc w:val="both"/>
                  <w:rPr>
                    <w:b/>
                    <w:sz w:val="24"/>
                    <w:szCs w:val="24"/>
                  </w:rPr>
                </w:pPr>
                <w:r>
                  <w:rPr>
                    <w:b/>
                    <w:sz w:val="24"/>
                    <w:szCs w:val="24"/>
                  </w:rPr>
                  <w:t>BIC: INGBPLPW</w:t>
                </w:r>
              </w:p>
              <w:p w14:paraId="156B4FE0" w14:textId="77777777" w:rsidR="006E795A" w:rsidRDefault="00000000">
                <w:pPr>
                  <w:spacing w:line="276" w:lineRule="auto"/>
                  <w:ind w:left="0" w:hanging="2"/>
                  <w:jc w:val="both"/>
                  <w:rPr>
                    <w:b/>
                    <w:sz w:val="24"/>
                    <w:szCs w:val="24"/>
                  </w:rPr>
                </w:pPr>
                <w:r>
                  <w:rPr>
                    <w:b/>
                    <w:sz w:val="24"/>
                    <w:szCs w:val="24"/>
                  </w:rPr>
                  <w:t>Banka: ING</w:t>
                </w:r>
              </w:p>
              <w:p w14:paraId="50E3F6E0" w14:textId="77777777" w:rsidR="006E795A" w:rsidRDefault="00000000">
                <w:pPr>
                  <w:spacing w:line="276" w:lineRule="auto"/>
                  <w:ind w:left="0" w:hanging="2"/>
                  <w:jc w:val="both"/>
                  <w:rPr>
                    <w:b/>
                    <w:sz w:val="24"/>
                    <w:szCs w:val="24"/>
                  </w:rPr>
                </w:pPr>
                <w:r>
                  <w:rPr>
                    <w:b/>
                    <w:sz w:val="24"/>
                    <w:szCs w:val="24"/>
                  </w:rPr>
                  <w:t>zastoupená Aleksandrou Kołtun</w:t>
                </w:r>
              </w:p>
              <w:p w14:paraId="5482D98C" w14:textId="77777777" w:rsidR="006E795A" w:rsidRDefault="00000000">
                <w:pPr>
                  <w:spacing w:line="276" w:lineRule="auto"/>
                  <w:ind w:left="0" w:hanging="2"/>
                  <w:jc w:val="both"/>
                  <w:rPr>
                    <w:b/>
                    <w:sz w:val="24"/>
                    <w:szCs w:val="24"/>
                  </w:rPr>
                </w:pPr>
                <w:r>
                  <w:rPr>
                    <w:b/>
                    <w:sz w:val="24"/>
                    <w:szCs w:val="24"/>
                  </w:rPr>
                  <w:t xml:space="preserve">kontakt: Aleksandra Kołtun, </w:t>
                </w:r>
                <w:r>
                  <w:rPr>
                    <w:b/>
                    <w:color w:val="1155CC"/>
                    <w:sz w:val="24"/>
                    <w:szCs w:val="24"/>
                  </w:rPr>
                  <w:t>aleksandra.koltun@gmail.com</w:t>
                </w:r>
                <w:r>
                  <w:rPr>
                    <w:b/>
                    <w:sz w:val="24"/>
                    <w:szCs w:val="24"/>
                  </w:rPr>
                  <w:t>, +48 608 758 973</w:t>
                </w:r>
              </w:p>
              <w:p w14:paraId="3AE0B876" w14:textId="77777777" w:rsidR="006E795A" w:rsidRDefault="00000000">
                <w:pPr>
                  <w:spacing w:line="276" w:lineRule="auto"/>
                  <w:ind w:left="0" w:hanging="2"/>
                  <w:jc w:val="both"/>
                  <w:rPr>
                    <w:b/>
                    <w:sz w:val="24"/>
                    <w:szCs w:val="24"/>
                  </w:rPr>
                </w:pPr>
                <w:r>
                  <w:rPr>
                    <w:b/>
                    <w:sz w:val="24"/>
                    <w:szCs w:val="24"/>
                  </w:rPr>
                  <w:t>jako poskytovatel na straně druhé (dále také jen „poskytovatel“)</w:t>
                </w:r>
              </w:p>
            </w:tc>
            <w:tc>
              <w:tcPr>
                <w:tcW w:w="5535" w:type="dxa"/>
                <w:shd w:val="clear" w:color="auto" w:fill="auto"/>
                <w:tcMar>
                  <w:top w:w="100" w:type="dxa"/>
                  <w:left w:w="100" w:type="dxa"/>
                  <w:bottom w:w="100" w:type="dxa"/>
                  <w:right w:w="100" w:type="dxa"/>
                </w:tcMar>
              </w:tcPr>
              <w:p w14:paraId="5A115039" w14:textId="77777777" w:rsidR="006E795A" w:rsidRDefault="00000000">
                <w:pPr>
                  <w:spacing w:line="276" w:lineRule="auto"/>
                  <w:ind w:left="0" w:hanging="2"/>
                  <w:jc w:val="both"/>
                  <w:rPr>
                    <w:b/>
                    <w:sz w:val="24"/>
                    <w:szCs w:val="24"/>
                  </w:rPr>
                </w:pPr>
                <w:r>
                  <w:rPr>
                    <w:b/>
                    <w:sz w:val="24"/>
                    <w:szCs w:val="24"/>
                  </w:rPr>
                  <w:t>Aleksandra Koltun Badania do działania</w:t>
                </w:r>
              </w:p>
              <w:p w14:paraId="653F6DE0" w14:textId="77777777" w:rsidR="006E795A" w:rsidRDefault="00000000">
                <w:pPr>
                  <w:spacing w:line="276" w:lineRule="auto"/>
                  <w:ind w:left="0" w:hanging="2"/>
                  <w:jc w:val="both"/>
                  <w:rPr>
                    <w:sz w:val="24"/>
                    <w:szCs w:val="24"/>
                  </w:rPr>
                </w:pPr>
                <w:r>
                  <w:rPr>
                    <w:sz w:val="24"/>
                    <w:szCs w:val="24"/>
                  </w:rPr>
                  <w:t>with registered office at Zemborzycka 55, 20-455 Lublin, Poland</w:t>
                </w:r>
              </w:p>
              <w:p w14:paraId="4D671C0A" w14:textId="77777777" w:rsidR="006E795A" w:rsidRDefault="00000000">
                <w:pPr>
                  <w:spacing w:line="276" w:lineRule="auto"/>
                  <w:ind w:left="0" w:hanging="2"/>
                  <w:jc w:val="both"/>
                  <w:rPr>
                    <w:sz w:val="24"/>
                    <w:szCs w:val="24"/>
                  </w:rPr>
                </w:pPr>
                <w:r>
                  <w:rPr>
                    <w:sz w:val="24"/>
                    <w:szCs w:val="24"/>
                  </w:rPr>
                  <w:t>EU tax id no.</w:t>
                </w:r>
              </w:p>
              <w:p w14:paraId="07AB9A88" w14:textId="77777777" w:rsidR="006E795A" w:rsidRDefault="00000000">
                <w:pPr>
                  <w:spacing w:line="276" w:lineRule="auto"/>
                  <w:ind w:left="0" w:hanging="2"/>
                  <w:jc w:val="both"/>
                  <w:rPr>
                    <w:sz w:val="24"/>
                    <w:szCs w:val="24"/>
                  </w:rPr>
                </w:pPr>
                <w:r>
                  <w:rPr>
                    <w:sz w:val="24"/>
                    <w:szCs w:val="24"/>
                  </w:rPr>
                  <w:t>PL7133003082</w:t>
                </w:r>
              </w:p>
              <w:p w14:paraId="5D540049" w14:textId="77777777" w:rsidR="006E795A" w:rsidRDefault="00000000">
                <w:pPr>
                  <w:spacing w:line="276" w:lineRule="auto"/>
                  <w:ind w:left="0" w:hanging="2"/>
                  <w:jc w:val="both"/>
                  <w:rPr>
                    <w:sz w:val="24"/>
                    <w:szCs w:val="24"/>
                  </w:rPr>
                </w:pPr>
                <w:r>
                  <w:rPr>
                    <w:sz w:val="24"/>
                    <w:szCs w:val="24"/>
                  </w:rPr>
                  <w:t>Bank account: 73 1050 1953 1000 0090 8254 8752</w:t>
                </w:r>
              </w:p>
              <w:p w14:paraId="7A9BE927" w14:textId="77777777" w:rsidR="006E795A" w:rsidRDefault="00000000">
                <w:pPr>
                  <w:spacing w:line="276" w:lineRule="auto"/>
                  <w:ind w:left="0" w:hanging="2"/>
                  <w:jc w:val="both"/>
                  <w:rPr>
                    <w:sz w:val="24"/>
                    <w:szCs w:val="24"/>
                  </w:rPr>
                </w:pPr>
                <w:r>
                  <w:rPr>
                    <w:sz w:val="24"/>
                    <w:szCs w:val="24"/>
                  </w:rPr>
                  <w:t>IBAN: PL 73 1050 1953 1000 0090 8254 8752</w:t>
                </w:r>
              </w:p>
              <w:p w14:paraId="4A4C67F1" w14:textId="77777777" w:rsidR="006E795A" w:rsidRDefault="00000000">
                <w:pPr>
                  <w:spacing w:line="276" w:lineRule="auto"/>
                  <w:ind w:left="0" w:hanging="2"/>
                  <w:jc w:val="both"/>
                  <w:rPr>
                    <w:sz w:val="24"/>
                    <w:szCs w:val="24"/>
                  </w:rPr>
                </w:pPr>
                <w:r>
                  <w:rPr>
                    <w:sz w:val="24"/>
                    <w:szCs w:val="24"/>
                  </w:rPr>
                  <w:t>BIC: INGBPLPW</w:t>
                </w:r>
              </w:p>
              <w:p w14:paraId="703C5C3E" w14:textId="77777777" w:rsidR="006E795A" w:rsidRDefault="00000000">
                <w:pPr>
                  <w:spacing w:line="276" w:lineRule="auto"/>
                  <w:ind w:left="0" w:hanging="2"/>
                  <w:jc w:val="both"/>
                  <w:rPr>
                    <w:sz w:val="24"/>
                    <w:szCs w:val="24"/>
                  </w:rPr>
                </w:pPr>
                <w:r>
                  <w:rPr>
                    <w:sz w:val="24"/>
                    <w:szCs w:val="24"/>
                  </w:rPr>
                  <w:t>Bank: ING</w:t>
                </w:r>
              </w:p>
              <w:p w14:paraId="56ABB29B" w14:textId="77777777" w:rsidR="006E795A" w:rsidRDefault="00000000">
                <w:pPr>
                  <w:spacing w:line="276" w:lineRule="auto"/>
                  <w:ind w:left="0" w:hanging="2"/>
                  <w:jc w:val="both"/>
                  <w:rPr>
                    <w:sz w:val="24"/>
                    <w:szCs w:val="24"/>
                  </w:rPr>
                </w:pPr>
                <w:r>
                  <w:rPr>
                    <w:sz w:val="24"/>
                    <w:szCs w:val="24"/>
                  </w:rPr>
                  <w:t>represented by Aleksandra Kołtun</w:t>
                </w:r>
              </w:p>
              <w:p w14:paraId="13EFB65C" w14:textId="77777777" w:rsidR="006E795A" w:rsidRDefault="00000000">
                <w:pPr>
                  <w:spacing w:line="276" w:lineRule="auto"/>
                  <w:ind w:left="0" w:hanging="2"/>
                  <w:jc w:val="both"/>
                  <w:rPr>
                    <w:sz w:val="24"/>
                    <w:szCs w:val="24"/>
                  </w:rPr>
                </w:pPr>
                <w:r>
                  <w:rPr>
                    <w:sz w:val="24"/>
                    <w:szCs w:val="24"/>
                  </w:rPr>
                  <w:t>contact: aleksandra.koltun@gmail.com, +48 608 758 973</w:t>
                </w:r>
              </w:p>
              <w:p w14:paraId="6E3396ED" w14:textId="77777777" w:rsidR="006E795A" w:rsidRDefault="00000000">
                <w:pPr>
                  <w:spacing w:line="276" w:lineRule="auto"/>
                  <w:ind w:left="0" w:hanging="2"/>
                  <w:jc w:val="both"/>
                  <w:rPr>
                    <w:sz w:val="24"/>
                    <w:szCs w:val="24"/>
                  </w:rPr>
                </w:pPr>
                <w:r>
                  <w:rPr>
                    <w:sz w:val="24"/>
                    <w:szCs w:val="24"/>
                  </w:rPr>
                  <w:t xml:space="preserve"> </w:t>
                </w:r>
              </w:p>
              <w:p w14:paraId="4C31E215" w14:textId="77777777" w:rsidR="006E795A" w:rsidRDefault="00000000">
                <w:pPr>
                  <w:spacing w:line="276" w:lineRule="auto"/>
                  <w:ind w:left="0" w:hanging="2"/>
                  <w:jc w:val="both"/>
                  <w:rPr>
                    <w:sz w:val="24"/>
                    <w:szCs w:val="24"/>
                  </w:rPr>
                </w:pPr>
                <w:r>
                  <w:rPr>
                    <w:b/>
                    <w:sz w:val="24"/>
                    <w:szCs w:val="24"/>
                  </w:rPr>
                  <w:t>"provider"</w:t>
                </w:r>
              </w:p>
            </w:tc>
          </w:tr>
          <w:tr w:rsidR="006E795A" w14:paraId="78804898" w14:textId="77777777">
            <w:tc>
              <w:tcPr>
                <w:tcW w:w="5385" w:type="dxa"/>
                <w:shd w:val="clear" w:color="auto" w:fill="auto"/>
                <w:tcMar>
                  <w:top w:w="100" w:type="dxa"/>
                  <w:left w:w="100" w:type="dxa"/>
                  <w:bottom w:w="100" w:type="dxa"/>
                  <w:right w:w="100" w:type="dxa"/>
                </w:tcMar>
              </w:tcPr>
              <w:p w14:paraId="12FB3738" w14:textId="77777777" w:rsidR="006E795A" w:rsidRDefault="00000000">
                <w:pPr>
                  <w:spacing w:line="276" w:lineRule="auto"/>
                  <w:ind w:left="0" w:hanging="2"/>
                  <w:jc w:val="both"/>
                  <w:rPr>
                    <w:b/>
                    <w:sz w:val="24"/>
                    <w:szCs w:val="24"/>
                  </w:rPr>
                </w:pPr>
                <w:r>
                  <w:rPr>
                    <w:b/>
                    <w:sz w:val="24"/>
                    <w:szCs w:val="24"/>
                  </w:rPr>
                  <w:t>objednatel a zhotovitel dále také jen jako „smluvní strany“ a jednotlivě rovněž jako „smluvní strana“)</w:t>
                </w:r>
              </w:p>
              <w:p w14:paraId="4A8221CE" w14:textId="77777777" w:rsidR="006E795A" w:rsidRDefault="006E795A">
                <w:pPr>
                  <w:spacing w:line="276" w:lineRule="auto"/>
                  <w:ind w:left="0" w:hanging="2"/>
                  <w:jc w:val="both"/>
                  <w:rPr>
                    <w:b/>
                    <w:sz w:val="24"/>
                    <w:szCs w:val="24"/>
                  </w:rPr>
                </w:pPr>
              </w:p>
              <w:p w14:paraId="7D57BA18" w14:textId="77777777" w:rsidR="006E795A" w:rsidRDefault="00000000">
                <w:pPr>
                  <w:spacing w:line="276" w:lineRule="auto"/>
                  <w:ind w:left="0" w:hanging="2"/>
                  <w:jc w:val="both"/>
                  <w:rPr>
                    <w:b/>
                    <w:sz w:val="24"/>
                    <w:szCs w:val="24"/>
                  </w:rPr>
                </w:pPr>
                <w:r>
                  <w:rPr>
                    <w:b/>
                    <w:sz w:val="24"/>
                    <w:szCs w:val="24"/>
                  </w:rPr>
                  <w:lastRenderedPageBreak/>
                  <w:t xml:space="preserve"> uzavírají dnešního dne, měsíce a roku tento</w:t>
                </w:r>
              </w:p>
            </w:tc>
            <w:tc>
              <w:tcPr>
                <w:tcW w:w="5535" w:type="dxa"/>
                <w:shd w:val="clear" w:color="auto" w:fill="auto"/>
                <w:tcMar>
                  <w:top w:w="100" w:type="dxa"/>
                  <w:left w:w="100" w:type="dxa"/>
                  <w:bottom w:w="100" w:type="dxa"/>
                  <w:right w:w="100" w:type="dxa"/>
                </w:tcMar>
              </w:tcPr>
              <w:p w14:paraId="298B17E4" w14:textId="77777777" w:rsidR="006E795A" w:rsidRDefault="00000000">
                <w:pPr>
                  <w:spacing w:line="276" w:lineRule="auto"/>
                  <w:ind w:left="0" w:hanging="2"/>
                  <w:jc w:val="both"/>
                  <w:rPr>
                    <w:sz w:val="24"/>
                    <w:szCs w:val="24"/>
                  </w:rPr>
                </w:pPr>
                <w:r>
                  <w:rPr>
                    <w:sz w:val="24"/>
                    <w:szCs w:val="24"/>
                  </w:rPr>
                  <w:lastRenderedPageBreak/>
                  <w:t xml:space="preserve">the client and the contractor hereinafter also referred to as </w:t>
                </w:r>
                <w:r>
                  <w:rPr>
                    <w:b/>
                    <w:sz w:val="24"/>
                    <w:szCs w:val="24"/>
                  </w:rPr>
                  <w:t xml:space="preserve">"the contracting parties" </w:t>
                </w:r>
                <w:r>
                  <w:rPr>
                    <w:sz w:val="24"/>
                    <w:szCs w:val="24"/>
                  </w:rPr>
                  <w:t xml:space="preserve">and individually also as </w:t>
                </w:r>
                <w:r>
                  <w:rPr>
                    <w:b/>
                    <w:sz w:val="24"/>
                    <w:szCs w:val="24"/>
                  </w:rPr>
                  <w:t>"the contracting party"</w:t>
                </w:r>
                <w:r>
                  <w:rPr>
                    <w:sz w:val="24"/>
                    <w:szCs w:val="24"/>
                  </w:rPr>
                  <w:t>)</w:t>
                </w:r>
              </w:p>
              <w:p w14:paraId="58205254" w14:textId="77777777" w:rsidR="006E795A" w:rsidRDefault="00000000">
                <w:pPr>
                  <w:spacing w:line="276" w:lineRule="auto"/>
                  <w:ind w:left="0" w:hanging="2"/>
                  <w:jc w:val="both"/>
                  <w:rPr>
                    <w:sz w:val="24"/>
                    <w:szCs w:val="24"/>
                  </w:rPr>
                </w:pPr>
                <w:r>
                  <w:rPr>
                    <w:sz w:val="24"/>
                    <w:szCs w:val="24"/>
                  </w:rPr>
                  <w:lastRenderedPageBreak/>
                  <w:t xml:space="preserve"> </w:t>
                </w:r>
              </w:p>
              <w:p w14:paraId="6B034BD0" w14:textId="77777777" w:rsidR="006E795A" w:rsidRDefault="00000000">
                <w:pPr>
                  <w:spacing w:line="276" w:lineRule="auto"/>
                  <w:ind w:left="0" w:hanging="2"/>
                  <w:jc w:val="both"/>
                  <w:rPr>
                    <w:sz w:val="24"/>
                    <w:szCs w:val="24"/>
                  </w:rPr>
                </w:pPr>
                <w:r>
                  <w:rPr>
                    <w:sz w:val="24"/>
                    <w:szCs w:val="24"/>
                  </w:rPr>
                  <w:t>conclude on this day, month and year, this</w:t>
                </w:r>
              </w:p>
            </w:tc>
          </w:tr>
          <w:tr w:rsidR="006E795A" w14:paraId="473FF3FC" w14:textId="77777777">
            <w:tc>
              <w:tcPr>
                <w:tcW w:w="5385" w:type="dxa"/>
                <w:shd w:val="clear" w:color="auto" w:fill="auto"/>
                <w:tcMar>
                  <w:top w:w="100" w:type="dxa"/>
                  <w:left w:w="100" w:type="dxa"/>
                  <w:bottom w:w="100" w:type="dxa"/>
                  <w:right w:w="100" w:type="dxa"/>
                </w:tcMar>
              </w:tcPr>
              <w:p w14:paraId="6C6DEDEC" w14:textId="77777777" w:rsidR="006E795A" w:rsidRDefault="006E795A">
                <w:pPr>
                  <w:spacing w:line="276" w:lineRule="auto"/>
                  <w:ind w:left="0" w:hanging="2"/>
                  <w:jc w:val="both"/>
                  <w:rPr>
                    <w:b/>
                    <w:sz w:val="24"/>
                    <w:szCs w:val="24"/>
                  </w:rPr>
                </w:pPr>
              </w:p>
              <w:p w14:paraId="504D5691" w14:textId="77777777" w:rsidR="006E795A" w:rsidRDefault="00000000">
                <w:pPr>
                  <w:spacing w:line="276" w:lineRule="auto"/>
                  <w:ind w:left="2" w:hanging="4"/>
                  <w:jc w:val="center"/>
                  <w:rPr>
                    <w:b/>
                    <w:sz w:val="36"/>
                    <w:szCs w:val="36"/>
                  </w:rPr>
                </w:pPr>
                <w:r>
                  <w:rPr>
                    <w:b/>
                    <w:sz w:val="36"/>
                    <w:szCs w:val="36"/>
                  </w:rPr>
                  <w:t>dodatek č. 1</w:t>
                </w:r>
              </w:p>
              <w:p w14:paraId="41FEDECE" w14:textId="77777777" w:rsidR="006E795A" w:rsidRDefault="00000000">
                <w:pPr>
                  <w:spacing w:line="276" w:lineRule="auto"/>
                  <w:ind w:left="2" w:hanging="4"/>
                  <w:jc w:val="center"/>
                  <w:rPr>
                    <w:b/>
                    <w:sz w:val="36"/>
                    <w:szCs w:val="36"/>
                  </w:rPr>
                </w:pPr>
                <w:r>
                  <w:rPr>
                    <w:b/>
                    <w:sz w:val="36"/>
                    <w:szCs w:val="36"/>
                  </w:rPr>
                  <w:t>ke Smlouvě o poskytování služeb</w:t>
                </w:r>
              </w:p>
              <w:p w14:paraId="69B64E6A" w14:textId="77777777" w:rsidR="006E795A" w:rsidRDefault="00000000">
                <w:pPr>
                  <w:spacing w:line="276" w:lineRule="auto"/>
                  <w:ind w:left="2" w:hanging="4"/>
                  <w:jc w:val="center"/>
                  <w:rPr>
                    <w:b/>
                    <w:sz w:val="36"/>
                    <w:szCs w:val="36"/>
                  </w:rPr>
                </w:pPr>
                <w:r>
                  <w:rPr>
                    <w:b/>
                    <w:sz w:val="36"/>
                    <w:szCs w:val="36"/>
                  </w:rPr>
                  <w:t>uzavřené dne 2.4.2024</w:t>
                </w:r>
              </w:p>
              <w:p w14:paraId="11EB2096" w14:textId="77777777" w:rsidR="006E795A" w:rsidRDefault="00000000">
                <w:pPr>
                  <w:spacing w:line="276" w:lineRule="auto"/>
                  <w:ind w:left="0" w:hanging="2"/>
                  <w:jc w:val="center"/>
                  <w:rPr>
                    <w:b/>
                    <w:sz w:val="24"/>
                    <w:szCs w:val="24"/>
                  </w:rPr>
                </w:pPr>
                <w:r>
                  <w:rPr>
                    <w:b/>
                    <w:sz w:val="24"/>
                    <w:szCs w:val="24"/>
                  </w:rPr>
                  <w:t>dle § 2586 a násl. zákona č. 89/2012 Sb., občanský zákoník, ve znění pozdějších předpisů (dále také jen „občanský zákoník“)</w:t>
                </w:r>
              </w:p>
              <w:p w14:paraId="044DD970" w14:textId="77777777" w:rsidR="006E795A" w:rsidRDefault="006E795A">
                <w:pPr>
                  <w:widowControl w:val="0"/>
                  <w:ind w:left="0" w:hanging="2"/>
                  <w:rPr>
                    <w:b/>
                    <w:sz w:val="24"/>
                    <w:szCs w:val="24"/>
                  </w:rPr>
                </w:pPr>
              </w:p>
            </w:tc>
            <w:tc>
              <w:tcPr>
                <w:tcW w:w="5535" w:type="dxa"/>
                <w:shd w:val="clear" w:color="auto" w:fill="auto"/>
                <w:tcMar>
                  <w:top w:w="100" w:type="dxa"/>
                  <w:left w:w="100" w:type="dxa"/>
                  <w:bottom w:w="100" w:type="dxa"/>
                  <w:right w:w="100" w:type="dxa"/>
                </w:tcMar>
              </w:tcPr>
              <w:p w14:paraId="399B40FB" w14:textId="77777777" w:rsidR="006E795A" w:rsidRDefault="006E795A">
                <w:pPr>
                  <w:spacing w:line="276" w:lineRule="auto"/>
                  <w:ind w:left="2" w:hanging="4"/>
                  <w:jc w:val="center"/>
                  <w:rPr>
                    <w:b/>
                    <w:sz w:val="36"/>
                    <w:szCs w:val="36"/>
                  </w:rPr>
                </w:pPr>
              </w:p>
              <w:p w14:paraId="1418A5DE" w14:textId="77777777" w:rsidR="006E795A" w:rsidRDefault="00000000">
                <w:pPr>
                  <w:spacing w:line="276" w:lineRule="auto"/>
                  <w:ind w:left="2" w:hanging="4"/>
                  <w:jc w:val="center"/>
                  <w:rPr>
                    <w:b/>
                    <w:sz w:val="36"/>
                    <w:szCs w:val="36"/>
                  </w:rPr>
                </w:pPr>
                <w:r>
                  <w:rPr>
                    <w:b/>
                    <w:sz w:val="36"/>
                    <w:szCs w:val="36"/>
                  </w:rPr>
                  <w:t>Appendix 1</w:t>
                </w:r>
              </w:p>
              <w:p w14:paraId="109FF078" w14:textId="77777777" w:rsidR="006E795A" w:rsidRDefault="00000000">
                <w:pPr>
                  <w:spacing w:line="276" w:lineRule="auto"/>
                  <w:ind w:left="2" w:hanging="4"/>
                  <w:jc w:val="center"/>
                  <w:rPr>
                    <w:b/>
                    <w:sz w:val="36"/>
                    <w:szCs w:val="36"/>
                  </w:rPr>
                </w:pPr>
                <w:r>
                  <w:rPr>
                    <w:b/>
                    <w:sz w:val="36"/>
                    <w:szCs w:val="36"/>
                  </w:rPr>
                  <w:t>to the Service Contract</w:t>
                </w:r>
              </w:p>
              <w:p w14:paraId="62D8F59F" w14:textId="77777777" w:rsidR="006E795A" w:rsidRDefault="00000000">
                <w:pPr>
                  <w:spacing w:line="276" w:lineRule="auto"/>
                  <w:ind w:left="2" w:hanging="4"/>
                  <w:jc w:val="center"/>
                  <w:rPr>
                    <w:b/>
                    <w:sz w:val="36"/>
                    <w:szCs w:val="36"/>
                  </w:rPr>
                </w:pPr>
                <w:r>
                  <w:rPr>
                    <w:b/>
                    <w:sz w:val="36"/>
                    <w:szCs w:val="36"/>
                  </w:rPr>
                  <w:t>concluded on 2.4.2024</w:t>
                </w:r>
              </w:p>
              <w:p w14:paraId="3853C049" w14:textId="77777777" w:rsidR="006E795A" w:rsidRDefault="00000000">
                <w:pPr>
                  <w:spacing w:line="276" w:lineRule="auto"/>
                  <w:ind w:left="0" w:hanging="2"/>
                  <w:jc w:val="center"/>
                  <w:rPr>
                    <w:b/>
                    <w:sz w:val="24"/>
                    <w:szCs w:val="24"/>
                  </w:rPr>
                </w:pPr>
                <w:r>
                  <w:rPr>
                    <w:b/>
                    <w:sz w:val="24"/>
                    <w:szCs w:val="24"/>
                  </w:rPr>
                  <w:t>pursuant to § 2586 et seq. of Act No. 89/2012 Coll., the Civil Code, as amended (hereinafter also referred to as the "Civil Code")</w:t>
                </w:r>
              </w:p>
              <w:p w14:paraId="00047D1A" w14:textId="77777777" w:rsidR="006E795A" w:rsidRDefault="006E795A">
                <w:pPr>
                  <w:widowControl w:val="0"/>
                  <w:ind w:left="0" w:hanging="2"/>
                  <w:rPr>
                    <w:b/>
                    <w:sz w:val="24"/>
                    <w:szCs w:val="24"/>
                  </w:rPr>
                </w:pPr>
              </w:p>
            </w:tc>
          </w:tr>
          <w:tr w:rsidR="006E795A" w14:paraId="466427AC" w14:textId="77777777">
            <w:tc>
              <w:tcPr>
                <w:tcW w:w="5385" w:type="dxa"/>
                <w:shd w:val="clear" w:color="auto" w:fill="auto"/>
                <w:tcMar>
                  <w:top w:w="100" w:type="dxa"/>
                  <w:left w:w="100" w:type="dxa"/>
                  <w:bottom w:w="100" w:type="dxa"/>
                  <w:right w:w="100" w:type="dxa"/>
                </w:tcMar>
              </w:tcPr>
              <w:p w14:paraId="7B7FE475" w14:textId="77777777" w:rsidR="006E795A" w:rsidRDefault="00000000">
                <w:pPr>
                  <w:spacing w:line="276" w:lineRule="auto"/>
                  <w:ind w:left="0" w:hanging="2"/>
                  <w:jc w:val="both"/>
                  <w:rPr>
                    <w:b/>
                    <w:sz w:val="24"/>
                    <w:szCs w:val="24"/>
                  </w:rPr>
                </w:pPr>
                <w:r>
                  <w:rPr>
                    <w:b/>
                    <w:sz w:val="24"/>
                    <w:szCs w:val="24"/>
                  </w:rPr>
                  <w:t xml:space="preserve"> I.</w:t>
                </w:r>
              </w:p>
              <w:p w14:paraId="746C695E" w14:textId="77777777" w:rsidR="006E795A" w:rsidRDefault="00000000">
                <w:pPr>
                  <w:spacing w:line="276" w:lineRule="auto"/>
                  <w:ind w:left="0" w:hanging="2"/>
                  <w:jc w:val="center"/>
                  <w:rPr>
                    <w:b/>
                    <w:sz w:val="24"/>
                    <w:szCs w:val="24"/>
                  </w:rPr>
                </w:pPr>
                <w:r>
                  <w:rPr>
                    <w:b/>
                    <w:sz w:val="24"/>
                    <w:szCs w:val="24"/>
                  </w:rPr>
                  <w:t xml:space="preserve"> </w:t>
                </w:r>
              </w:p>
              <w:p w14:paraId="7E132791" w14:textId="77777777" w:rsidR="006E795A" w:rsidRDefault="00000000">
                <w:pPr>
                  <w:spacing w:line="276" w:lineRule="auto"/>
                  <w:ind w:left="0" w:hanging="2"/>
                  <w:jc w:val="both"/>
                  <w:rPr>
                    <w:b/>
                    <w:sz w:val="24"/>
                    <w:szCs w:val="24"/>
                  </w:rPr>
                </w:pPr>
                <w:r>
                  <w:rPr>
                    <w:b/>
                    <w:sz w:val="24"/>
                    <w:szCs w:val="24"/>
                  </w:rPr>
                  <w:t>1.1. Smluvní strany uzavřely dne 2.4.2024 Smlouvu o poskytování služeb (dále také jen „Smlouva“).</w:t>
                </w:r>
              </w:p>
            </w:tc>
            <w:tc>
              <w:tcPr>
                <w:tcW w:w="5535" w:type="dxa"/>
                <w:shd w:val="clear" w:color="auto" w:fill="auto"/>
                <w:tcMar>
                  <w:top w:w="100" w:type="dxa"/>
                  <w:left w:w="100" w:type="dxa"/>
                  <w:bottom w:w="100" w:type="dxa"/>
                  <w:right w:w="100" w:type="dxa"/>
                </w:tcMar>
              </w:tcPr>
              <w:p w14:paraId="3FE1DF96" w14:textId="77777777" w:rsidR="006E795A" w:rsidRDefault="00000000">
                <w:pPr>
                  <w:spacing w:line="276" w:lineRule="auto"/>
                  <w:ind w:left="0" w:hanging="2"/>
                  <w:jc w:val="center"/>
                  <w:rPr>
                    <w:b/>
                    <w:sz w:val="24"/>
                    <w:szCs w:val="24"/>
                  </w:rPr>
                </w:pPr>
                <w:r>
                  <w:rPr>
                    <w:b/>
                    <w:sz w:val="24"/>
                    <w:szCs w:val="24"/>
                  </w:rPr>
                  <w:t>I.</w:t>
                </w:r>
              </w:p>
              <w:p w14:paraId="574B4559" w14:textId="77777777" w:rsidR="006E795A" w:rsidRDefault="00000000">
                <w:pPr>
                  <w:spacing w:line="276" w:lineRule="auto"/>
                  <w:ind w:left="0" w:hanging="2"/>
                  <w:jc w:val="center"/>
                  <w:rPr>
                    <w:b/>
                    <w:sz w:val="24"/>
                    <w:szCs w:val="24"/>
                  </w:rPr>
                </w:pPr>
                <w:r>
                  <w:rPr>
                    <w:b/>
                    <w:sz w:val="24"/>
                    <w:szCs w:val="24"/>
                  </w:rPr>
                  <w:t xml:space="preserve"> </w:t>
                </w:r>
              </w:p>
              <w:p w14:paraId="7DB04896" w14:textId="77777777" w:rsidR="006E795A" w:rsidRDefault="00000000">
                <w:pPr>
                  <w:spacing w:line="276" w:lineRule="auto"/>
                  <w:ind w:left="0" w:hanging="2"/>
                  <w:jc w:val="both"/>
                  <w:rPr>
                    <w:sz w:val="24"/>
                    <w:szCs w:val="24"/>
                  </w:rPr>
                </w:pPr>
                <w:r>
                  <w:rPr>
                    <w:sz w:val="24"/>
                    <w:szCs w:val="24"/>
                  </w:rPr>
                  <w:t>1.1 The Parties entered into a Service Contract on 2.4..2024 (hereinafter also referred to as the "Contract").</w:t>
                </w:r>
              </w:p>
              <w:p w14:paraId="6EDD99DA" w14:textId="77777777" w:rsidR="006E795A" w:rsidRDefault="006E795A">
                <w:pPr>
                  <w:spacing w:line="276" w:lineRule="auto"/>
                  <w:ind w:left="0" w:hanging="2"/>
                  <w:jc w:val="both"/>
                  <w:rPr>
                    <w:sz w:val="24"/>
                    <w:szCs w:val="24"/>
                  </w:rPr>
                </w:pPr>
              </w:p>
            </w:tc>
          </w:tr>
          <w:tr w:rsidR="006E795A" w14:paraId="35CC9C68" w14:textId="77777777">
            <w:tc>
              <w:tcPr>
                <w:tcW w:w="5385" w:type="dxa"/>
                <w:shd w:val="clear" w:color="auto" w:fill="auto"/>
                <w:tcMar>
                  <w:top w:w="100" w:type="dxa"/>
                  <w:left w:w="100" w:type="dxa"/>
                  <w:bottom w:w="100" w:type="dxa"/>
                  <w:right w:w="100" w:type="dxa"/>
                </w:tcMar>
              </w:tcPr>
              <w:p w14:paraId="0B52C57C" w14:textId="77777777" w:rsidR="006E795A" w:rsidRDefault="00000000">
                <w:pPr>
                  <w:spacing w:line="276" w:lineRule="auto"/>
                  <w:ind w:left="0" w:hanging="2"/>
                  <w:jc w:val="both"/>
                  <w:rPr>
                    <w:b/>
                    <w:sz w:val="24"/>
                    <w:szCs w:val="24"/>
                  </w:rPr>
                </w:pPr>
                <w:r>
                  <w:rPr>
                    <w:b/>
                    <w:sz w:val="24"/>
                    <w:szCs w:val="24"/>
                  </w:rPr>
                  <w:t>1.2. Z důvodu variability objemu způsobilých výdajů a nákladů na cestovné poskytovatele a s ohledem na vývoj cen takových výdajů a nákladů, které objednatel nemohl při zadávání předvídat, se smluvní strany dohodly na změnách Smlouvy, jak je sjednáno v tomto dodatku.</w:t>
                </w:r>
              </w:p>
            </w:tc>
            <w:tc>
              <w:tcPr>
                <w:tcW w:w="5535" w:type="dxa"/>
                <w:shd w:val="clear" w:color="auto" w:fill="auto"/>
                <w:tcMar>
                  <w:top w:w="100" w:type="dxa"/>
                  <w:left w:w="100" w:type="dxa"/>
                  <w:bottom w:w="100" w:type="dxa"/>
                  <w:right w:w="100" w:type="dxa"/>
                </w:tcMar>
              </w:tcPr>
              <w:p w14:paraId="016ECAEA" w14:textId="77777777" w:rsidR="006E795A" w:rsidRDefault="00000000">
                <w:pPr>
                  <w:spacing w:line="276" w:lineRule="auto"/>
                  <w:ind w:left="0" w:hanging="2"/>
                  <w:jc w:val="both"/>
                  <w:rPr>
                    <w:sz w:val="24"/>
                    <w:szCs w:val="24"/>
                  </w:rPr>
                </w:pPr>
                <w:r>
                  <w:rPr>
                    <w:sz w:val="24"/>
                    <w:szCs w:val="24"/>
                  </w:rPr>
                  <w:t>1.2 Due to the variability in the volume of the Provider's Eligible Expenses and Travel Costs and in light of price trends for such expenses and costs that the Client could not foresee at the time of award, the Parties agree to amend the Contract as agreed in this Amendment.</w:t>
                </w:r>
              </w:p>
              <w:p w14:paraId="126B3493" w14:textId="77777777" w:rsidR="006E795A" w:rsidRDefault="006E795A">
                <w:pPr>
                  <w:spacing w:line="276" w:lineRule="auto"/>
                  <w:ind w:left="0" w:hanging="2"/>
                  <w:jc w:val="both"/>
                  <w:rPr>
                    <w:sz w:val="24"/>
                    <w:szCs w:val="24"/>
                  </w:rPr>
                </w:pPr>
              </w:p>
            </w:tc>
          </w:tr>
          <w:tr w:rsidR="006E795A" w14:paraId="4716D885" w14:textId="77777777">
            <w:tc>
              <w:tcPr>
                <w:tcW w:w="5385" w:type="dxa"/>
                <w:shd w:val="clear" w:color="auto" w:fill="auto"/>
                <w:tcMar>
                  <w:top w:w="100" w:type="dxa"/>
                  <w:left w:w="100" w:type="dxa"/>
                  <w:bottom w:w="100" w:type="dxa"/>
                  <w:right w:w="100" w:type="dxa"/>
                </w:tcMar>
              </w:tcPr>
              <w:p w14:paraId="05991F2F" w14:textId="77777777" w:rsidR="006E795A" w:rsidRDefault="00000000">
                <w:pPr>
                  <w:spacing w:line="276" w:lineRule="auto"/>
                  <w:ind w:left="0" w:hanging="2"/>
                  <w:jc w:val="center"/>
                  <w:rPr>
                    <w:b/>
                    <w:sz w:val="24"/>
                    <w:szCs w:val="24"/>
                  </w:rPr>
                </w:pPr>
                <w:r>
                  <w:rPr>
                    <w:b/>
                    <w:sz w:val="24"/>
                    <w:szCs w:val="24"/>
                  </w:rPr>
                  <w:t>II.</w:t>
                </w:r>
              </w:p>
              <w:p w14:paraId="5E4DFE54" w14:textId="77777777" w:rsidR="006E795A" w:rsidRDefault="00000000">
                <w:pPr>
                  <w:spacing w:line="276" w:lineRule="auto"/>
                  <w:ind w:left="0" w:hanging="2"/>
                  <w:jc w:val="center"/>
                  <w:rPr>
                    <w:b/>
                    <w:sz w:val="24"/>
                    <w:szCs w:val="24"/>
                  </w:rPr>
                </w:pPr>
                <w:r>
                  <w:rPr>
                    <w:b/>
                    <w:sz w:val="24"/>
                    <w:szCs w:val="24"/>
                  </w:rPr>
                  <w:t xml:space="preserve"> </w:t>
                </w:r>
              </w:p>
              <w:p w14:paraId="7122B574" w14:textId="77777777" w:rsidR="006E795A" w:rsidRDefault="00000000">
                <w:pPr>
                  <w:spacing w:line="276" w:lineRule="auto"/>
                  <w:ind w:left="0" w:hanging="2"/>
                  <w:jc w:val="both"/>
                  <w:rPr>
                    <w:b/>
                    <w:sz w:val="24"/>
                    <w:szCs w:val="24"/>
                  </w:rPr>
                </w:pPr>
                <w:r>
                  <w:rPr>
                    <w:b/>
                    <w:sz w:val="24"/>
                    <w:szCs w:val="24"/>
                  </w:rPr>
                  <w:t>2.1. Smluvní strany se dohodly na těchto změnách Smlouvy:</w:t>
                </w:r>
              </w:p>
            </w:tc>
            <w:tc>
              <w:tcPr>
                <w:tcW w:w="5535" w:type="dxa"/>
                <w:shd w:val="clear" w:color="auto" w:fill="auto"/>
                <w:tcMar>
                  <w:top w:w="100" w:type="dxa"/>
                  <w:left w:w="100" w:type="dxa"/>
                  <w:bottom w:w="100" w:type="dxa"/>
                  <w:right w:w="100" w:type="dxa"/>
                </w:tcMar>
              </w:tcPr>
              <w:p w14:paraId="5B981448" w14:textId="77777777" w:rsidR="006E795A" w:rsidRDefault="00000000">
                <w:pPr>
                  <w:spacing w:line="276" w:lineRule="auto"/>
                  <w:ind w:left="0" w:hanging="2"/>
                  <w:jc w:val="center"/>
                  <w:rPr>
                    <w:b/>
                    <w:sz w:val="24"/>
                    <w:szCs w:val="24"/>
                  </w:rPr>
                </w:pPr>
                <w:r>
                  <w:rPr>
                    <w:b/>
                    <w:sz w:val="24"/>
                    <w:szCs w:val="24"/>
                  </w:rPr>
                  <w:t>II.</w:t>
                </w:r>
              </w:p>
              <w:p w14:paraId="744EF2C8" w14:textId="77777777" w:rsidR="006E795A" w:rsidRDefault="00000000">
                <w:pPr>
                  <w:spacing w:line="276" w:lineRule="auto"/>
                  <w:ind w:left="0" w:hanging="2"/>
                  <w:jc w:val="center"/>
                  <w:rPr>
                    <w:b/>
                    <w:sz w:val="24"/>
                    <w:szCs w:val="24"/>
                  </w:rPr>
                </w:pPr>
                <w:r>
                  <w:rPr>
                    <w:b/>
                    <w:sz w:val="24"/>
                    <w:szCs w:val="24"/>
                  </w:rPr>
                  <w:t xml:space="preserve"> </w:t>
                </w:r>
              </w:p>
              <w:p w14:paraId="13C4E0B0" w14:textId="77777777" w:rsidR="006E795A" w:rsidRDefault="00000000">
                <w:pPr>
                  <w:spacing w:line="276" w:lineRule="auto"/>
                  <w:ind w:left="0" w:hanging="2"/>
                  <w:jc w:val="both"/>
                  <w:rPr>
                    <w:sz w:val="24"/>
                    <w:szCs w:val="24"/>
                  </w:rPr>
                </w:pPr>
                <w:r>
                  <w:rPr>
                    <w:sz w:val="24"/>
                    <w:szCs w:val="24"/>
                  </w:rPr>
                  <w:t>2.1 The Parties agree to the following amendments to the Contract:</w:t>
                </w:r>
              </w:p>
              <w:p w14:paraId="02EC8780" w14:textId="77777777" w:rsidR="006E795A" w:rsidRDefault="006E795A">
                <w:pPr>
                  <w:widowControl w:val="0"/>
                  <w:ind w:left="0" w:hanging="2"/>
                  <w:rPr>
                    <w:b/>
                    <w:sz w:val="24"/>
                    <w:szCs w:val="24"/>
                  </w:rPr>
                </w:pPr>
              </w:p>
            </w:tc>
          </w:tr>
          <w:tr w:rsidR="006E795A" w14:paraId="0FDD9830" w14:textId="77777777">
            <w:tc>
              <w:tcPr>
                <w:tcW w:w="5385" w:type="dxa"/>
                <w:shd w:val="clear" w:color="auto" w:fill="auto"/>
                <w:tcMar>
                  <w:top w:w="100" w:type="dxa"/>
                  <w:left w:w="100" w:type="dxa"/>
                  <w:bottom w:w="100" w:type="dxa"/>
                  <w:right w:w="100" w:type="dxa"/>
                </w:tcMar>
              </w:tcPr>
              <w:p w14:paraId="527D47CD" w14:textId="77777777" w:rsidR="006E795A" w:rsidRDefault="00000000">
                <w:pPr>
                  <w:spacing w:line="276" w:lineRule="auto"/>
                  <w:ind w:left="0" w:hanging="2"/>
                  <w:jc w:val="both"/>
                  <w:rPr>
                    <w:b/>
                    <w:sz w:val="24"/>
                    <w:szCs w:val="24"/>
                  </w:rPr>
                </w:pPr>
                <w:r>
                  <w:rPr>
                    <w:b/>
                    <w:sz w:val="24"/>
                    <w:szCs w:val="24"/>
                  </w:rPr>
                  <w:t>2.2.1. V čl. 3. Smlouvy se odst. 7. se ruší a nahrazuje tímto novým zněním:</w:t>
                </w:r>
              </w:p>
              <w:p w14:paraId="2B385A04" w14:textId="77777777" w:rsidR="006E795A" w:rsidRDefault="00000000">
                <w:pPr>
                  <w:spacing w:line="276" w:lineRule="auto"/>
                  <w:ind w:left="0" w:hanging="2"/>
                  <w:jc w:val="both"/>
                  <w:rPr>
                    <w:b/>
                    <w:sz w:val="24"/>
                    <w:szCs w:val="24"/>
                  </w:rPr>
                </w:pPr>
                <w:r>
                  <w:rPr>
                    <w:b/>
                    <w:sz w:val="24"/>
                    <w:szCs w:val="24"/>
                  </w:rPr>
                  <w:t xml:space="preserve"> </w:t>
                </w:r>
              </w:p>
              <w:p w14:paraId="2BE21D6D" w14:textId="77777777" w:rsidR="006E795A" w:rsidRDefault="00000000">
                <w:pPr>
                  <w:spacing w:line="276" w:lineRule="auto"/>
                  <w:ind w:left="0" w:hanging="2"/>
                  <w:jc w:val="both"/>
                  <w:rPr>
                    <w:b/>
                    <w:sz w:val="24"/>
                    <w:szCs w:val="24"/>
                  </w:rPr>
                </w:pPr>
                <w:r>
                  <w:rPr>
                    <w:b/>
                    <w:i/>
                    <w:sz w:val="24"/>
                    <w:szCs w:val="24"/>
                    <w:highlight w:val="white"/>
                  </w:rPr>
                  <w:t xml:space="preserve">„7. Poskytovatel bude poskytovat Služby dle této smlouvy na své náklady a na své nebezpečí. Veškeré výdaje a náklady vzniklé poskytovateli v souvislosti s poskytováním Služeb dle této smlouvy jsou již zahrnuty v ceně poskytovaných Služeb, s výjimkou nákladů na dopravné a cestovné, když objednatel poskytne poskytovateli náhradu cestovních nákladů v maximální úhrnné výši 24 102,- Kč za maximálně 3 cesty do Českých Budějovic a zpět po dobu platnosti této smlouvy. Cestovní náklady budou vypláceny na </w:t>
                </w:r>
                <w:r>
                  <w:rPr>
                    <w:b/>
                    <w:i/>
                    <w:sz w:val="24"/>
                    <w:szCs w:val="24"/>
                    <w:highlight w:val="white"/>
                  </w:rPr>
                  <w:lastRenderedPageBreak/>
                  <w:t>základě předložených cestovních a účetních dokladů. Objednatel se zároveň</w:t>
                </w:r>
                <w:r>
                  <w:rPr>
                    <w:b/>
                    <w:i/>
                    <w:sz w:val="24"/>
                    <w:szCs w:val="24"/>
                  </w:rPr>
                  <w:t xml:space="preserve"> zavazuje zajistit poskytovateli ubytování v Českých Budějovicích pro 1 osobu během konání osobních workshopů (červnový workshop, srpnová letní škola a podzimní workshop).“</w:t>
                </w:r>
              </w:p>
            </w:tc>
            <w:tc>
              <w:tcPr>
                <w:tcW w:w="5535" w:type="dxa"/>
                <w:shd w:val="clear" w:color="auto" w:fill="auto"/>
                <w:tcMar>
                  <w:top w:w="100" w:type="dxa"/>
                  <w:left w:w="100" w:type="dxa"/>
                  <w:bottom w:w="100" w:type="dxa"/>
                  <w:right w:w="100" w:type="dxa"/>
                </w:tcMar>
              </w:tcPr>
              <w:p w14:paraId="1C8FAD80" w14:textId="77777777" w:rsidR="006E795A" w:rsidRDefault="00000000">
                <w:pPr>
                  <w:spacing w:line="276" w:lineRule="auto"/>
                  <w:ind w:left="0" w:hanging="2"/>
                  <w:jc w:val="both"/>
                  <w:rPr>
                    <w:sz w:val="24"/>
                    <w:szCs w:val="24"/>
                  </w:rPr>
                </w:pPr>
                <w:r>
                  <w:rPr>
                    <w:sz w:val="24"/>
                    <w:szCs w:val="24"/>
                  </w:rPr>
                  <w:lastRenderedPageBreak/>
                  <w:t xml:space="preserve"> 2.2.1. 7. of the Agreement is deleted and replaced by the following new wording:</w:t>
                </w:r>
              </w:p>
              <w:p w14:paraId="4EFFC53E" w14:textId="77777777" w:rsidR="006E795A" w:rsidRDefault="00000000">
                <w:pPr>
                  <w:spacing w:line="276" w:lineRule="auto"/>
                  <w:ind w:left="0" w:hanging="2"/>
                  <w:jc w:val="both"/>
                  <w:rPr>
                    <w:sz w:val="24"/>
                    <w:szCs w:val="24"/>
                  </w:rPr>
                </w:pPr>
                <w:r>
                  <w:rPr>
                    <w:sz w:val="24"/>
                    <w:szCs w:val="24"/>
                  </w:rPr>
                  <w:t xml:space="preserve"> </w:t>
                </w:r>
              </w:p>
              <w:p w14:paraId="453EA8C6" w14:textId="77777777" w:rsidR="006E795A" w:rsidRDefault="00000000">
                <w:pPr>
                  <w:spacing w:line="276" w:lineRule="auto"/>
                  <w:ind w:left="0" w:hanging="2"/>
                  <w:jc w:val="both"/>
                  <w:rPr>
                    <w:b/>
                    <w:sz w:val="24"/>
                    <w:szCs w:val="24"/>
                  </w:rPr>
                </w:pPr>
                <w:r>
                  <w:rPr>
                    <w:i/>
                    <w:sz w:val="24"/>
                    <w:szCs w:val="24"/>
                    <w:highlight w:val="white"/>
                  </w:rPr>
                  <w:t xml:space="preserve">"7. The Provider shall provide the Services under this Agreement at its own expense and risk. All expenses and costs incurred by the Provider in connection with the provision of the Services under this Agreement are already included in the price of the Services provided, with the exception of transport and travel costs, when the Client shall reimburse the Provider for travel costs in the maximum aggregate amount of CZK 24,102.00 for a maximum of 3 trips to České Budějovice and back during the term of this Agreement. Travel costs will be </w:t>
                </w:r>
                <w:r>
                  <w:rPr>
                    <w:i/>
                    <w:sz w:val="24"/>
                    <w:szCs w:val="24"/>
                    <w:highlight w:val="white"/>
                  </w:rPr>
                  <w:lastRenderedPageBreak/>
                  <w:t xml:space="preserve">paid on the basis of travel and accounting documents submitted. The client also undertakes </w:t>
                </w:r>
                <w:r>
                  <w:rPr>
                    <w:i/>
                    <w:sz w:val="24"/>
                    <w:szCs w:val="24"/>
                  </w:rPr>
                  <w:t>to provide accommodation in České Budějovice for 1 person during the personal workshops (June workshop, August summer school and autumn workshop)."</w:t>
                </w:r>
              </w:p>
            </w:tc>
          </w:tr>
          <w:tr w:rsidR="006E795A" w14:paraId="36DF7DE1" w14:textId="77777777">
            <w:tc>
              <w:tcPr>
                <w:tcW w:w="5385" w:type="dxa"/>
                <w:shd w:val="clear" w:color="auto" w:fill="auto"/>
                <w:tcMar>
                  <w:top w:w="100" w:type="dxa"/>
                  <w:left w:w="100" w:type="dxa"/>
                  <w:bottom w:w="100" w:type="dxa"/>
                  <w:right w:w="100" w:type="dxa"/>
                </w:tcMar>
              </w:tcPr>
              <w:p w14:paraId="43241E43" w14:textId="77777777" w:rsidR="006E795A" w:rsidRDefault="00000000">
                <w:pPr>
                  <w:spacing w:line="276" w:lineRule="auto"/>
                  <w:ind w:left="0" w:hanging="2"/>
                  <w:jc w:val="center"/>
                  <w:rPr>
                    <w:b/>
                    <w:sz w:val="24"/>
                    <w:szCs w:val="24"/>
                  </w:rPr>
                </w:pPr>
                <w:r>
                  <w:rPr>
                    <w:b/>
                    <w:sz w:val="24"/>
                    <w:szCs w:val="24"/>
                  </w:rPr>
                  <w:lastRenderedPageBreak/>
                  <w:t>III.</w:t>
                </w:r>
              </w:p>
              <w:p w14:paraId="5BA9CC5A" w14:textId="77777777" w:rsidR="006E795A" w:rsidRDefault="00000000">
                <w:pPr>
                  <w:spacing w:line="276" w:lineRule="auto"/>
                  <w:ind w:left="0" w:hanging="2"/>
                  <w:jc w:val="center"/>
                  <w:rPr>
                    <w:b/>
                    <w:sz w:val="24"/>
                    <w:szCs w:val="24"/>
                  </w:rPr>
                </w:pPr>
                <w:r>
                  <w:rPr>
                    <w:b/>
                    <w:sz w:val="24"/>
                    <w:szCs w:val="24"/>
                  </w:rPr>
                  <w:t xml:space="preserve"> </w:t>
                </w:r>
              </w:p>
              <w:p w14:paraId="1C1174A3" w14:textId="77777777" w:rsidR="006E795A" w:rsidRDefault="00000000">
                <w:pPr>
                  <w:spacing w:line="276" w:lineRule="auto"/>
                  <w:ind w:left="0" w:hanging="2"/>
                  <w:jc w:val="both"/>
                  <w:rPr>
                    <w:b/>
                    <w:sz w:val="24"/>
                    <w:szCs w:val="24"/>
                  </w:rPr>
                </w:pPr>
                <w:r>
                  <w:rPr>
                    <w:b/>
                    <w:sz w:val="24"/>
                    <w:szCs w:val="24"/>
                  </w:rPr>
                  <w:t>3.1. Ostatní ustanovení a přílohy Smlouvy zůstávají nezměněny.</w:t>
                </w:r>
              </w:p>
            </w:tc>
            <w:tc>
              <w:tcPr>
                <w:tcW w:w="5535" w:type="dxa"/>
                <w:shd w:val="clear" w:color="auto" w:fill="auto"/>
                <w:tcMar>
                  <w:top w:w="100" w:type="dxa"/>
                  <w:left w:w="100" w:type="dxa"/>
                  <w:bottom w:w="100" w:type="dxa"/>
                  <w:right w:w="100" w:type="dxa"/>
                </w:tcMar>
              </w:tcPr>
              <w:p w14:paraId="64B43FD1" w14:textId="77777777" w:rsidR="006E795A" w:rsidRDefault="00000000">
                <w:pPr>
                  <w:spacing w:line="276" w:lineRule="auto"/>
                  <w:ind w:left="0" w:hanging="2"/>
                  <w:jc w:val="center"/>
                  <w:rPr>
                    <w:b/>
                    <w:sz w:val="24"/>
                    <w:szCs w:val="24"/>
                  </w:rPr>
                </w:pPr>
                <w:r>
                  <w:rPr>
                    <w:b/>
                    <w:sz w:val="24"/>
                    <w:szCs w:val="24"/>
                  </w:rPr>
                  <w:t>III.</w:t>
                </w:r>
              </w:p>
              <w:p w14:paraId="72013460" w14:textId="77777777" w:rsidR="006E795A" w:rsidRDefault="00000000">
                <w:pPr>
                  <w:spacing w:line="276" w:lineRule="auto"/>
                  <w:ind w:left="0" w:hanging="2"/>
                  <w:jc w:val="center"/>
                  <w:rPr>
                    <w:b/>
                    <w:sz w:val="24"/>
                    <w:szCs w:val="24"/>
                  </w:rPr>
                </w:pPr>
                <w:r>
                  <w:rPr>
                    <w:b/>
                    <w:sz w:val="24"/>
                    <w:szCs w:val="24"/>
                  </w:rPr>
                  <w:t xml:space="preserve"> </w:t>
                </w:r>
              </w:p>
              <w:p w14:paraId="334345F4" w14:textId="77777777" w:rsidR="006E795A" w:rsidRDefault="00000000">
                <w:pPr>
                  <w:spacing w:line="276" w:lineRule="auto"/>
                  <w:ind w:left="0" w:hanging="2"/>
                  <w:jc w:val="both"/>
                  <w:rPr>
                    <w:b/>
                    <w:sz w:val="24"/>
                    <w:szCs w:val="24"/>
                  </w:rPr>
                </w:pPr>
                <w:r>
                  <w:rPr>
                    <w:sz w:val="24"/>
                    <w:szCs w:val="24"/>
                  </w:rPr>
                  <w:t>3.1 The other provisions and annexes of the Agreement remain unchanged.</w:t>
                </w:r>
              </w:p>
            </w:tc>
          </w:tr>
          <w:tr w:rsidR="006E795A" w14:paraId="607186EC" w14:textId="77777777">
            <w:tc>
              <w:tcPr>
                <w:tcW w:w="5385" w:type="dxa"/>
                <w:shd w:val="clear" w:color="auto" w:fill="auto"/>
                <w:tcMar>
                  <w:top w:w="100" w:type="dxa"/>
                  <w:left w:w="100" w:type="dxa"/>
                  <w:bottom w:w="100" w:type="dxa"/>
                  <w:right w:w="100" w:type="dxa"/>
                </w:tcMar>
              </w:tcPr>
              <w:p w14:paraId="36ECEB38" w14:textId="77777777" w:rsidR="006E795A" w:rsidRDefault="00000000">
                <w:pPr>
                  <w:spacing w:line="276" w:lineRule="auto"/>
                  <w:ind w:left="0" w:hanging="2"/>
                  <w:jc w:val="both"/>
                  <w:rPr>
                    <w:b/>
                    <w:sz w:val="24"/>
                    <w:szCs w:val="24"/>
                  </w:rPr>
                </w:pPr>
                <w:r>
                  <w:rPr>
                    <w:b/>
                    <w:sz w:val="24"/>
                    <w:szCs w:val="24"/>
                  </w:rPr>
                  <w:t>3.2. Tento dodatek nabývá platnosti a účinnosti dnem podpisu smluvními stranami.</w:t>
                </w:r>
              </w:p>
            </w:tc>
            <w:tc>
              <w:tcPr>
                <w:tcW w:w="5535" w:type="dxa"/>
                <w:shd w:val="clear" w:color="auto" w:fill="auto"/>
                <w:tcMar>
                  <w:top w:w="100" w:type="dxa"/>
                  <w:left w:w="100" w:type="dxa"/>
                  <w:bottom w:w="100" w:type="dxa"/>
                  <w:right w:w="100" w:type="dxa"/>
                </w:tcMar>
              </w:tcPr>
              <w:p w14:paraId="3A088BF3" w14:textId="77777777" w:rsidR="006E795A" w:rsidRDefault="00000000">
                <w:pPr>
                  <w:spacing w:line="276" w:lineRule="auto"/>
                  <w:ind w:left="0" w:hanging="2"/>
                  <w:jc w:val="both"/>
                  <w:rPr>
                    <w:sz w:val="24"/>
                    <w:szCs w:val="24"/>
                  </w:rPr>
                </w:pPr>
                <w:r>
                  <w:rPr>
                    <w:sz w:val="24"/>
                    <w:szCs w:val="24"/>
                  </w:rPr>
                  <w:t>3.2 This Amendment shall come into force and effect on the date of signing by the Parties.</w:t>
                </w:r>
              </w:p>
              <w:p w14:paraId="74EDC37D" w14:textId="77777777" w:rsidR="006E795A" w:rsidRDefault="006E795A">
                <w:pPr>
                  <w:spacing w:line="276" w:lineRule="auto"/>
                  <w:ind w:left="0" w:hanging="2"/>
                  <w:jc w:val="both"/>
                  <w:rPr>
                    <w:b/>
                    <w:sz w:val="24"/>
                    <w:szCs w:val="24"/>
                  </w:rPr>
                </w:pPr>
              </w:p>
            </w:tc>
          </w:tr>
          <w:tr w:rsidR="006E795A" w14:paraId="121C4B14" w14:textId="77777777">
            <w:tc>
              <w:tcPr>
                <w:tcW w:w="5385" w:type="dxa"/>
                <w:shd w:val="clear" w:color="auto" w:fill="auto"/>
                <w:tcMar>
                  <w:top w:w="100" w:type="dxa"/>
                  <w:left w:w="100" w:type="dxa"/>
                  <w:bottom w:w="100" w:type="dxa"/>
                  <w:right w:w="100" w:type="dxa"/>
                </w:tcMar>
              </w:tcPr>
              <w:p w14:paraId="7E51F6F4" w14:textId="77777777" w:rsidR="006E795A" w:rsidRDefault="00000000">
                <w:pPr>
                  <w:spacing w:line="276" w:lineRule="auto"/>
                  <w:ind w:left="0" w:hanging="2"/>
                  <w:jc w:val="both"/>
                  <w:rPr>
                    <w:b/>
                    <w:sz w:val="24"/>
                    <w:szCs w:val="24"/>
                  </w:rPr>
                </w:pPr>
                <w:r>
                  <w:rPr>
                    <w:b/>
                    <w:sz w:val="24"/>
                    <w:szCs w:val="24"/>
                  </w:rPr>
                  <w:t xml:space="preserve">3.3. Tento dodatek je vyhotoven ve 2 stejnopisech, z nichž každý bude považován za originál. Každá smluvní strana obdrží 1 stejnopis.  </w:t>
                </w:r>
              </w:p>
            </w:tc>
            <w:tc>
              <w:tcPr>
                <w:tcW w:w="5535" w:type="dxa"/>
                <w:shd w:val="clear" w:color="auto" w:fill="auto"/>
                <w:tcMar>
                  <w:top w:w="100" w:type="dxa"/>
                  <w:left w:w="100" w:type="dxa"/>
                  <w:bottom w:w="100" w:type="dxa"/>
                  <w:right w:w="100" w:type="dxa"/>
                </w:tcMar>
              </w:tcPr>
              <w:p w14:paraId="297BEC13" w14:textId="77777777" w:rsidR="006E795A" w:rsidRDefault="00000000">
                <w:pPr>
                  <w:spacing w:line="276" w:lineRule="auto"/>
                  <w:ind w:left="0" w:hanging="2"/>
                  <w:jc w:val="both"/>
                  <w:rPr>
                    <w:b/>
                    <w:sz w:val="24"/>
                    <w:szCs w:val="24"/>
                  </w:rPr>
                </w:pPr>
                <w:r>
                  <w:rPr>
                    <w:sz w:val="24"/>
                    <w:szCs w:val="24"/>
                  </w:rPr>
                  <w:t xml:space="preserve">3.3 This Addendum is executed in 2 counterparts, each of which shall be deemed to be an original. Each Party shall receive 1 copy. </w:t>
                </w:r>
              </w:p>
            </w:tc>
          </w:tr>
          <w:tr w:rsidR="006E795A" w14:paraId="68019B83" w14:textId="77777777">
            <w:tc>
              <w:tcPr>
                <w:tcW w:w="5385" w:type="dxa"/>
                <w:shd w:val="clear" w:color="auto" w:fill="auto"/>
                <w:tcMar>
                  <w:top w:w="100" w:type="dxa"/>
                  <w:left w:w="100" w:type="dxa"/>
                  <w:bottom w:w="100" w:type="dxa"/>
                  <w:right w:w="100" w:type="dxa"/>
                </w:tcMar>
              </w:tcPr>
              <w:p w14:paraId="6278FE41" w14:textId="77777777" w:rsidR="006E795A" w:rsidRDefault="00000000">
                <w:pPr>
                  <w:spacing w:line="276" w:lineRule="auto"/>
                  <w:ind w:left="0" w:hanging="2"/>
                  <w:jc w:val="both"/>
                  <w:rPr>
                    <w:sz w:val="24"/>
                    <w:szCs w:val="24"/>
                  </w:rPr>
                </w:pPr>
                <w:r>
                  <w:rPr>
                    <w:b/>
                    <w:sz w:val="24"/>
                    <w:szCs w:val="24"/>
                  </w:rPr>
                  <w:t>3.4. Tato smlouva je vyhotovena s plným porozuměním jejím podmínkám a terminologiím v českém a anglickém jazyce ve dvou stejnopisech se stejnou právní silou – po jednom pro každou stranu. V případě rozdílných výkladů má přednost česká verze textu.</w:t>
                </w:r>
              </w:p>
            </w:tc>
            <w:tc>
              <w:tcPr>
                <w:tcW w:w="5535" w:type="dxa"/>
                <w:shd w:val="clear" w:color="auto" w:fill="auto"/>
                <w:tcMar>
                  <w:top w:w="100" w:type="dxa"/>
                  <w:left w:w="100" w:type="dxa"/>
                  <w:bottom w:w="100" w:type="dxa"/>
                  <w:right w:w="100" w:type="dxa"/>
                </w:tcMar>
              </w:tcPr>
              <w:p w14:paraId="56BEE219" w14:textId="77777777" w:rsidR="006E795A" w:rsidRDefault="00000000">
                <w:pPr>
                  <w:spacing w:line="276" w:lineRule="auto"/>
                  <w:ind w:left="0" w:hanging="2"/>
                  <w:jc w:val="both"/>
                  <w:rPr>
                    <w:sz w:val="24"/>
                    <w:szCs w:val="24"/>
                  </w:rPr>
                </w:pPr>
                <w:r>
                  <w:rPr>
                    <w:sz w:val="24"/>
                    <w:szCs w:val="24"/>
                  </w:rPr>
                  <w:t>3.4. This Contract is drawn up with a full understanding of its terms and terminology in Czech and English in two copies having equal legal force - one for each party. In case of different interpretations, the Czech text version prevails.</w:t>
                </w:r>
              </w:p>
              <w:p w14:paraId="73F4B4CB" w14:textId="77777777" w:rsidR="006E795A" w:rsidRDefault="00000000">
                <w:pPr>
                  <w:spacing w:line="276" w:lineRule="auto"/>
                  <w:ind w:left="0" w:hanging="2"/>
                  <w:jc w:val="both"/>
                  <w:rPr>
                    <w:sz w:val="24"/>
                    <w:szCs w:val="24"/>
                  </w:rPr>
                </w:pPr>
                <w:r>
                  <w:rPr>
                    <w:sz w:val="24"/>
                    <w:szCs w:val="24"/>
                  </w:rPr>
                  <w:t xml:space="preserve"> </w:t>
                </w:r>
              </w:p>
              <w:p w14:paraId="0DC8B62D" w14:textId="77777777" w:rsidR="006E795A" w:rsidRDefault="006E795A">
                <w:pPr>
                  <w:spacing w:line="276" w:lineRule="auto"/>
                  <w:ind w:left="0" w:hanging="2"/>
                  <w:jc w:val="both"/>
                  <w:rPr>
                    <w:sz w:val="24"/>
                    <w:szCs w:val="24"/>
                  </w:rPr>
                </w:pPr>
              </w:p>
            </w:tc>
          </w:tr>
          <w:tr w:rsidR="006E795A" w14:paraId="07FBC25B" w14:textId="77777777">
            <w:tc>
              <w:tcPr>
                <w:tcW w:w="5385" w:type="dxa"/>
                <w:shd w:val="clear" w:color="auto" w:fill="auto"/>
                <w:tcMar>
                  <w:top w:w="100" w:type="dxa"/>
                  <w:left w:w="100" w:type="dxa"/>
                  <w:bottom w:w="100" w:type="dxa"/>
                  <w:right w:w="100" w:type="dxa"/>
                </w:tcMar>
              </w:tcPr>
              <w:p w14:paraId="20B7CF27" w14:textId="77777777" w:rsidR="006E795A" w:rsidRDefault="00000000">
                <w:pPr>
                  <w:spacing w:line="276" w:lineRule="auto"/>
                  <w:ind w:left="0" w:hanging="2"/>
                  <w:rPr>
                    <w:b/>
                    <w:sz w:val="24"/>
                    <w:szCs w:val="24"/>
                  </w:rPr>
                </w:pPr>
                <w:r>
                  <w:rPr>
                    <w:b/>
                    <w:sz w:val="24"/>
                    <w:szCs w:val="24"/>
                  </w:rPr>
                  <w:t>V Českých Budějovicích, dne 26.6.2024</w:t>
                </w:r>
              </w:p>
            </w:tc>
            <w:tc>
              <w:tcPr>
                <w:tcW w:w="5535" w:type="dxa"/>
                <w:shd w:val="clear" w:color="auto" w:fill="auto"/>
                <w:tcMar>
                  <w:top w:w="100" w:type="dxa"/>
                  <w:left w:w="100" w:type="dxa"/>
                  <w:bottom w:w="100" w:type="dxa"/>
                  <w:right w:w="100" w:type="dxa"/>
                </w:tcMar>
              </w:tcPr>
              <w:p w14:paraId="4692C77C" w14:textId="77777777" w:rsidR="006E795A" w:rsidRDefault="00000000">
                <w:pPr>
                  <w:spacing w:line="276" w:lineRule="auto"/>
                  <w:ind w:left="0" w:hanging="2"/>
                  <w:rPr>
                    <w:sz w:val="24"/>
                    <w:szCs w:val="24"/>
                  </w:rPr>
                </w:pPr>
                <w:r>
                  <w:rPr>
                    <w:sz w:val="24"/>
                    <w:szCs w:val="24"/>
                  </w:rPr>
                  <w:t>In České Budějovice, on 26.6.2024</w:t>
                </w:r>
              </w:p>
            </w:tc>
          </w:tr>
        </w:tbl>
      </w:sdtContent>
    </w:sdt>
    <w:p w14:paraId="605BDC85" w14:textId="77777777" w:rsidR="006E795A" w:rsidRDefault="006E795A">
      <w:pPr>
        <w:spacing w:line="276" w:lineRule="auto"/>
        <w:ind w:left="0" w:hanging="2"/>
        <w:jc w:val="both"/>
        <w:rPr>
          <w:b/>
          <w:sz w:val="24"/>
          <w:szCs w:val="24"/>
        </w:rPr>
      </w:pPr>
    </w:p>
    <w:p w14:paraId="3F27D4C0" w14:textId="77777777" w:rsidR="006E795A" w:rsidRDefault="00000000">
      <w:pPr>
        <w:spacing w:line="276" w:lineRule="auto"/>
        <w:ind w:left="0" w:hanging="2"/>
        <w:jc w:val="both"/>
        <w:rPr>
          <w:b/>
          <w:sz w:val="24"/>
          <w:szCs w:val="24"/>
        </w:rPr>
      </w:pPr>
      <w:r>
        <w:rPr>
          <w:b/>
          <w:sz w:val="24"/>
          <w:szCs w:val="24"/>
        </w:rPr>
        <w:t xml:space="preserve"> </w:t>
      </w:r>
    </w:p>
    <w:p w14:paraId="76199BF2" w14:textId="77777777" w:rsidR="006E795A" w:rsidRDefault="00000000">
      <w:pPr>
        <w:spacing w:line="276" w:lineRule="auto"/>
        <w:ind w:left="0" w:hanging="2"/>
        <w:jc w:val="both"/>
        <w:rPr>
          <w:b/>
          <w:sz w:val="24"/>
          <w:szCs w:val="24"/>
        </w:rPr>
      </w:pPr>
      <w:r>
        <w:rPr>
          <w:b/>
          <w:sz w:val="24"/>
          <w:szCs w:val="24"/>
        </w:rPr>
        <w:t xml:space="preserve"> </w:t>
      </w:r>
    </w:p>
    <w:p w14:paraId="4F8076B8" w14:textId="77777777" w:rsidR="006E795A" w:rsidRDefault="006E795A">
      <w:pPr>
        <w:spacing w:line="276" w:lineRule="auto"/>
        <w:ind w:left="0" w:hanging="2"/>
        <w:jc w:val="both"/>
        <w:rPr>
          <w:b/>
          <w:sz w:val="24"/>
          <w:szCs w:val="24"/>
        </w:rPr>
      </w:pPr>
    </w:p>
    <w:p w14:paraId="0E574897" w14:textId="77777777" w:rsidR="006E795A" w:rsidRDefault="00000000">
      <w:pPr>
        <w:spacing w:line="276" w:lineRule="auto"/>
        <w:ind w:left="0" w:hanging="2"/>
        <w:rPr>
          <w:b/>
          <w:sz w:val="24"/>
          <w:szCs w:val="24"/>
        </w:rPr>
      </w:pPr>
      <w:r>
        <w:rPr>
          <w:b/>
          <w:sz w:val="24"/>
          <w:szCs w:val="24"/>
        </w:rPr>
        <w:t xml:space="preserve">………………………………………                   </w:t>
      </w:r>
      <w:r>
        <w:rPr>
          <w:b/>
          <w:sz w:val="24"/>
          <w:szCs w:val="24"/>
        </w:rPr>
        <w:tab/>
        <w:t>………………………………………</w:t>
      </w:r>
    </w:p>
    <w:p w14:paraId="458870DE" w14:textId="77777777" w:rsidR="006E795A" w:rsidRDefault="00000000">
      <w:pPr>
        <w:spacing w:line="276" w:lineRule="auto"/>
        <w:ind w:left="0" w:hanging="2"/>
        <w:jc w:val="both"/>
        <w:rPr>
          <w:b/>
          <w:sz w:val="24"/>
          <w:szCs w:val="24"/>
        </w:rPr>
      </w:pPr>
      <w:r>
        <w:rPr>
          <w:b/>
          <w:sz w:val="24"/>
          <w:szCs w:val="24"/>
        </w:rPr>
        <w:t>Poskytovatel    /</w:t>
      </w:r>
      <w:r>
        <w:rPr>
          <w:sz w:val="24"/>
          <w:szCs w:val="24"/>
        </w:rPr>
        <w:t xml:space="preserve">Provider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 Objednatel / </w:t>
      </w:r>
      <w:proofErr w:type="spellStart"/>
      <w:r>
        <w:rPr>
          <w:sz w:val="24"/>
          <w:szCs w:val="24"/>
        </w:rPr>
        <w:t>Client</w:t>
      </w:r>
      <w:proofErr w:type="spellEnd"/>
      <w:r>
        <w:rPr>
          <w:b/>
          <w:sz w:val="24"/>
          <w:szCs w:val="24"/>
        </w:rPr>
        <w:t xml:space="preserve"> </w:t>
      </w:r>
    </w:p>
    <w:p w14:paraId="1E5ECE57" w14:textId="77777777" w:rsidR="006E795A" w:rsidRDefault="00000000">
      <w:pPr>
        <w:spacing w:line="276" w:lineRule="auto"/>
        <w:ind w:left="0" w:hanging="2"/>
        <w:jc w:val="both"/>
        <w:rPr>
          <w:b/>
          <w:sz w:val="36"/>
          <w:szCs w:val="36"/>
        </w:rPr>
      </w:pPr>
      <w:r>
        <w:rPr>
          <w:b/>
          <w:sz w:val="24"/>
          <w:szCs w:val="24"/>
        </w:rPr>
        <w:t xml:space="preserve">České </w:t>
      </w:r>
      <w:r>
        <w:rPr>
          <w:b/>
          <w:sz w:val="24"/>
          <w:szCs w:val="24"/>
        </w:rPr>
        <w:tab/>
        <w:t xml:space="preserve">Budějovice – Evropské hlavní město kultury 2028, </w:t>
      </w:r>
      <w:proofErr w:type="spellStart"/>
      <w:r>
        <w:rPr>
          <w:b/>
          <w:sz w:val="24"/>
          <w:szCs w:val="24"/>
        </w:rPr>
        <w:t>z.ú</w:t>
      </w:r>
      <w:proofErr w:type="spellEnd"/>
      <w:r>
        <w:rPr>
          <w:b/>
          <w:sz w:val="24"/>
          <w:szCs w:val="24"/>
        </w:rPr>
        <w:t>.</w:t>
      </w:r>
    </w:p>
    <w:sectPr w:rsidR="006E795A">
      <w:headerReference w:type="even" r:id="rId8"/>
      <w:headerReference w:type="default" r:id="rId9"/>
      <w:footerReference w:type="default" r:id="rId10"/>
      <w:headerReference w:type="first" r:id="rId11"/>
      <w:footerReference w:type="first" r:id="rId12"/>
      <w:pgSz w:w="11906" w:h="16838"/>
      <w:pgMar w:top="1021" w:right="1247" w:bottom="1021" w:left="1247"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606A2" w14:textId="77777777" w:rsidR="00557A64" w:rsidRDefault="00557A64">
      <w:pPr>
        <w:spacing w:line="240" w:lineRule="auto"/>
        <w:ind w:left="0" w:hanging="2"/>
      </w:pPr>
      <w:r>
        <w:separator/>
      </w:r>
    </w:p>
  </w:endnote>
  <w:endnote w:type="continuationSeparator" w:id="0">
    <w:p w14:paraId="18F74541" w14:textId="77777777" w:rsidR="00557A64" w:rsidRDefault="00557A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neva">
    <w:panose1 w:val="00000000000000000000"/>
    <w:charset w:val="00"/>
    <w:family w:val="roman"/>
    <w:notTrueType/>
    <w:pitch w:val="default"/>
  </w:font>
  <w:font w:name="Garamond">
    <w:panose1 w:val="00000000000000000000"/>
    <w:charset w:val="00"/>
    <w:family w:val="roman"/>
    <w:notTrueType/>
    <w:pitch w:val="default"/>
  </w:font>
  <w:font w:name="Segoe UI">
    <w:panose1 w:val="020B0502040204020203"/>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AA208" w14:textId="77777777" w:rsidR="006E795A" w:rsidRDefault="006E795A">
    <w:pPr>
      <w:pBdr>
        <w:top w:val="nil"/>
        <w:left w:val="nil"/>
        <w:bottom w:val="nil"/>
        <w:right w:val="nil"/>
        <w:between w:val="nil"/>
      </w:pBdr>
      <w:tabs>
        <w:tab w:val="center" w:pos="4536"/>
        <w:tab w:val="right" w:pos="9072"/>
      </w:tabs>
      <w:spacing w:line="240" w:lineRule="auto"/>
      <w:ind w:left="0" w:hanging="2"/>
      <w:rPr>
        <w:color w:val="000000"/>
        <w:sz w:val="16"/>
        <w:szCs w:val="16"/>
      </w:rPr>
    </w:pPr>
  </w:p>
  <w:p w14:paraId="49C6E7B8" w14:textId="77777777" w:rsidR="006E795A" w:rsidRDefault="00000000">
    <w:pPr>
      <w:pBdr>
        <w:top w:val="nil"/>
        <w:left w:val="nil"/>
        <w:bottom w:val="nil"/>
        <w:right w:val="nil"/>
        <w:between w:val="nil"/>
      </w:pBdr>
      <w:tabs>
        <w:tab w:val="center" w:pos="4536"/>
        <w:tab w:val="right" w:pos="9072"/>
      </w:tabs>
      <w:spacing w:line="240" w:lineRule="auto"/>
      <w:ind w:left="0" w:hanging="2"/>
      <w:jc w:val="right"/>
      <w:rPr>
        <w:color w:val="000000"/>
        <w:sz w:val="16"/>
        <w:szCs w:val="16"/>
      </w:rPr>
    </w:pPr>
    <w:r>
      <w:rPr>
        <w:color w:val="000000"/>
      </w:rPr>
      <w:fldChar w:fldCharType="begin"/>
    </w:r>
    <w:r>
      <w:rPr>
        <w:color w:val="000000"/>
      </w:rPr>
      <w:instrText>PAGE</w:instrText>
    </w:r>
    <w:r>
      <w:rPr>
        <w:color w:val="000000"/>
      </w:rPr>
      <w:fldChar w:fldCharType="separate"/>
    </w:r>
    <w:r w:rsidR="00C17F62">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C17F62">
      <w:rPr>
        <w:noProof/>
        <w:color w:val="000000"/>
      </w:rPr>
      <w:t>3</w:t>
    </w:r>
    <w:r>
      <w:rPr>
        <w:color w:val="000000"/>
      </w:rPr>
      <w:fldChar w:fldCharType="end"/>
    </w:r>
  </w:p>
  <w:p w14:paraId="6EB45D60" w14:textId="77777777" w:rsidR="006E795A" w:rsidRDefault="006E795A">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118C" w14:textId="77777777" w:rsidR="006E795A" w:rsidRDefault="006E795A">
    <w:pPr>
      <w:pBdr>
        <w:top w:val="nil"/>
        <w:left w:val="nil"/>
        <w:bottom w:val="nil"/>
        <w:right w:val="nil"/>
        <w:between w:val="nil"/>
      </w:pBdr>
      <w:tabs>
        <w:tab w:val="center" w:pos="4536"/>
        <w:tab w:val="right" w:pos="9072"/>
      </w:tabs>
      <w:spacing w:line="240" w:lineRule="auto"/>
      <w:ind w:left="0" w:hanging="2"/>
      <w:rPr>
        <w:color w:val="000000"/>
        <w:sz w:val="16"/>
        <w:szCs w:val="16"/>
      </w:rPr>
    </w:pPr>
  </w:p>
  <w:p w14:paraId="57A1E30D" w14:textId="77777777" w:rsidR="006E795A" w:rsidRDefault="00000000">
    <w:pPr>
      <w:pBdr>
        <w:top w:val="nil"/>
        <w:left w:val="nil"/>
        <w:bottom w:val="nil"/>
        <w:right w:val="nil"/>
        <w:between w:val="nil"/>
      </w:pBdr>
      <w:tabs>
        <w:tab w:val="center" w:pos="4536"/>
        <w:tab w:val="right" w:pos="9072"/>
      </w:tabs>
      <w:spacing w:line="240" w:lineRule="auto"/>
      <w:ind w:left="0" w:hanging="2"/>
      <w:jc w:val="right"/>
      <w:rPr>
        <w:color w:val="000000"/>
        <w:sz w:val="16"/>
        <w:szCs w:val="16"/>
      </w:rPr>
    </w:pPr>
    <w:r>
      <w:rPr>
        <w:color w:val="000000"/>
      </w:rPr>
      <w:fldChar w:fldCharType="begin"/>
    </w:r>
    <w:r>
      <w:rPr>
        <w:color w:val="000000"/>
      </w:rPr>
      <w:instrText>PAGE</w:instrText>
    </w:r>
    <w:r>
      <w:rPr>
        <w:color w:val="000000"/>
      </w:rPr>
      <w:fldChar w:fldCharType="separate"/>
    </w:r>
    <w:r w:rsidR="00C17F62">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C17F62">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5C0A" w14:textId="77777777" w:rsidR="00557A64" w:rsidRDefault="00557A64">
      <w:pPr>
        <w:spacing w:line="240" w:lineRule="auto"/>
        <w:ind w:left="0" w:hanging="2"/>
      </w:pPr>
      <w:r>
        <w:separator/>
      </w:r>
    </w:p>
  </w:footnote>
  <w:footnote w:type="continuationSeparator" w:id="0">
    <w:p w14:paraId="5C0C9426" w14:textId="77777777" w:rsidR="00557A64" w:rsidRDefault="00557A6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7F117" w14:textId="77777777" w:rsidR="006E795A" w:rsidRDefault="00000000">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6C8FFC9" w14:textId="77777777" w:rsidR="006E795A" w:rsidRDefault="006E795A">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C490" w14:textId="77777777" w:rsidR="006E795A" w:rsidRDefault="006E795A">
    <w:pPr>
      <w:pBdr>
        <w:top w:val="nil"/>
        <w:left w:val="nil"/>
        <w:bottom w:val="nil"/>
        <w:right w:val="nil"/>
        <w:between w:val="nil"/>
      </w:pBdr>
      <w:tabs>
        <w:tab w:val="center" w:pos="4536"/>
        <w:tab w:val="right" w:pos="9072"/>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081D" w14:textId="77777777" w:rsidR="006E795A" w:rsidRDefault="006E795A">
    <w:pPr>
      <w:pBdr>
        <w:top w:val="nil"/>
        <w:left w:val="nil"/>
        <w:bottom w:val="nil"/>
        <w:right w:val="nil"/>
        <w:between w:val="nil"/>
      </w:pBdr>
      <w:tabs>
        <w:tab w:val="center" w:pos="4536"/>
        <w:tab w:val="right" w:pos="9072"/>
      </w:tabs>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509"/>
    <w:multiLevelType w:val="multilevel"/>
    <w:tmpl w:val="0A98D8FC"/>
    <w:lvl w:ilvl="0">
      <w:start w:val="1"/>
      <w:numFmt w:val="decimal"/>
      <w:pStyle w:val="bh1"/>
      <w:lvlText w:val="%1."/>
      <w:lvlJc w:val="left"/>
      <w:pPr>
        <w:tabs>
          <w:tab w:val="num" w:pos="720"/>
        </w:tabs>
        <w:ind w:left="720" w:hanging="720"/>
      </w:pPr>
    </w:lvl>
    <w:lvl w:ilvl="1">
      <w:start w:val="1"/>
      <w:numFmt w:val="decimal"/>
      <w:pStyle w:val="bh2"/>
      <w:lvlText w:val="%2."/>
      <w:lvlJc w:val="left"/>
      <w:pPr>
        <w:tabs>
          <w:tab w:val="num" w:pos="1440"/>
        </w:tabs>
        <w:ind w:left="1440" w:hanging="720"/>
      </w:pPr>
    </w:lvl>
    <w:lvl w:ilvl="2">
      <w:start w:val="1"/>
      <w:numFmt w:val="decimal"/>
      <w:pStyle w:val="bh3"/>
      <w:lvlText w:val="%3."/>
      <w:lvlJc w:val="left"/>
      <w:pPr>
        <w:tabs>
          <w:tab w:val="num" w:pos="2160"/>
        </w:tabs>
        <w:ind w:left="2160" w:hanging="720"/>
      </w:pPr>
    </w:lvl>
    <w:lvl w:ilvl="3">
      <w:start w:val="1"/>
      <w:numFmt w:val="decimal"/>
      <w:pStyle w:val="bh4"/>
      <w:lvlText w:val="%4."/>
      <w:lvlJc w:val="left"/>
      <w:pPr>
        <w:tabs>
          <w:tab w:val="num" w:pos="2880"/>
        </w:tabs>
        <w:ind w:left="2880" w:hanging="720"/>
      </w:pPr>
    </w:lvl>
    <w:lvl w:ilvl="4">
      <w:start w:val="1"/>
      <w:numFmt w:val="decimal"/>
      <w:pStyle w:val="Bodytext5PRK"/>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5968660">
    <w:abstractNumId w:val="0"/>
  </w:num>
  <w:num w:numId="2" w16cid:durableId="1013452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5A"/>
    <w:rsid w:val="004735D7"/>
    <w:rsid w:val="00557A64"/>
    <w:rsid w:val="006E795A"/>
    <w:rsid w:val="00C17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A0EB"/>
  <w15:docId w15:val="{6168DEC2-208A-4C27-BF37-4CDB522C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rPr>
      <w:rFonts w:ascii="Geneva" w:hAnsi="Geneva"/>
      <w:sz w:val="24"/>
    </w:rPr>
  </w:style>
  <w:style w:type="paragraph" w:styleId="Zkladntextodsazen">
    <w:name w:val="Body Text Indent"/>
    <w:basedOn w:val="Normln"/>
    <w:pPr>
      <w:ind w:firstLine="708"/>
      <w:jc w:val="both"/>
    </w:pPr>
    <w:rPr>
      <w:rFonts w:ascii="Garamond" w:hAnsi="Garamond"/>
      <w:sz w:val="24"/>
    </w:rPr>
  </w:style>
  <w:style w:type="paragraph" w:styleId="Zkladntext2">
    <w:name w:val="Body Text 2"/>
    <w:basedOn w:val="Normln"/>
    <w:pPr>
      <w:spacing w:after="120" w:line="480" w:lineRule="auto"/>
    </w:pPr>
  </w:style>
  <w:style w:type="character" w:styleId="slostrnky">
    <w:name w:val="page number"/>
    <w:basedOn w:val="Standardnpsmoodstavce"/>
    <w:rPr>
      <w:w w:val="100"/>
      <w:position w:val="-1"/>
      <w:effect w:val="none"/>
      <w:vertAlign w:val="baseline"/>
      <w:cs w:val="0"/>
      <w:em w:val="none"/>
    </w:rPr>
  </w:style>
  <w:style w:type="paragraph" w:customStyle="1" w:styleId="bh1">
    <w:name w:val="_bh1"/>
    <w:basedOn w:val="Normln"/>
    <w:next w:val="bh2"/>
    <w:pPr>
      <w:numPr>
        <w:numId w:val="1"/>
      </w:numPr>
      <w:spacing w:before="60" w:after="120" w:line="320" w:lineRule="atLeast"/>
      <w:ind w:left="-1" w:hanging="1"/>
      <w:jc w:val="both"/>
    </w:pPr>
    <w:rPr>
      <w:b/>
      <w:caps/>
      <w:sz w:val="24"/>
      <w:szCs w:val="24"/>
    </w:rPr>
  </w:style>
  <w:style w:type="paragraph" w:customStyle="1" w:styleId="bh2">
    <w:name w:val="_bh2"/>
    <w:basedOn w:val="Normln"/>
    <w:pPr>
      <w:numPr>
        <w:ilvl w:val="1"/>
        <w:numId w:val="1"/>
      </w:numPr>
      <w:spacing w:before="60" w:after="120" w:line="320" w:lineRule="atLeast"/>
      <w:ind w:left="-1" w:hanging="1"/>
      <w:jc w:val="both"/>
      <w:outlineLvl w:val="1"/>
    </w:pPr>
    <w:rPr>
      <w:sz w:val="24"/>
      <w:u w:val="single"/>
    </w:rPr>
  </w:style>
  <w:style w:type="paragraph" w:customStyle="1" w:styleId="bh3">
    <w:name w:val="_bh3"/>
    <w:basedOn w:val="Normln"/>
    <w:pPr>
      <w:numPr>
        <w:ilvl w:val="2"/>
        <w:numId w:val="1"/>
      </w:numPr>
      <w:spacing w:before="60" w:after="120" w:line="320" w:lineRule="atLeast"/>
      <w:ind w:left="-1" w:hanging="1"/>
      <w:jc w:val="both"/>
      <w:outlineLvl w:val="2"/>
    </w:pPr>
    <w:rPr>
      <w:sz w:val="24"/>
    </w:rPr>
  </w:style>
  <w:style w:type="paragraph" w:customStyle="1" w:styleId="bh4">
    <w:name w:val="_bh4"/>
    <w:basedOn w:val="Normln"/>
    <w:pPr>
      <w:numPr>
        <w:ilvl w:val="3"/>
        <w:numId w:val="1"/>
      </w:numPr>
      <w:spacing w:line="320" w:lineRule="atLeast"/>
      <w:ind w:left="-1" w:hanging="1"/>
      <w:jc w:val="both"/>
    </w:pPr>
    <w:rPr>
      <w:sz w:val="24"/>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character" w:customStyle="1" w:styleId="screentitle2">
    <w:name w:val="screentitle2"/>
    <w:rPr>
      <w:w w:val="100"/>
      <w:position w:val="-1"/>
      <w:effect w:val="none"/>
      <w:vertAlign w:val="baseline"/>
      <w:cs w:val="0"/>
      <w:em w:val="none"/>
    </w:rPr>
  </w:style>
  <w:style w:type="character" w:customStyle="1" w:styleId="Zkladntext2Char">
    <w:name w:val="Základní text 2 Char"/>
    <w:rPr>
      <w:w w:val="100"/>
      <w:position w:val="-1"/>
      <w:effect w:val="none"/>
      <w:vertAlign w:val="baseline"/>
      <w:cs w:val="0"/>
      <w:em w:val="none"/>
    </w:rPr>
  </w:style>
  <w:style w:type="character" w:customStyle="1" w:styleId="ZkladntextChar">
    <w:name w:val="Základní text Char"/>
    <w:rPr>
      <w:rFonts w:ascii="Geneva" w:hAnsi="Geneva"/>
      <w:w w:val="100"/>
      <w:position w:val="-1"/>
      <w:sz w:val="24"/>
      <w:effect w:val="none"/>
      <w:vertAlign w:val="baseline"/>
      <w:cs w:val="0"/>
      <w:em w:val="none"/>
    </w:rPr>
  </w:style>
  <w:style w:type="paragraph" w:customStyle="1" w:styleId="Barevnseznamzvraznn11">
    <w:name w:val="Barevný seznam – zvýraznění 11"/>
    <w:basedOn w:val="Normln"/>
    <w:pPr>
      <w:ind w:left="708"/>
    </w:pPr>
  </w:style>
  <w:style w:type="paragraph" w:customStyle="1" w:styleId="odst2">
    <w:name w:val="odst2"/>
    <w:basedOn w:val="Normln"/>
    <w:pPr>
      <w:numPr>
        <w:ilvl w:val="1"/>
      </w:numPr>
      <w:tabs>
        <w:tab w:val="left" w:pos="0"/>
      </w:tabs>
      <w:spacing w:before="120"/>
      <w:ind w:leftChars="-1" w:left="-1" w:hangingChars="1" w:hanging="1"/>
      <w:jc w:val="both"/>
      <w:outlineLvl w:val="1"/>
    </w:pPr>
    <w:rPr>
      <w:sz w:val="24"/>
      <w:szCs w:val="24"/>
    </w:rPr>
  </w:style>
  <w:style w:type="character" w:styleId="Hypertextovodkaz">
    <w:name w:val="Hyperlink"/>
    <w:rPr>
      <w:color w:val="0563C1"/>
      <w:w w:val="100"/>
      <w:position w:val="-1"/>
      <w:u w:val="single"/>
      <w:effect w:val="none"/>
      <w:vertAlign w:val="baseline"/>
      <w:cs w:val="0"/>
      <w:em w:val="none"/>
    </w:rPr>
  </w:style>
  <w:style w:type="paragraph" w:customStyle="1" w:styleId="Bodytext5PRK">
    <w:name w:val="Body text 5 PRK"/>
    <w:basedOn w:val="Normln"/>
    <w:pPr>
      <w:numPr>
        <w:ilvl w:val="4"/>
        <w:numId w:val="2"/>
      </w:numPr>
      <w:spacing w:after="240"/>
      <w:ind w:left="-1" w:hanging="1"/>
      <w:jc w:val="both"/>
      <w:outlineLvl w:val="4"/>
    </w:pPr>
    <w:rPr>
      <w:rFonts w:ascii="Arial" w:hAnsi="Arial"/>
      <w:sz w:val="22"/>
    </w:rPr>
  </w:style>
  <w:style w:type="paragraph" w:customStyle="1" w:styleId="Bodytext4PRK">
    <w:name w:val="Body text 4 PRK"/>
    <w:basedOn w:val="Normln"/>
    <w:pPr>
      <w:tabs>
        <w:tab w:val="num" w:pos="2880"/>
      </w:tabs>
      <w:spacing w:after="240"/>
      <w:jc w:val="both"/>
      <w:outlineLvl w:val="3"/>
    </w:pPr>
    <w:rPr>
      <w:rFonts w:ascii="Arial" w:hAnsi="Arial"/>
      <w:sz w:val="22"/>
      <w:szCs w:val="22"/>
    </w:rPr>
  </w:style>
  <w:style w:type="paragraph" w:customStyle="1" w:styleId="Bodytext1PRK">
    <w:name w:val="Body text 1 PRK"/>
    <w:basedOn w:val="Normln"/>
    <w:pPr>
      <w:tabs>
        <w:tab w:val="num" w:pos="720"/>
      </w:tabs>
      <w:spacing w:after="240"/>
      <w:jc w:val="both"/>
    </w:pPr>
    <w:rPr>
      <w:rFonts w:ascii="Arial" w:hAnsi="Arial"/>
      <w:sz w:val="22"/>
      <w:szCs w:val="22"/>
    </w:rPr>
  </w:style>
  <w:style w:type="paragraph" w:customStyle="1" w:styleId="Bodytext2PRK">
    <w:name w:val="Body text 2 PRK"/>
    <w:basedOn w:val="Normln"/>
    <w:pPr>
      <w:tabs>
        <w:tab w:val="num" w:pos="1440"/>
      </w:tabs>
      <w:spacing w:after="240"/>
      <w:jc w:val="both"/>
      <w:outlineLvl w:val="1"/>
    </w:pPr>
    <w:rPr>
      <w:rFonts w:ascii="Arial" w:hAnsi="Arial"/>
      <w:sz w:val="22"/>
      <w:szCs w:val="22"/>
    </w:rPr>
  </w:style>
  <w:style w:type="paragraph" w:customStyle="1" w:styleId="Bodytext3PRK">
    <w:name w:val="Body text 3 PRK"/>
    <w:basedOn w:val="Normln"/>
    <w:pPr>
      <w:tabs>
        <w:tab w:val="num" w:pos="2160"/>
      </w:tabs>
      <w:spacing w:after="240"/>
      <w:jc w:val="both"/>
      <w:outlineLvl w:val="2"/>
    </w:pPr>
    <w:rPr>
      <w:rFonts w:ascii="Arial" w:hAnsi="Arial"/>
      <w:sz w:val="22"/>
      <w:szCs w:val="22"/>
    </w:rPr>
  </w:style>
  <w:style w:type="paragraph" w:styleId="Odstavecseseznamem">
    <w:name w:val="List Paragraph"/>
    <w:basedOn w:val="Normln"/>
    <w:pPr>
      <w:ind w:left="708"/>
    </w:pPr>
  </w:style>
  <w:style w:type="character" w:styleId="Siln">
    <w:name w:val="Strong"/>
    <w:rPr>
      <w:b/>
      <w:bCs/>
      <w:w w:val="100"/>
      <w:position w:val="-1"/>
      <w:effect w:val="none"/>
      <w:vertAlign w:val="baseline"/>
      <w:cs w:val="0"/>
      <w:em w:val="none"/>
    </w:rPr>
  </w:style>
  <w:style w:type="paragraph" w:styleId="Normlnweb">
    <w:name w:val="Normal (Web)"/>
    <w:basedOn w:val="Normln"/>
    <w:qFormat/>
    <w:pPr>
      <w:spacing w:before="100" w:beforeAutospacing="1" w:after="100" w:afterAutospacing="1"/>
    </w:pPr>
    <w:rPr>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2EhQqi/h58t0LyW/wCheyKQA==">CgMxLjAaHwoBMBIaChgICVIUChJ0YWJsZS53dXNoMDNnb3ZrcmE4AHIhMWdGS1hjVHdmQ2ZJQ2g4dkczcHJvMVl6MFJ3OTBfTG1i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5667</Characters>
  <Application>Microsoft Office Word</Application>
  <DocSecurity>0</DocSecurity>
  <Lines>47</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2</cp:revision>
  <dcterms:created xsi:type="dcterms:W3CDTF">2024-06-27T10:24:00Z</dcterms:created>
  <dcterms:modified xsi:type="dcterms:W3CDTF">2024-06-27T10:24:00Z</dcterms:modified>
</cp:coreProperties>
</file>