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97DD" w14:textId="77777777" w:rsidR="00303EAC" w:rsidRPr="00F67F5D" w:rsidRDefault="00D11466">
      <w:pPr>
        <w:pStyle w:val="Title2"/>
        <w:rPr>
          <w:rFonts w:asciiTheme="majorHAnsi" w:hAnsiTheme="majorHAnsi" w:cstheme="majorHAnsi"/>
        </w:rPr>
      </w:pPr>
      <w:r w:rsidRPr="00F67F5D">
        <w:rPr>
          <w:rStyle w:val="None"/>
          <w:rFonts w:asciiTheme="majorHAnsi" w:hAnsiTheme="majorHAnsi" w:cstheme="majorHAnsi"/>
          <w:color w:val="000000"/>
        </w:rPr>
        <w:t>Smlouva</w:t>
      </w:r>
      <w:r w:rsidRPr="00F67F5D">
        <w:rPr>
          <w:rFonts w:asciiTheme="majorHAnsi" w:hAnsiTheme="majorHAnsi" w:cstheme="majorHAnsi"/>
          <w:lang w:val="pt-PT"/>
        </w:rPr>
        <w:t xml:space="preserve"> o </w:t>
      </w:r>
      <w:r w:rsidR="00095724" w:rsidRPr="00F67F5D">
        <w:rPr>
          <w:rFonts w:asciiTheme="majorHAnsi" w:hAnsiTheme="majorHAnsi" w:cstheme="majorHAnsi"/>
          <w:lang w:val="pt-PT"/>
        </w:rPr>
        <w:t>provedení auditu</w:t>
      </w:r>
    </w:p>
    <w:p w14:paraId="6F96DA51" w14:textId="4C034D46" w:rsidR="00303EAC" w:rsidRPr="00F67F5D" w:rsidRDefault="00EC2AA9">
      <w:pPr>
        <w:pStyle w:val="TitulSmlouvy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</w:t>
      </w:r>
      <w:r w:rsidR="00DC7026">
        <w:rPr>
          <w:rFonts w:asciiTheme="majorHAnsi" w:hAnsiTheme="majorHAnsi" w:cstheme="majorHAnsi"/>
        </w:rPr>
        <w:t>Č</w:t>
      </w:r>
      <w:r>
        <w:rPr>
          <w:rFonts w:asciiTheme="majorHAnsi" w:hAnsiTheme="majorHAnsi" w:cstheme="majorHAnsi"/>
        </w:rPr>
        <w:t>E</w:t>
      </w:r>
      <w:r w:rsidR="00E92F44">
        <w:rPr>
          <w:rFonts w:asciiTheme="majorHAnsi" w:hAnsiTheme="majorHAnsi" w:cstheme="majorHAnsi"/>
        </w:rPr>
        <w:t>202</w:t>
      </w:r>
      <w:r w:rsidR="003D6D30">
        <w:rPr>
          <w:rFonts w:asciiTheme="majorHAnsi" w:hAnsiTheme="majorHAnsi" w:cstheme="majorHAnsi"/>
        </w:rPr>
        <w:t>4</w:t>
      </w:r>
      <w:r w:rsidR="00D11466" w:rsidRPr="00F67F5D">
        <w:rPr>
          <w:rFonts w:asciiTheme="majorHAnsi" w:hAnsiTheme="majorHAnsi" w:cstheme="majorHAnsi"/>
        </w:rPr>
        <w:t>S01</w:t>
      </w:r>
      <w:r w:rsidR="00D11466" w:rsidRPr="00F67F5D">
        <w:rPr>
          <w:rFonts w:asciiTheme="majorHAnsi" w:hAnsiTheme="majorHAnsi" w:cstheme="majorHAnsi"/>
        </w:rPr>
        <w:tab/>
      </w:r>
      <w:r w:rsidR="00D11466" w:rsidRPr="00F67F5D">
        <w:rPr>
          <w:rFonts w:asciiTheme="majorHAnsi" w:hAnsiTheme="majorHAnsi" w:cstheme="majorHAnsi"/>
        </w:rPr>
        <w:tab/>
      </w:r>
    </w:p>
    <w:p w14:paraId="094237E3" w14:textId="77777777" w:rsidR="00303EAC" w:rsidRPr="00F67F5D" w:rsidRDefault="00D11466">
      <w:pPr>
        <w:pStyle w:val="Heading11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uzavřená dle § 1746 odst. 2 zákona č. 89/2012 Sb. </w:t>
      </w:r>
      <w:r w:rsidR="00095724" w:rsidRPr="00F67F5D">
        <w:rPr>
          <w:rFonts w:asciiTheme="majorHAnsi" w:hAnsiTheme="majorHAnsi" w:cstheme="majorHAnsi"/>
        </w:rPr>
        <w:t xml:space="preserve">a zákona č. 93/2009 Sb. o auditorech </w:t>
      </w:r>
      <w:r w:rsidR="00B96AFF">
        <w:rPr>
          <w:rFonts w:asciiTheme="majorHAnsi" w:hAnsiTheme="majorHAnsi" w:cstheme="majorHAnsi"/>
        </w:rPr>
        <w:t>mezi těmito smluvními stranami</w:t>
      </w:r>
      <w:r w:rsidRPr="00F67F5D">
        <w:rPr>
          <w:rFonts w:asciiTheme="majorHAnsi" w:hAnsiTheme="majorHAnsi" w:cstheme="majorHAnsi"/>
        </w:rPr>
        <w:t>:</w:t>
      </w:r>
    </w:p>
    <w:p w14:paraId="4C66A6A7" w14:textId="77777777" w:rsidR="00303EAC" w:rsidRPr="00F67F5D" w:rsidRDefault="00303EAC">
      <w:pPr>
        <w:pStyle w:val="Nadpis2"/>
        <w:rPr>
          <w:rFonts w:asciiTheme="majorHAnsi" w:hAnsiTheme="majorHAnsi" w:cstheme="majorHAnsi"/>
        </w:rPr>
      </w:pPr>
    </w:p>
    <w:tbl>
      <w:tblPr>
        <w:tblStyle w:val="TableNormal"/>
        <w:tblW w:w="9619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730"/>
        <w:gridCol w:w="6889"/>
      </w:tblGrid>
      <w:tr w:rsidR="00095724" w:rsidRPr="00F67F5D" w14:paraId="3BBAA10E" w14:textId="77777777" w:rsidTr="00CF20AB">
        <w:trPr>
          <w:trHeight w:val="170"/>
          <w:tblHeader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2E6F" w14:textId="77777777" w:rsidR="00303EAC" w:rsidRPr="00F67F5D" w:rsidRDefault="00095724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b/>
                <w:bCs/>
                <w:color w:val="FEFFFF"/>
                <w:sz w:val="21"/>
                <w:szCs w:val="21"/>
              </w:rPr>
              <w:t>Vykonavatel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2307" w14:textId="77777777" w:rsidR="00303EAC" w:rsidRPr="00F67F5D" w:rsidRDefault="00303EAC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5724" w:rsidRPr="00F67F5D" w14:paraId="3D283874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63F1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Firma: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BD75" w14:textId="1C6C7609" w:rsidR="00303EAC" w:rsidRPr="00F67F5D" w:rsidRDefault="00095724">
            <w:pPr>
              <w:pStyle w:val="Tabulka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ZH</w:t>
            </w:r>
            <w:r w:rsidR="00352523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&amp;Partners</w:t>
            </w:r>
            <w:proofErr w:type="spellEnd"/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 xml:space="preserve"> Audit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 xml:space="preserve"> s.r.o.</w:t>
            </w:r>
          </w:p>
        </w:tc>
      </w:tr>
      <w:tr w:rsidR="00095724" w:rsidRPr="00F67F5D" w14:paraId="4A3FCAD1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89CA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Sídlo: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E771" w14:textId="77777777" w:rsidR="00303EAC" w:rsidRPr="00F67F5D" w:rsidRDefault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Liberec</w:t>
            </w:r>
            <w:r w:rsidR="00B96AFF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, Felberova 4/8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 xml:space="preserve">, PSČ 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  <w:lang w:val="pt-PT"/>
              </w:rPr>
              <w:t>460 01</w:t>
            </w:r>
          </w:p>
        </w:tc>
      </w:tr>
      <w:tr w:rsidR="00095724" w:rsidRPr="00F67F5D" w14:paraId="626026FD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9C01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IČ: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914E" w14:textId="77777777" w:rsidR="00303EAC" w:rsidRPr="00F67F5D" w:rsidRDefault="00095724" w:rsidP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27265749</w:t>
            </w:r>
          </w:p>
        </w:tc>
      </w:tr>
      <w:tr w:rsidR="00095724" w:rsidRPr="00F67F5D" w14:paraId="3ADCCBAF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A6F5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DIČ: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BFD3" w14:textId="77777777" w:rsidR="00303EAC" w:rsidRPr="00F67F5D" w:rsidRDefault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CZ27265749</w:t>
            </w:r>
          </w:p>
        </w:tc>
      </w:tr>
      <w:tr w:rsidR="00095724" w:rsidRPr="00F67F5D" w14:paraId="20EBDA48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BDBC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Spisová značka: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A1DF" w14:textId="77777777" w:rsidR="00303EAC" w:rsidRPr="00F67F5D" w:rsidRDefault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C 21543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 xml:space="preserve"> vedená u </w:t>
            </w:r>
            <w:proofErr w:type="spellStart"/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Krajsk</w:t>
            </w:r>
            <w:proofErr w:type="spellEnd"/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  <w:lang w:val="fr-FR"/>
              </w:rPr>
              <w:t>é</w:t>
            </w:r>
            <w:r w:rsidR="00886BCB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ho soudu v Ú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stí nad Labem</w:t>
            </w:r>
          </w:p>
        </w:tc>
      </w:tr>
      <w:tr w:rsidR="00095724" w:rsidRPr="00F67F5D" w14:paraId="4A5CE0DA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AFC9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Zástupce: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6B45" w14:textId="77777777" w:rsidR="00303EAC" w:rsidRPr="00F67F5D" w:rsidRDefault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 xml:space="preserve">Ing. </w:t>
            </w:r>
            <w:r w:rsidR="0028555F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Veronika Růžičková</w:t>
            </w:r>
            <w:r w:rsidR="00D11466" w:rsidRPr="00F67F5D">
              <w:rPr>
                <w:rStyle w:val="AmericanTypewriter"/>
                <w:rFonts w:asciiTheme="majorHAnsi" w:hAnsiTheme="majorHAnsi" w:cstheme="majorHAnsi"/>
                <w:sz w:val="20"/>
                <w:szCs w:val="20"/>
              </w:rPr>
              <w:t>, jednatel</w:t>
            </w:r>
          </w:p>
        </w:tc>
      </w:tr>
      <w:tr w:rsidR="00095724" w:rsidRPr="00F67F5D" w14:paraId="636F0BCB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DA2B" w14:textId="77777777" w:rsidR="00303EAC" w:rsidRPr="00F67F5D" w:rsidRDefault="00303EAC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8EB1" w14:textId="77777777" w:rsidR="00303EAC" w:rsidRPr="00F67F5D" w:rsidRDefault="00303EAC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5724" w:rsidRPr="00F67F5D" w14:paraId="4076B4E7" w14:textId="77777777" w:rsidTr="00CF20AB">
        <w:trPr>
          <w:trHeight w:val="170"/>
          <w:tblHeader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4F60" w14:textId="77777777" w:rsidR="00303EAC" w:rsidRPr="00F67F5D" w:rsidRDefault="00095724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b/>
                <w:bCs/>
                <w:color w:val="FEFFFF"/>
                <w:sz w:val="21"/>
                <w:szCs w:val="21"/>
              </w:rPr>
              <w:t>Objednatel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ED8B" w14:textId="77777777" w:rsidR="00303EAC" w:rsidRPr="00F67F5D" w:rsidRDefault="00303EAC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5724" w:rsidRPr="00F67F5D" w14:paraId="0CC73E67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DFBB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Firma: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1CC4C" w14:textId="4135F392" w:rsidR="00303EAC" w:rsidRPr="00F67F5D" w:rsidRDefault="0041719D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Východočeské energetické závody, státní podnik v likvidaci</w:t>
            </w:r>
          </w:p>
        </w:tc>
      </w:tr>
      <w:tr w:rsidR="00095724" w:rsidRPr="00F67F5D" w14:paraId="4B1FB9A6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B123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Sídlo: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5CA4" w14:textId="75CA1B25" w:rsidR="00303EAC" w:rsidRPr="00F67F5D" w:rsidRDefault="008428F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Sladkovského 215/3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Hradec Králové – Pražské Předměstí</w:t>
            </w:r>
          </w:p>
        </w:tc>
      </w:tr>
      <w:tr w:rsidR="00095724" w:rsidRPr="00F67F5D" w14:paraId="70743CB7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E661" w14:textId="77777777" w:rsidR="00303EAC" w:rsidRPr="00F67F5D" w:rsidRDefault="00886BCB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IČ</w:t>
            </w:r>
            <w:r w:rsidR="00D11466" w:rsidRPr="00F67F5D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DF3E" w14:textId="628C635D" w:rsidR="00303EAC" w:rsidRPr="00F67F5D" w:rsidRDefault="008428F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000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184</w:t>
            </w:r>
          </w:p>
        </w:tc>
      </w:tr>
      <w:tr w:rsidR="00095724" w:rsidRPr="00F67F5D" w14:paraId="40D1D213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279A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DIČ: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00CE" w14:textId="7CFBE794" w:rsidR="00303EAC" w:rsidRPr="00F67F5D" w:rsidRDefault="00F85890" w:rsidP="0009572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CZ</w:t>
            </w:r>
            <w:r w:rsidR="008428F4">
              <w:rPr>
                <w:rFonts w:asciiTheme="majorHAnsi" w:hAnsiTheme="majorHAnsi" w:cstheme="majorHAnsi"/>
                <w:sz w:val="20"/>
                <w:szCs w:val="20"/>
              </w:rPr>
              <w:t>00008184</w:t>
            </w:r>
          </w:p>
        </w:tc>
      </w:tr>
      <w:tr w:rsidR="00095724" w:rsidRPr="00F67F5D" w14:paraId="233233B8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0AAD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Spisová značka: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7EA4" w14:textId="00C1835E" w:rsidR="00303EAC" w:rsidRPr="00F67F5D" w:rsidRDefault="008428F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AXII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309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 vedená u Krajského soudu v Ústí nad Labem</w:t>
            </w:r>
          </w:p>
        </w:tc>
      </w:tr>
      <w:tr w:rsidR="00095724" w:rsidRPr="00F67F5D" w14:paraId="30B61581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E106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F67F5D">
              <w:rPr>
                <w:rFonts w:asciiTheme="majorHAnsi" w:hAnsiTheme="majorHAnsi" w:cstheme="majorHAnsi"/>
                <w:sz w:val="21"/>
                <w:szCs w:val="21"/>
              </w:rPr>
              <w:t>Zástupce:</w:t>
            </w: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9273" w14:textId="10E37023" w:rsidR="00886BCB" w:rsidRPr="00F67F5D" w:rsidRDefault="001B3C8B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Ing. Drahoslava Pospíšilová</w:t>
            </w:r>
            <w:r w:rsidR="00F85890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likvidátor</w:t>
            </w:r>
          </w:p>
        </w:tc>
      </w:tr>
      <w:tr w:rsidR="00095724" w:rsidRPr="00F67F5D" w14:paraId="4C6AFE50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B387" w14:textId="5D4BF555" w:rsidR="00303EAC" w:rsidRPr="00F67F5D" w:rsidRDefault="00303EAC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2EB1" w14:textId="77777777" w:rsidR="00095724" w:rsidRPr="00F67F5D" w:rsidRDefault="000957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095724" w:rsidRPr="00F67F5D" w14:paraId="547129D3" w14:textId="77777777" w:rsidTr="00CF20AB">
        <w:tblPrEx>
          <w:shd w:val="clear" w:color="auto" w:fill="auto"/>
        </w:tblPrEx>
        <w:trPr>
          <w:trHeight w:val="17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1DE0" w14:textId="77777777" w:rsidR="00095724" w:rsidRPr="00F67F5D" w:rsidRDefault="00095724">
            <w:pPr>
              <w:pStyle w:val="FreeForm"/>
              <w:tabs>
                <w:tab w:val="left" w:pos="709"/>
                <w:tab w:val="left" w:pos="1418"/>
              </w:tabs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F9E9" w14:textId="77777777" w:rsidR="00095724" w:rsidRPr="00F67F5D" w:rsidRDefault="0009572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145E56C0" w14:textId="77777777" w:rsidR="00303EAC" w:rsidRPr="00F67F5D" w:rsidRDefault="00303EAC">
      <w:pPr>
        <w:pStyle w:val="Nadpis2"/>
        <w:rPr>
          <w:rFonts w:asciiTheme="majorHAnsi" w:hAnsiTheme="majorHAnsi" w:cstheme="majorHAnsi"/>
        </w:rPr>
      </w:pPr>
    </w:p>
    <w:p w14:paraId="0232C817" w14:textId="77777777" w:rsidR="00303EAC" w:rsidRPr="00F67F5D" w:rsidRDefault="00D11466">
      <w:pPr>
        <w:pStyle w:val="Nadpis2"/>
        <w:rPr>
          <w:rFonts w:asciiTheme="majorHAnsi" w:hAnsiTheme="majorHAnsi" w:cstheme="majorHAnsi"/>
        </w:rPr>
      </w:pPr>
      <w:r w:rsidRPr="00F67F5D">
        <w:rPr>
          <w:rFonts w:asciiTheme="majorHAnsi" w:eastAsia="Arial Unicode MS" w:hAnsiTheme="majorHAnsi" w:cstheme="majorHAnsi"/>
        </w:rPr>
        <w:t>I. Předmět smlouvy</w:t>
      </w:r>
    </w:p>
    <w:p w14:paraId="7132C0A4" w14:textId="77777777" w:rsidR="00303EAC" w:rsidRPr="00F67F5D" w:rsidRDefault="00303EAC" w:rsidP="00883176">
      <w:pPr>
        <w:pStyle w:val="BodyBulletNumb"/>
        <w:rPr>
          <w:rFonts w:asciiTheme="majorHAnsi" w:hAnsiTheme="majorHAnsi" w:cstheme="majorHAnsi"/>
        </w:rPr>
      </w:pPr>
    </w:p>
    <w:p w14:paraId="43154CD1" w14:textId="59D12F85" w:rsidR="00293106" w:rsidRPr="00F67F5D" w:rsidRDefault="00B96AFF" w:rsidP="000D15E5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B96AFF">
        <w:rPr>
          <w:rFonts w:asciiTheme="majorHAnsi" w:hAnsiTheme="majorHAnsi" w:cstheme="majorHAnsi"/>
          <w:b/>
        </w:rPr>
        <w:t>Povinný a</w:t>
      </w:r>
      <w:r w:rsidR="00293106" w:rsidRPr="00B96AFF">
        <w:rPr>
          <w:rFonts w:asciiTheme="majorHAnsi" w:hAnsiTheme="majorHAnsi" w:cstheme="majorHAnsi"/>
          <w:b/>
        </w:rPr>
        <w:t>udit účetní závěrky</w:t>
      </w:r>
      <w:r w:rsidR="00293106" w:rsidRPr="00F67F5D">
        <w:rPr>
          <w:rFonts w:asciiTheme="majorHAnsi" w:hAnsiTheme="majorHAnsi" w:cstheme="majorHAnsi"/>
        </w:rPr>
        <w:t xml:space="preserve"> </w:t>
      </w:r>
      <w:r w:rsidR="00883176" w:rsidRPr="00F67F5D">
        <w:rPr>
          <w:rFonts w:asciiTheme="majorHAnsi" w:hAnsiTheme="majorHAnsi" w:cstheme="majorHAnsi"/>
        </w:rPr>
        <w:t>Objednatele</w:t>
      </w:r>
      <w:r w:rsidR="00293106" w:rsidRPr="00F67F5D">
        <w:rPr>
          <w:rFonts w:asciiTheme="majorHAnsi" w:hAnsiTheme="majorHAnsi" w:cstheme="majorHAnsi"/>
        </w:rPr>
        <w:t xml:space="preserve">, tj. </w:t>
      </w:r>
      <w:r w:rsidR="003D6D30">
        <w:rPr>
          <w:rFonts w:asciiTheme="majorHAnsi" w:hAnsiTheme="majorHAnsi" w:cstheme="majorHAnsi"/>
        </w:rPr>
        <w:t xml:space="preserve">konečné </w:t>
      </w:r>
      <w:r w:rsidR="00293106" w:rsidRPr="00F67F5D">
        <w:rPr>
          <w:rFonts w:asciiTheme="majorHAnsi" w:hAnsiTheme="majorHAnsi" w:cstheme="majorHAnsi"/>
        </w:rPr>
        <w:t>rozvahy sestavené k</w:t>
      </w:r>
      <w:r w:rsidR="003D6D30">
        <w:rPr>
          <w:rFonts w:asciiTheme="majorHAnsi" w:hAnsiTheme="majorHAnsi" w:cstheme="majorHAnsi"/>
        </w:rPr>
        <w:t>e dni ukončení li</w:t>
      </w:r>
      <w:r w:rsidR="00E1243D">
        <w:rPr>
          <w:rFonts w:asciiTheme="majorHAnsi" w:hAnsiTheme="majorHAnsi" w:cstheme="majorHAnsi"/>
        </w:rPr>
        <w:t>k</w:t>
      </w:r>
      <w:r w:rsidR="003D6D30">
        <w:rPr>
          <w:rFonts w:asciiTheme="majorHAnsi" w:hAnsiTheme="majorHAnsi" w:cstheme="majorHAnsi"/>
        </w:rPr>
        <w:t>vidace</w:t>
      </w:r>
      <w:r w:rsidR="00293106" w:rsidRPr="00F67F5D">
        <w:rPr>
          <w:rFonts w:asciiTheme="majorHAnsi" w:hAnsiTheme="majorHAnsi" w:cstheme="majorHAnsi"/>
        </w:rPr>
        <w:t xml:space="preserve"> a souvisejícího výkazu zisku a ztráty a přílohy k účetní závěrce </w:t>
      </w:r>
      <w:r w:rsidR="00E1243D">
        <w:rPr>
          <w:rFonts w:asciiTheme="majorHAnsi" w:hAnsiTheme="majorHAnsi" w:cstheme="majorHAnsi"/>
        </w:rPr>
        <w:t>za období od 1.1.2024 do data ukončení likvidace</w:t>
      </w:r>
      <w:r w:rsidR="00FB4BFF">
        <w:rPr>
          <w:rFonts w:asciiTheme="majorHAnsi" w:hAnsiTheme="majorHAnsi" w:cstheme="majorHAnsi"/>
        </w:rPr>
        <w:t>, tzn. cca do 30.6.2024</w:t>
      </w:r>
      <w:r w:rsidR="00287FEC">
        <w:rPr>
          <w:rFonts w:asciiTheme="majorHAnsi" w:hAnsiTheme="majorHAnsi" w:cstheme="majorHAnsi"/>
        </w:rPr>
        <w:t>,</w:t>
      </w:r>
      <w:r w:rsidR="00E1243D">
        <w:rPr>
          <w:rFonts w:asciiTheme="majorHAnsi" w:hAnsiTheme="majorHAnsi" w:cstheme="majorHAnsi"/>
        </w:rPr>
        <w:t xml:space="preserve"> </w:t>
      </w:r>
      <w:r w:rsidR="00293106" w:rsidRPr="00F67F5D">
        <w:rPr>
          <w:rFonts w:asciiTheme="majorHAnsi" w:hAnsiTheme="majorHAnsi" w:cstheme="majorHAnsi"/>
        </w:rPr>
        <w:t xml:space="preserve">včetně popisu obecných účetních zásad. Audit </w:t>
      </w:r>
      <w:r w:rsidR="00883176" w:rsidRPr="00F67F5D">
        <w:rPr>
          <w:rFonts w:asciiTheme="majorHAnsi" w:hAnsiTheme="majorHAnsi" w:cstheme="majorHAnsi"/>
        </w:rPr>
        <w:t>bude proveden</w:t>
      </w:r>
      <w:r w:rsidR="00293106" w:rsidRPr="00F67F5D">
        <w:rPr>
          <w:rFonts w:asciiTheme="majorHAnsi" w:hAnsiTheme="majorHAnsi" w:cstheme="majorHAnsi"/>
        </w:rPr>
        <w:t xml:space="preserve"> s cílem vydat výrok o účetní závěrce.</w:t>
      </w:r>
    </w:p>
    <w:p w14:paraId="2330B46F" w14:textId="5C901B7D" w:rsidR="000F6816" w:rsidRDefault="000F6816">
      <w:pPr>
        <w:rPr>
          <w:rFonts w:asciiTheme="majorHAnsi" w:hAnsiTheme="majorHAnsi" w:cstheme="majorHAnsi"/>
          <w:color w:val="000000"/>
          <w:sz w:val="20"/>
          <w:szCs w:val="20"/>
          <w:lang w:val="cs-CZ" w:eastAsia="cs-CZ"/>
        </w:rPr>
      </w:pPr>
      <w:r>
        <w:rPr>
          <w:rFonts w:asciiTheme="majorHAnsi" w:hAnsiTheme="majorHAnsi" w:cstheme="majorHAnsi"/>
        </w:rPr>
        <w:br w:type="page"/>
      </w:r>
    </w:p>
    <w:p w14:paraId="1E86DD3E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36E261F9" w14:textId="77777777" w:rsidR="00303EAC" w:rsidRPr="00F67F5D" w:rsidRDefault="00D11466">
      <w:pPr>
        <w:pStyle w:val="Nadpis2"/>
        <w:numPr>
          <w:ilvl w:val="0"/>
          <w:numId w:val="5"/>
        </w:numPr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Forma, postup, práva a povinnosti</w:t>
      </w:r>
    </w:p>
    <w:p w14:paraId="25D56E1E" w14:textId="77777777" w:rsidR="00303EAC" w:rsidRPr="00F67F5D" w:rsidRDefault="00303EAC">
      <w:pPr>
        <w:pStyle w:val="Nadpis2"/>
        <w:rPr>
          <w:rFonts w:asciiTheme="majorHAnsi" w:hAnsiTheme="majorHAnsi" w:cstheme="majorHAnsi"/>
        </w:rPr>
      </w:pPr>
    </w:p>
    <w:p w14:paraId="07EE3484" w14:textId="77777777" w:rsidR="00883176" w:rsidRPr="00F67F5D" w:rsidRDefault="00883176" w:rsidP="00F52078">
      <w:pPr>
        <w:pStyle w:val="BodyBulletNumb"/>
        <w:numPr>
          <w:ilvl w:val="0"/>
          <w:numId w:val="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Audit bude proveden v souladu s Mezinárodními auditorskými standardy, zákonem o auditorech a souvisejícími aplikačními doložkami Komory auditorů České republiky. Tyto standardy vyžadují, aby audit byl naplánován a proveden tak, aby Vykonavatel získal přiměřenou jistotu, že účetní závěrka neobsahuje významné nesprávnosti. </w:t>
      </w:r>
    </w:p>
    <w:p w14:paraId="58616798" w14:textId="77777777" w:rsidR="00FB75ED" w:rsidRPr="00F67F5D" w:rsidRDefault="00883176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Audit zahrnuje výběrové ověření podkladů prokazujících údaje a informace uvedené v účetní závěrce. Výběr auditorských postupů závisí na posouzení auditora, mimo jiné na tom, jak auditor vyhodnotí riziko významné nesprávnosti údajů uvedených v účetní závěrce způsobené podvodem nebo chybou. Audit rovněž zahrnuje posouzení použitých účetních zásad a významných odhadů učiněných vedením společnosti a zhodnocení celkové prezentace účetní závěrky.</w:t>
      </w:r>
    </w:p>
    <w:p w14:paraId="2BD0228A" w14:textId="1E2256B8" w:rsidR="009C1A7E" w:rsidRPr="00F67F5D" w:rsidRDefault="00883176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Při vyhodnocování rizik Vykonavatel posuzuje rovněž interní kontroly relevantní pro sestavení účetní závěrky. Toto posouzení se provádí proto, aby bylo možné navrhnout auditorské postupy, které budou vhodné s ohledem na dané okolnosti, nikoli pro účely vydání výroku k účinnosti interních kontrol. Kromě zprávy o auditu účetní závěrky vypracuje Vykonavatel samostatný dopis </w:t>
      </w:r>
      <w:r w:rsidR="009C1A7E" w:rsidRPr="00F67F5D">
        <w:rPr>
          <w:rFonts w:asciiTheme="majorHAnsi" w:hAnsiTheme="majorHAnsi" w:cstheme="majorHAnsi"/>
        </w:rPr>
        <w:t xml:space="preserve">vedení </w:t>
      </w:r>
      <w:r w:rsidRPr="00F67F5D">
        <w:rPr>
          <w:rFonts w:asciiTheme="majorHAnsi" w:hAnsiTheme="majorHAnsi" w:cstheme="majorHAnsi"/>
        </w:rPr>
        <w:t>jako důvěrné sdělení auditora statu</w:t>
      </w:r>
      <w:r w:rsidR="009C1A7E" w:rsidRPr="00F67F5D">
        <w:rPr>
          <w:rFonts w:asciiTheme="majorHAnsi" w:hAnsiTheme="majorHAnsi" w:cstheme="majorHAnsi"/>
        </w:rPr>
        <w:t xml:space="preserve">tárnímu </w:t>
      </w:r>
      <w:r w:rsidR="00BA1B64" w:rsidRPr="00F67F5D">
        <w:rPr>
          <w:rFonts w:asciiTheme="majorHAnsi" w:hAnsiTheme="majorHAnsi" w:cstheme="majorHAnsi"/>
        </w:rPr>
        <w:t>orgánu,</w:t>
      </w:r>
      <w:r w:rsidR="009C1A7E" w:rsidRPr="00F67F5D">
        <w:rPr>
          <w:rFonts w:asciiTheme="majorHAnsi" w:hAnsiTheme="majorHAnsi" w:cstheme="majorHAnsi"/>
        </w:rPr>
        <w:t xml:space="preserve"> </w:t>
      </w:r>
      <w:r w:rsidRPr="00F67F5D">
        <w:rPr>
          <w:rFonts w:asciiTheme="majorHAnsi" w:hAnsiTheme="majorHAnsi" w:cstheme="majorHAnsi"/>
        </w:rPr>
        <w:t>ve kterém shrne informace o průběhu auditu a upozorní na závažnější nedostatky v účetnictví a vnitřním kontrolním systému, které během auditu odhalí.</w:t>
      </w:r>
    </w:p>
    <w:p w14:paraId="6AC9C652" w14:textId="77777777" w:rsidR="00F84243" w:rsidRPr="00F67F5D" w:rsidRDefault="00F84243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Vykonavatel seznámí před zahájením auditu Objednatele s plánem auditu vycházejícího z metodiky Komory auditorů ČR.</w:t>
      </w:r>
    </w:p>
    <w:p w14:paraId="59CA2ED9" w14:textId="77777777" w:rsidR="009C1A7E" w:rsidRPr="00F67F5D" w:rsidRDefault="00883176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Vykonavatel </w:t>
      </w:r>
      <w:r w:rsidR="009C1A7E" w:rsidRPr="00F67F5D">
        <w:rPr>
          <w:rFonts w:asciiTheme="majorHAnsi" w:hAnsiTheme="majorHAnsi" w:cstheme="majorHAnsi"/>
        </w:rPr>
        <w:t>provede</w:t>
      </w:r>
      <w:r w:rsidRPr="00F67F5D">
        <w:rPr>
          <w:rFonts w:asciiTheme="majorHAnsi" w:hAnsiTheme="majorHAnsi" w:cstheme="majorHAnsi"/>
        </w:rPr>
        <w:t xml:space="preserve"> ověření roční </w:t>
      </w:r>
      <w:r w:rsidR="009C1A7E" w:rsidRPr="00F67F5D">
        <w:rPr>
          <w:rFonts w:asciiTheme="majorHAnsi" w:hAnsiTheme="majorHAnsi" w:cstheme="majorHAnsi"/>
        </w:rPr>
        <w:t>účetní závěrky a zpracuje</w:t>
      </w:r>
      <w:r w:rsidRPr="00F67F5D">
        <w:rPr>
          <w:rFonts w:asciiTheme="majorHAnsi" w:hAnsiTheme="majorHAnsi" w:cstheme="majorHAnsi"/>
        </w:rPr>
        <w:t xml:space="preserve"> písemnou </w:t>
      </w:r>
      <w:r w:rsidR="009C1A7E" w:rsidRPr="00F67F5D">
        <w:rPr>
          <w:rFonts w:asciiTheme="majorHAnsi" w:hAnsiTheme="majorHAnsi" w:cstheme="majorHAnsi"/>
        </w:rPr>
        <w:t xml:space="preserve">závěrečnou </w:t>
      </w:r>
      <w:r w:rsidRPr="00F67F5D">
        <w:rPr>
          <w:rFonts w:asciiTheme="majorHAnsi" w:hAnsiTheme="majorHAnsi" w:cstheme="majorHAnsi"/>
        </w:rPr>
        <w:t>z</w:t>
      </w:r>
      <w:r w:rsidR="009C1A7E" w:rsidRPr="00F67F5D">
        <w:rPr>
          <w:rFonts w:asciiTheme="majorHAnsi" w:hAnsiTheme="majorHAnsi" w:cstheme="majorHAnsi"/>
        </w:rPr>
        <w:t xml:space="preserve">právu v 1 vyhotovení a dále v 1 </w:t>
      </w:r>
      <w:r w:rsidRPr="00F67F5D">
        <w:rPr>
          <w:rFonts w:asciiTheme="majorHAnsi" w:hAnsiTheme="majorHAnsi" w:cstheme="majorHAnsi"/>
        </w:rPr>
        <w:t>nesvázaném výtisku navíc. Zpráva a výrok budou vyhotoveny v českém jazyce.</w:t>
      </w:r>
    </w:p>
    <w:p w14:paraId="3C742CCC" w14:textId="77777777" w:rsidR="009C1A7E" w:rsidRPr="00F67F5D" w:rsidRDefault="009C1A7E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Vykonavatel poskytne dílčí zprávu z auditorské činnosti, ve které upozorní na významné nedostatky v účetnictví a vnitřním kontrolním systému zjištěné během auditu, a to před vydáním závěrečné zprávy.</w:t>
      </w:r>
    </w:p>
    <w:p w14:paraId="4FE77283" w14:textId="77777777" w:rsidR="009C1A7E" w:rsidRPr="00F67F5D" w:rsidRDefault="009C1A7E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Vykonavatel protokol</w:t>
      </w:r>
      <w:r w:rsidR="003354FD" w:rsidRPr="00F67F5D">
        <w:rPr>
          <w:rFonts w:asciiTheme="majorHAnsi" w:hAnsiTheme="majorHAnsi" w:cstheme="majorHAnsi"/>
        </w:rPr>
        <w:t>árně předá závěrečnou zprávu Objednateli současně s dopisem vedení společnosti.</w:t>
      </w:r>
    </w:p>
    <w:p w14:paraId="7D20F4B6" w14:textId="77777777" w:rsidR="003354FD" w:rsidRPr="00F67F5D" w:rsidRDefault="003354FD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Zpráva o ověření roční účetní závěrky bude předána Objednateli v dohodnuté lhůtě po předání účetních výkazů včetně nezbytných příloh. Účetní výkazy a přílohy budou opatřeny podpisem statutárních orgánů.</w:t>
      </w:r>
    </w:p>
    <w:p w14:paraId="7458E43F" w14:textId="77777777" w:rsidR="009C1A7E" w:rsidRPr="00F67F5D" w:rsidRDefault="009C1A7E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Za sestavení účetní závěrky v souladu s platnými českými účetními předpisy včetně zveřejnění odpovídajících informací je odpovědné vedení společnosti. Tato odpovědnost zahrnuje vedení odpovídajících účetních záznamů, volbu a uplatňování účetních postupů a ochranu majetku společnosti včetně navržení a zavedení vnitřních kontrol.  K závěrečnému projednání auditu bude Vykonavatel požadovat písemné prohlášením vedení společnosti k auditu a Objednatel se zavazuje jej poskytnout.</w:t>
      </w:r>
    </w:p>
    <w:p w14:paraId="11394817" w14:textId="6D692947" w:rsidR="009C1A7E" w:rsidRPr="00F67F5D" w:rsidRDefault="009C1A7E" w:rsidP="00F52078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Objednatel pro potřeby auditorského ověření účetní závěrky poskytne Vykonavateli všechny účetní a další podklady nezbytné k posouzení správnosti a průkaznosti vedení účetnictví, a to i v elektronické formě. </w:t>
      </w:r>
      <w:r w:rsidR="00F84243" w:rsidRPr="00F67F5D">
        <w:rPr>
          <w:rFonts w:asciiTheme="majorHAnsi" w:hAnsiTheme="majorHAnsi" w:cstheme="majorHAnsi"/>
        </w:rPr>
        <w:t xml:space="preserve">Rozsah a formu podkladů v elektronické podobě určí vykonavatel. Objednatel se zavazuje poskytnout neomezený přístup Vykonavateli k jakýmkoliv záznamům, dokumentům a dalším informacím. </w:t>
      </w:r>
      <w:r w:rsidRPr="00F67F5D">
        <w:rPr>
          <w:rFonts w:asciiTheme="majorHAnsi" w:hAnsiTheme="majorHAnsi" w:cstheme="majorHAnsi"/>
        </w:rPr>
        <w:t xml:space="preserve">Smluvní strany se dohodly, že prověrka bude probíhat </w:t>
      </w:r>
      <w:r w:rsidR="00E15209">
        <w:rPr>
          <w:rFonts w:asciiTheme="majorHAnsi" w:hAnsiTheme="majorHAnsi" w:cstheme="majorHAnsi"/>
        </w:rPr>
        <w:t xml:space="preserve">převážně </w:t>
      </w:r>
      <w:r w:rsidRPr="00F67F5D">
        <w:rPr>
          <w:rFonts w:asciiTheme="majorHAnsi" w:hAnsiTheme="majorHAnsi" w:cstheme="majorHAnsi"/>
        </w:rPr>
        <w:t xml:space="preserve">v sídle </w:t>
      </w:r>
      <w:r w:rsidR="00F52078">
        <w:rPr>
          <w:rFonts w:asciiTheme="majorHAnsi" w:hAnsiTheme="majorHAnsi" w:cstheme="majorHAnsi"/>
        </w:rPr>
        <w:t>vyko</w:t>
      </w:r>
      <w:r w:rsidRPr="00F67F5D">
        <w:rPr>
          <w:rFonts w:asciiTheme="majorHAnsi" w:hAnsiTheme="majorHAnsi" w:cstheme="majorHAnsi"/>
        </w:rPr>
        <w:t>na</w:t>
      </w:r>
      <w:r w:rsidR="00F52078">
        <w:rPr>
          <w:rFonts w:asciiTheme="majorHAnsi" w:hAnsiTheme="majorHAnsi" w:cstheme="majorHAnsi"/>
        </w:rPr>
        <w:t>va</w:t>
      </w:r>
      <w:r w:rsidRPr="00F67F5D">
        <w:rPr>
          <w:rFonts w:asciiTheme="majorHAnsi" w:hAnsiTheme="majorHAnsi" w:cstheme="majorHAnsi"/>
        </w:rPr>
        <w:t>tele, a že účetní doklady nebudou vykonavatelem auditu vynášeny mimo</w:t>
      </w:r>
      <w:r w:rsidR="00F52078">
        <w:rPr>
          <w:rFonts w:asciiTheme="majorHAnsi" w:hAnsiTheme="majorHAnsi" w:cstheme="majorHAnsi"/>
        </w:rPr>
        <w:t xml:space="preserve"> jeho</w:t>
      </w:r>
      <w:r w:rsidRPr="00F67F5D">
        <w:rPr>
          <w:rFonts w:asciiTheme="majorHAnsi" w:hAnsiTheme="majorHAnsi" w:cstheme="majorHAnsi"/>
        </w:rPr>
        <w:t xml:space="preserve"> sídl</w:t>
      </w:r>
      <w:r w:rsidR="00F52078">
        <w:rPr>
          <w:rFonts w:asciiTheme="majorHAnsi" w:hAnsiTheme="majorHAnsi" w:cstheme="majorHAnsi"/>
        </w:rPr>
        <w:t>o</w:t>
      </w:r>
      <w:r w:rsidRPr="00F67F5D">
        <w:rPr>
          <w:rFonts w:asciiTheme="majorHAnsi" w:hAnsiTheme="majorHAnsi" w:cstheme="majorHAnsi"/>
        </w:rPr>
        <w:t xml:space="preserve">. </w:t>
      </w:r>
    </w:p>
    <w:p w14:paraId="5D8F4FED" w14:textId="77777777" w:rsidR="003354FD" w:rsidRPr="00F67F5D" w:rsidRDefault="009C1A7E" w:rsidP="00E15209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lastRenderedPageBreak/>
        <w:t>Objednatel poskytne potřebnou součinnost pro potřeby auditorského ověření účetní závěrky, což zahrnuje zejména podání potřebných vysvětlení k jednotlivým účetním a dalším hospodářským případům.</w:t>
      </w:r>
    </w:p>
    <w:p w14:paraId="5DFA326E" w14:textId="77777777" w:rsidR="00035FD1" w:rsidRPr="00F67F5D" w:rsidRDefault="00035FD1" w:rsidP="00E15209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Objednatel se zavazuje, že bude do jednoho měsíce od obdržení dílčí auditorské zprávy informovat Vykonavatele auditu o opatřeních, která přijal k odstranění nedostatků uvedených v této dílčí auditorské zprávě.</w:t>
      </w:r>
    </w:p>
    <w:p w14:paraId="626D7F0D" w14:textId="77777777" w:rsidR="00035FD1" w:rsidRPr="00F67F5D" w:rsidRDefault="00035FD1" w:rsidP="00E15209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Objednatel se zavazuje poskytnout Vykonavateli auditu kopie dokumentů</w:t>
      </w:r>
      <w:r w:rsidR="005367AB" w:rsidRPr="00F67F5D">
        <w:rPr>
          <w:rFonts w:asciiTheme="majorHAnsi" w:hAnsiTheme="majorHAnsi" w:cstheme="majorHAnsi"/>
        </w:rPr>
        <w:t xml:space="preserve"> v tištěné formě, které si vyžádá, </w:t>
      </w:r>
      <w:r w:rsidRPr="00F67F5D">
        <w:rPr>
          <w:rFonts w:asciiTheme="majorHAnsi" w:hAnsiTheme="majorHAnsi" w:cstheme="majorHAnsi"/>
        </w:rPr>
        <w:t>pro účely založení do spisu podle požadavků Komory auditorů ČR.</w:t>
      </w:r>
    </w:p>
    <w:p w14:paraId="1DAFEE71" w14:textId="0FE6E8C5" w:rsidR="00F84243" w:rsidRPr="00F67F5D" w:rsidRDefault="00F84243" w:rsidP="00E15209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Objednatel se zavazuje, že Vykonavatel auditu byl před podpisem této smlouvy schválen</w:t>
      </w:r>
      <w:r w:rsidR="00534950">
        <w:rPr>
          <w:rFonts w:asciiTheme="majorHAnsi" w:hAnsiTheme="majorHAnsi" w:cstheme="majorHAnsi"/>
        </w:rPr>
        <w:t>.</w:t>
      </w:r>
    </w:p>
    <w:p w14:paraId="015B1AEE" w14:textId="77777777" w:rsidR="003354FD" w:rsidRPr="00F67F5D" w:rsidRDefault="003354FD" w:rsidP="00534950">
      <w:pPr>
        <w:pStyle w:val="BodyBulletNumb"/>
        <w:numPr>
          <w:ilvl w:val="0"/>
          <w:numId w:val="14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Smluvní strany se zavazují zachovávat mlčenlivost o všech skutečnostech, o nichž se v souvislosti s plněním této smlouvy dozvěděly, a to i po zániku této smlouvy, pokud jiný právní předpis nestanoví jinak.</w:t>
      </w:r>
    </w:p>
    <w:p w14:paraId="1F24C094" w14:textId="77777777" w:rsidR="00303EAC" w:rsidRPr="00F67F5D" w:rsidRDefault="00303EAC" w:rsidP="009C1A7E">
      <w:pPr>
        <w:pStyle w:val="BodyBulletNum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/>
        <w:rPr>
          <w:rFonts w:asciiTheme="majorHAnsi" w:hAnsiTheme="majorHAnsi" w:cstheme="majorHAnsi"/>
        </w:rPr>
      </w:pPr>
    </w:p>
    <w:p w14:paraId="5FFCB65F" w14:textId="77777777" w:rsidR="00303EAC" w:rsidRPr="00F67F5D" w:rsidRDefault="00D11466">
      <w:pPr>
        <w:pStyle w:val="Nadpis2"/>
        <w:rPr>
          <w:rFonts w:asciiTheme="majorHAnsi" w:hAnsiTheme="majorHAnsi" w:cstheme="majorHAnsi"/>
        </w:rPr>
      </w:pPr>
      <w:r w:rsidRPr="00F67F5D">
        <w:rPr>
          <w:rFonts w:asciiTheme="majorHAnsi" w:eastAsia="Arial Unicode MS" w:hAnsiTheme="majorHAnsi" w:cstheme="majorHAnsi"/>
        </w:rPr>
        <w:t>III. Cena a platební podmínky</w:t>
      </w:r>
    </w:p>
    <w:p w14:paraId="7CED4039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34C5CDD5" w14:textId="77777777" w:rsidR="003354FD" w:rsidRPr="00F67F5D" w:rsidRDefault="003354FD" w:rsidP="00F67F5D">
      <w:pPr>
        <w:pStyle w:val="BodyBulletNumb"/>
        <w:numPr>
          <w:ilvl w:val="0"/>
          <w:numId w:val="7"/>
        </w:numPr>
        <w:ind w:left="568" w:hanging="284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Cena za plnění dle článku I. je sjednána následovně:</w:t>
      </w:r>
    </w:p>
    <w:p w14:paraId="2376396D" w14:textId="38C6F1E3" w:rsidR="00303EAC" w:rsidRDefault="003354FD" w:rsidP="00F67F5D">
      <w:pPr>
        <w:pStyle w:val="BodyBulletNumb"/>
        <w:numPr>
          <w:ilvl w:val="1"/>
          <w:numId w:val="7"/>
        </w:numPr>
        <w:tabs>
          <w:tab w:val="left" w:pos="567"/>
        </w:tabs>
        <w:ind w:left="807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Závěrečný audit </w:t>
      </w:r>
      <w:r w:rsidR="00BA1B64">
        <w:rPr>
          <w:rFonts w:asciiTheme="majorHAnsi" w:hAnsiTheme="majorHAnsi" w:cstheme="majorHAnsi"/>
        </w:rPr>
        <w:t xml:space="preserve">konečné </w:t>
      </w:r>
      <w:r w:rsidRPr="00F67F5D">
        <w:rPr>
          <w:rFonts w:asciiTheme="majorHAnsi" w:hAnsiTheme="majorHAnsi" w:cstheme="majorHAnsi"/>
        </w:rPr>
        <w:t>účetní závěrky</w:t>
      </w:r>
      <w:r w:rsidRPr="00F67F5D">
        <w:rPr>
          <w:rFonts w:asciiTheme="majorHAnsi" w:hAnsiTheme="majorHAnsi" w:cstheme="majorHAnsi"/>
        </w:rPr>
        <w:tab/>
      </w:r>
      <w:r w:rsidRPr="00F67F5D">
        <w:rPr>
          <w:rFonts w:asciiTheme="majorHAnsi" w:hAnsiTheme="majorHAnsi" w:cstheme="majorHAnsi"/>
        </w:rPr>
        <w:tab/>
      </w:r>
      <w:r w:rsidR="00BA1B64">
        <w:rPr>
          <w:rFonts w:asciiTheme="majorHAnsi" w:hAnsiTheme="majorHAnsi" w:cstheme="majorHAnsi"/>
        </w:rPr>
        <w:t>30</w:t>
      </w:r>
      <w:r w:rsidR="00886BCB">
        <w:rPr>
          <w:rFonts w:asciiTheme="majorHAnsi" w:hAnsiTheme="majorHAnsi" w:cstheme="majorHAnsi"/>
        </w:rPr>
        <w:t>.</w:t>
      </w:r>
      <w:r w:rsidR="00BA1B64">
        <w:rPr>
          <w:rFonts w:asciiTheme="majorHAnsi" w:hAnsiTheme="majorHAnsi" w:cstheme="majorHAnsi"/>
        </w:rPr>
        <w:t>75</w:t>
      </w:r>
      <w:r w:rsidR="00D11466" w:rsidRPr="00F67F5D">
        <w:rPr>
          <w:rFonts w:asciiTheme="majorHAnsi" w:hAnsiTheme="majorHAnsi" w:cstheme="majorHAnsi"/>
        </w:rPr>
        <w:t>0 Kč (bez DPH).</w:t>
      </w:r>
    </w:p>
    <w:p w14:paraId="2FFB8D62" w14:textId="39C9367B" w:rsidR="00CC5DA8" w:rsidRDefault="00CC5DA8" w:rsidP="00CC5DA8">
      <w:pPr>
        <w:pStyle w:val="BodyBulletNumb"/>
        <w:numPr>
          <w:ilvl w:val="1"/>
          <w:numId w:val="7"/>
        </w:numPr>
        <w:tabs>
          <w:tab w:val="left" w:pos="567"/>
        </w:tabs>
        <w:ind w:left="80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Dílčí auditorská zpráva (průběžný audit)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BA1B64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>.</w:t>
      </w:r>
      <w:r w:rsidR="00BA1B64">
        <w:rPr>
          <w:rFonts w:asciiTheme="majorHAnsi" w:hAnsiTheme="majorHAnsi" w:cstheme="majorHAnsi"/>
        </w:rPr>
        <w:t>750</w:t>
      </w:r>
      <w:r w:rsidR="00250BD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Kč (bez DPH).</w:t>
      </w:r>
    </w:p>
    <w:p w14:paraId="0FF6EA0B" w14:textId="348F914F" w:rsidR="00CC5DA8" w:rsidRPr="00F67F5D" w:rsidRDefault="00CC5DA8" w:rsidP="00CC5DA8">
      <w:pPr>
        <w:pStyle w:val="BodyBulletNumb"/>
        <w:numPr>
          <w:ilvl w:val="1"/>
          <w:numId w:val="7"/>
        </w:numPr>
        <w:tabs>
          <w:tab w:val="left" w:pos="567"/>
        </w:tabs>
        <w:ind w:left="807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Konzultační činnost</w:t>
      </w:r>
      <w:r w:rsidRPr="00F67F5D">
        <w:rPr>
          <w:rFonts w:asciiTheme="majorHAnsi" w:hAnsiTheme="majorHAnsi" w:cstheme="majorHAnsi"/>
        </w:rPr>
        <w:tab/>
      </w:r>
      <w:r w:rsidRPr="00F67F5D">
        <w:rPr>
          <w:rFonts w:asciiTheme="majorHAnsi" w:hAnsiTheme="majorHAnsi" w:cstheme="majorHAnsi"/>
        </w:rPr>
        <w:tab/>
      </w:r>
      <w:r w:rsidRPr="00F67F5D">
        <w:rPr>
          <w:rFonts w:asciiTheme="majorHAnsi" w:hAnsiTheme="majorHAnsi" w:cstheme="majorHAnsi"/>
        </w:rPr>
        <w:tab/>
      </w:r>
      <w:r w:rsidRPr="00F67F5D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</w:t>
      </w:r>
      <w:r w:rsidRPr="00F67F5D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0</w:t>
      </w:r>
      <w:r w:rsidRPr="00F67F5D">
        <w:rPr>
          <w:rFonts w:asciiTheme="majorHAnsi" w:hAnsiTheme="majorHAnsi" w:cstheme="majorHAnsi"/>
        </w:rPr>
        <w:t>00 Kč/hod. (bez DPH)</w:t>
      </w:r>
      <w:r w:rsidR="00977513">
        <w:rPr>
          <w:rFonts w:asciiTheme="majorHAnsi" w:hAnsiTheme="majorHAnsi" w:cstheme="majorHAnsi"/>
        </w:rPr>
        <w:t>.</w:t>
      </w:r>
    </w:p>
    <w:p w14:paraId="2F55495F" w14:textId="77777777" w:rsidR="00CC5DA8" w:rsidRPr="00F67F5D" w:rsidRDefault="00CC5DA8" w:rsidP="00CC5DA8">
      <w:pPr>
        <w:pStyle w:val="BodyBulletNum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807"/>
        <w:rPr>
          <w:rFonts w:asciiTheme="majorHAnsi" w:hAnsiTheme="majorHAnsi" w:cstheme="majorHAnsi"/>
        </w:rPr>
      </w:pPr>
    </w:p>
    <w:p w14:paraId="2BEF92E8" w14:textId="201548DF" w:rsidR="00FB2CA0" w:rsidRPr="00F67F5D" w:rsidRDefault="00035FD1" w:rsidP="00977513">
      <w:pPr>
        <w:pStyle w:val="BodyBulletNumb"/>
        <w:numPr>
          <w:ilvl w:val="0"/>
          <w:numId w:val="2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Cena</w:t>
      </w:r>
      <w:r w:rsidR="003354FD" w:rsidRPr="00F67F5D">
        <w:rPr>
          <w:rFonts w:asciiTheme="majorHAnsi" w:hAnsiTheme="majorHAnsi" w:cstheme="majorHAnsi"/>
        </w:rPr>
        <w:t xml:space="preserve"> dle článku III.</w:t>
      </w:r>
      <w:r w:rsidRPr="00F67F5D">
        <w:rPr>
          <w:rFonts w:asciiTheme="majorHAnsi" w:hAnsiTheme="majorHAnsi" w:cstheme="majorHAnsi"/>
        </w:rPr>
        <w:t xml:space="preserve">1 bude hrazena </w:t>
      </w:r>
      <w:r w:rsidR="00985131">
        <w:rPr>
          <w:rFonts w:asciiTheme="majorHAnsi" w:hAnsiTheme="majorHAnsi" w:cstheme="majorHAnsi"/>
        </w:rPr>
        <w:t xml:space="preserve">Objednatelem </w:t>
      </w:r>
      <w:r w:rsidRPr="00F67F5D">
        <w:rPr>
          <w:rFonts w:asciiTheme="majorHAnsi" w:hAnsiTheme="majorHAnsi" w:cstheme="majorHAnsi"/>
        </w:rPr>
        <w:t>na základě</w:t>
      </w:r>
      <w:r w:rsidR="00985131">
        <w:rPr>
          <w:rFonts w:asciiTheme="majorHAnsi" w:hAnsiTheme="majorHAnsi" w:cstheme="majorHAnsi"/>
        </w:rPr>
        <w:t xml:space="preserve"> </w:t>
      </w:r>
      <w:r w:rsidR="008A5CB2">
        <w:rPr>
          <w:rFonts w:asciiTheme="majorHAnsi" w:hAnsiTheme="majorHAnsi" w:cstheme="majorHAnsi"/>
        </w:rPr>
        <w:t xml:space="preserve">zálohové </w:t>
      </w:r>
      <w:r w:rsidR="00985131">
        <w:rPr>
          <w:rFonts w:asciiTheme="majorHAnsi" w:hAnsiTheme="majorHAnsi" w:cstheme="majorHAnsi"/>
        </w:rPr>
        <w:t xml:space="preserve">faktury vystavené </w:t>
      </w:r>
      <w:r w:rsidRPr="00F67F5D">
        <w:rPr>
          <w:rFonts w:asciiTheme="majorHAnsi" w:hAnsiTheme="majorHAnsi" w:cstheme="majorHAnsi"/>
        </w:rPr>
        <w:t>Vykonavatelem</w:t>
      </w:r>
      <w:r w:rsidR="00985131">
        <w:rPr>
          <w:rFonts w:asciiTheme="majorHAnsi" w:hAnsiTheme="majorHAnsi" w:cstheme="majorHAnsi"/>
        </w:rPr>
        <w:t>,</w:t>
      </w:r>
      <w:r w:rsidR="00562CF5" w:rsidRPr="00F67F5D">
        <w:rPr>
          <w:rFonts w:asciiTheme="majorHAnsi" w:hAnsiTheme="majorHAnsi" w:cstheme="majorHAnsi"/>
        </w:rPr>
        <w:t xml:space="preserve"> </w:t>
      </w:r>
      <w:r w:rsidR="00D11466" w:rsidRPr="00F67F5D">
        <w:rPr>
          <w:rFonts w:asciiTheme="majorHAnsi" w:hAnsiTheme="majorHAnsi" w:cstheme="majorHAnsi"/>
        </w:rPr>
        <w:t>se splatností 10 dnů.</w:t>
      </w:r>
      <w:r w:rsidR="00985131">
        <w:rPr>
          <w:rFonts w:asciiTheme="majorHAnsi" w:hAnsiTheme="majorHAnsi" w:cstheme="majorHAnsi"/>
        </w:rPr>
        <w:t xml:space="preserve"> </w:t>
      </w:r>
      <w:r w:rsidR="008A5CB2">
        <w:rPr>
          <w:rFonts w:asciiTheme="majorHAnsi" w:hAnsiTheme="majorHAnsi" w:cstheme="majorHAnsi"/>
        </w:rPr>
        <w:t>Po předání zprávy Objednateli bude provedena pouze zúčtovací fakturace</w:t>
      </w:r>
      <w:r w:rsidR="002269E7">
        <w:rPr>
          <w:rFonts w:asciiTheme="majorHAnsi" w:hAnsiTheme="majorHAnsi" w:cstheme="majorHAnsi"/>
        </w:rPr>
        <w:t xml:space="preserve">. </w:t>
      </w:r>
      <w:r w:rsidR="00985131">
        <w:rPr>
          <w:rFonts w:asciiTheme="majorHAnsi" w:hAnsiTheme="majorHAnsi" w:cstheme="majorHAnsi"/>
        </w:rPr>
        <w:t>Smluvní strany se dohodly, že faktura může být Objednateli předána v elektronické podobě.</w:t>
      </w:r>
      <w:r w:rsidR="00FB2CA0" w:rsidRPr="00FB2CA0">
        <w:rPr>
          <w:rFonts w:asciiTheme="majorHAnsi" w:hAnsiTheme="majorHAnsi" w:cstheme="majorHAnsi"/>
        </w:rPr>
        <w:t xml:space="preserve"> </w:t>
      </w:r>
    </w:p>
    <w:p w14:paraId="6BC845D6" w14:textId="20E39491" w:rsidR="00303EAC" w:rsidRPr="00F67F5D" w:rsidRDefault="00303EAC" w:rsidP="005C0A46">
      <w:pPr>
        <w:pStyle w:val="BodyBulletNum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Theme="majorHAnsi" w:hAnsiTheme="majorHAnsi" w:cstheme="majorHAnsi"/>
        </w:rPr>
      </w:pPr>
    </w:p>
    <w:p w14:paraId="7D2C25B7" w14:textId="77777777" w:rsidR="00035FD1" w:rsidRPr="00F67F5D" w:rsidRDefault="00035FD1" w:rsidP="00035FD1">
      <w:pPr>
        <w:pStyle w:val="BodyBulletNum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/>
        <w:rPr>
          <w:rFonts w:asciiTheme="majorHAnsi" w:hAnsiTheme="majorHAnsi" w:cstheme="majorHAnsi"/>
        </w:rPr>
      </w:pPr>
    </w:p>
    <w:p w14:paraId="21AFCACE" w14:textId="77777777" w:rsidR="00303EAC" w:rsidRPr="00F67F5D" w:rsidRDefault="00D11466">
      <w:pPr>
        <w:pStyle w:val="Nadpis2"/>
        <w:numPr>
          <w:ilvl w:val="0"/>
          <w:numId w:val="8"/>
        </w:numPr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Odpovědnost, sankce, pokuty</w:t>
      </w:r>
    </w:p>
    <w:p w14:paraId="7003F4E9" w14:textId="77777777" w:rsidR="00303EAC" w:rsidRPr="00F67F5D" w:rsidRDefault="00303EAC">
      <w:pPr>
        <w:pStyle w:val="Nadpis2"/>
        <w:rPr>
          <w:rFonts w:asciiTheme="majorHAnsi" w:hAnsiTheme="majorHAnsi" w:cstheme="majorHAnsi"/>
        </w:rPr>
      </w:pPr>
    </w:p>
    <w:p w14:paraId="62D771B3" w14:textId="77777777" w:rsidR="00035FD1" w:rsidRPr="00F67F5D" w:rsidRDefault="00035FD1" w:rsidP="00DF6E34">
      <w:pPr>
        <w:pStyle w:val="BodyBullet2"/>
        <w:numPr>
          <w:ilvl w:val="0"/>
          <w:numId w:val="15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V případě nesplnění sjednaného termínu uvedeného v článku II.6 této smlouvy poskytne Vykonavatel slevu z Ceny ve výši </w:t>
      </w:r>
      <w:proofErr w:type="gramStart"/>
      <w:r w:rsidRPr="00F67F5D">
        <w:rPr>
          <w:rFonts w:asciiTheme="majorHAnsi" w:hAnsiTheme="majorHAnsi" w:cstheme="majorHAnsi"/>
        </w:rPr>
        <w:t>0,05%</w:t>
      </w:r>
      <w:proofErr w:type="gramEnd"/>
      <w:r w:rsidRPr="00F67F5D">
        <w:rPr>
          <w:rFonts w:asciiTheme="majorHAnsi" w:hAnsiTheme="majorHAnsi" w:cstheme="majorHAnsi"/>
        </w:rPr>
        <w:t xml:space="preserve"> za každý den prodlení.</w:t>
      </w:r>
    </w:p>
    <w:p w14:paraId="7E31BEF5" w14:textId="77777777" w:rsidR="00303EAC" w:rsidRPr="00F67F5D" w:rsidRDefault="00035FD1" w:rsidP="00DF6E34">
      <w:pPr>
        <w:pStyle w:val="BodyBullet2"/>
        <w:numPr>
          <w:ilvl w:val="0"/>
          <w:numId w:val="15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 případě prodlení Vykonavatele s předáním auditorské zprávy delším jak 1 měsíc je</w:t>
      </w:r>
      <w:r w:rsidR="00D11466" w:rsidRPr="00F67F5D">
        <w:rPr>
          <w:rFonts w:asciiTheme="majorHAnsi" w:hAnsiTheme="majorHAnsi" w:cstheme="majorHAnsi"/>
        </w:rPr>
        <w:t xml:space="preserve"> </w:t>
      </w:r>
      <w:r w:rsidRPr="00F67F5D">
        <w:rPr>
          <w:rFonts w:asciiTheme="majorHAnsi" w:hAnsiTheme="majorHAnsi" w:cstheme="majorHAnsi"/>
        </w:rPr>
        <w:t xml:space="preserve">objednatel oprávněn požadovat smluvní pokutu ve výši </w:t>
      </w:r>
      <w:proofErr w:type="gramStart"/>
      <w:r w:rsidRPr="00F67F5D">
        <w:rPr>
          <w:rFonts w:asciiTheme="majorHAnsi" w:hAnsiTheme="majorHAnsi" w:cstheme="majorHAnsi"/>
        </w:rPr>
        <w:t>15%</w:t>
      </w:r>
      <w:proofErr w:type="gramEnd"/>
      <w:r w:rsidRPr="00F67F5D">
        <w:rPr>
          <w:rFonts w:asciiTheme="majorHAnsi" w:hAnsiTheme="majorHAnsi" w:cstheme="majorHAnsi"/>
        </w:rPr>
        <w:t xml:space="preserve"> z ceny auditu.</w:t>
      </w:r>
    </w:p>
    <w:p w14:paraId="5577C286" w14:textId="77777777" w:rsidR="00303EAC" w:rsidRPr="00F67F5D" w:rsidRDefault="00D11466" w:rsidP="00DF6E34">
      <w:pPr>
        <w:pStyle w:val="BodyBullet2"/>
        <w:numPr>
          <w:ilvl w:val="0"/>
          <w:numId w:val="15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Při nedodržení sp</w:t>
      </w:r>
      <w:r w:rsidR="00035FD1" w:rsidRPr="00F67F5D">
        <w:rPr>
          <w:rFonts w:asciiTheme="majorHAnsi" w:hAnsiTheme="majorHAnsi" w:cstheme="majorHAnsi"/>
        </w:rPr>
        <w:t>latnosti faktur Objednatelem</w:t>
      </w:r>
      <w:r w:rsidRPr="00F67F5D">
        <w:rPr>
          <w:rFonts w:asciiTheme="majorHAnsi" w:hAnsiTheme="majorHAnsi" w:cstheme="majorHAnsi"/>
        </w:rPr>
        <w:t xml:space="preserve"> dle článku III. t</w:t>
      </w:r>
      <w:r w:rsidRPr="00F67F5D">
        <w:rPr>
          <w:rFonts w:asciiTheme="majorHAnsi" w:hAnsiTheme="majorHAnsi" w:cstheme="majorHAnsi"/>
          <w:lang w:val="fr-FR"/>
        </w:rPr>
        <w:t>é</w:t>
      </w:r>
      <w:r w:rsidRPr="00F67F5D">
        <w:rPr>
          <w:rFonts w:asciiTheme="majorHAnsi" w:hAnsiTheme="majorHAnsi" w:cstheme="majorHAnsi"/>
        </w:rPr>
        <w:t>to smlouvy si smluvní strany sjednávaj</w:t>
      </w:r>
      <w:r w:rsidR="00035FD1" w:rsidRPr="00F67F5D">
        <w:rPr>
          <w:rFonts w:asciiTheme="majorHAnsi" w:hAnsiTheme="majorHAnsi" w:cstheme="majorHAnsi"/>
        </w:rPr>
        <w:t>í úrok z prodlení k tíži Objednatele</w:t>
      </w:r>
      <w:r w:rsidRPr="00F67F5D">
        <w:rPr>
          <w:rFonts w:asciiTheme="majorHAnsi" w:hAnsiTheme="majorHAnsi" w:cstheme="majorHAnsi"/>
        </w:rPr>
        <w:t xml:space="preserve"> ve výš</w:t>
      </w:r>
      <w:r w:rsidRPr="00F67F5D">
        <w:rPr>
          <w:rFonts w:asciiTheme="majorHAnsi" w:hAnsiTheme="majorHAnsi" w:cstheme="majorHAnsi"/>
          <w:lang w:val="de-DE"/>
        </w:rPr>
        <w:t xml:space="preserve">i </w:t>
      </w:r>
      <w:proofErr w:type="gramStart"/>
      <w:r w:rsidRPr="00F67F5D">
        <w:rPr>
          <w:rFonts w:asciiTheme="majorHAnsi" w:hAnsiTheme="majorHAnsi" w:cstheme="majorHAnsi"/>
          <w:lang w:val="de-DE"/>
        </w:rPr>
        <w:t>0,05%</w:t>
      </w:r>
      <w:proofErr w:type="gramEnd"/>
      <w:r w:rsidRPr="00F67F5D">
        <w:rPr>
          <w:rFonts w:asciiTheme="majorHAnsi" w:hAnsiTheme="majorHAnsi" w:cstheme="majorHAnsi"/>
          <w:lang w:val="de-DE"/>
        </w:rPr>
        <w:t xml:space="preserve"> denn</w:t>
      </w:r>
      <w:r w:rsidRPr="00F67F5D">
        <w:rPr>
          <w:rFonts w:asciiTheme="majorHAnsi" w:hAnsiTheme="majorHAnsi" w:cstheme="majorHAnsi"/>
        </w:rPr>
        <w:t>ě z</w:t>
      </w:r>
      <w:r w:rsidR="00035FD1" w:rsidRPr="00F67F5D">
        <w:rPr>
          <w:rFonts w:asciiTheme="majorHAnsi" w:hAnsiTheme="majorHAnsi" w:cstheme="majorHAnsi"/>
        </w:rPr>
        <w:t xml:space="preserve"> výše částky se kterou je Objednatel</w:t>
      </w:r>
      <w:r w:rsidRPr="00F67F5D">
        <w:rPr>
          <w:rFonts w:asciiTheme="majorHAnsi" w:hAnsiTheme="majorHAnsi" w:cstheme="majorHAnsi"/>
        </w:rPr>
        <w:t xml:space="preserve"> v prodlení.</w:t>
      </w:r>
    </w:p>
    <w:p w14:paraId="6E6E82E4" w14:textId="77777777" w:rsidR="00303EAC" w:rsidRPr="00F67F5D" w:rsidRDefault="00303EAC">
      <w:pPr>
        <w:pStyle w:val="BodyBullet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Theme="majorHAnsi" w:hAnsiTheme="majorHAnsi" w:cstheme="majorHAnsi"/>
        </w:rPr>
      </w:pPr>
    </w:p>
    <w:p w14:paraId="20A05A78" w14:textId="2CE4013C" w:rsidR="00793E6A" w:rsidRDefault="00793E6A">
      <w:pPr>
        <w:rPr>
          <w:rFonts w:asciiTheme="majorHAnsi" w:hAnsiTheme="majorHAnsi" w:cstheme="majorHAnsi"/>
          <w:color w:val="000000"/>
          <w:sz w:val="20"/>
          <w:szCs w:val="20"/>
          <w:lang w:val="cs-CZ" w:eastAsia="cs-CZ"/>
        </w:rPr>
      </w:pPr>
      <w:r>
        <w:rPr>
          <w:rFonts w:asciiTheme="majorHAnsi" w:hAnsiTheme="majorHAnsi" w:cstheme="majorHAnsi"/>
        </w:rPr>
        <w:br w:type="page"/>
      </w:r>
    </w:p>
    <w:p w14:paraId="42101923" w14:textId="77777777" w:rsidR="00F84243" w:rsidRPr="00F67F5D" w:rsidRDefault="00F84243">
      <w:pPr>
        <w:pStyle w:val="BodyBullet2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Theme="majorHAnsi" w:hAnsiTheme="majorHAnsi" w:cstheme="majorHAnsi"/>
        </w:rPr>
      </w:pPr>
    </w:p>
    <w:p w14:paraId="42BB67F7" w14:textId="77777777" w:rsidR="00303EAC" w:rsidRPr="00F67F5D" w:rsidRDefault="00D11466">
      <w:pPr>
        <w:pStyle w:val="Nadpis2"/>
        <w:numPr>
          <w:ilvl w:val="0"/>
          <w:numId w:val="10"/>
        </w:numPr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Závěrečná ustanovení</w:t>
      </w:r>
    </w:p>
    <w:p w14:paraId="2A903551" w14:textId="77777777" w:rsidR="00303EAC" w:rsidRPr="00F67F5D" w:rsidRDefault="00303EAC">
      <w:pPr>
        <w:pStyle w:val="Nadpis2"/>
        <w:rPr>
          <w:rFonts w:asciiTheme="majorHAnsi" w:hAnsiTheme="majorHAnsi" w:cstheme="majorHAnsi"/>
        </w:rPr>
      </w:pPr>
    </w:p>
    <w:p w14:paraId="795A1BF2" w14:textId="77777777" w:rsidR="00FB75ED" w:rsidRPr="00F67F5D" w:rsidRDefault="00D11466" w:rsidP="003663AE">
      <w:pPr>
        <w:pStyle w:val="BodyBulletNumb"/>
        <w:numPr>
          <w:ilvl w:val="0"/>
          <w:numId w:val="1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Ta</w:t>
      </w:r>
      <w:r w:rsidR="00F84243" w:rsidRPr="00F67F5D">
        <w:rPr>
          <w:rFonts w:asciiTheme="majorHAnsi" w:hAnsiTheme="majorHAnsi" w:cstheme="majorHAnsi"/>
        </w:rPr>
        <w:t>to smlouva se uzavírá na dobu určitou, a to</w:t>
      </w:r>
      <w:r w:rsidRPr="00F67F5D">
        <w:rPr>
          <w:rFonts w:asciiTheme="majorHAnsi" w:hAnsiTheme="majorHAnsi" w:cstheme="majorHAnsi"/>
        </w:rPr>
        <w:t xml:space="preserve"> do okamžiku </w:t>
      </w:r>
      <w:r w:rsidR="00DB5FD0">
        <w:rPr>
          <w:rFonts w:asciiTheme="majorHAnsi" w:hAnsiTheme="majorHAnsi" w:cstheme="majorHAnsi"/>
        </w:rPr>
        <w:t xml:space="preserve">předání závěrečné zprávy Objednateli a </w:t>
      </w:r>
      <w:r w:rsidR="00F84243" w:rsidRPr="00F67F5D">
        <w:rPr>
          <w:rFonts w:asciiTheme="majorHAnsi" w:hAnsiTheme="majorHAnsi" w:cstheme="majorHAnsi"/>
        </w:rPr>
        <w:t>úhrady sjednané ceny Objednatelem.</w:t>
      </w:r>
    </w:p>
    <w:p w14:paraId="10EF039C" w14:textId="77777777" w:rsidR="00FB75ED" w:rsidRPr="00F67F5D" w:rsidRDefault="00F84243" w:rsidP="003663AE">
      <w:pPr>
        <w:pStyle w:val="BodyBulletNumb"/>
        <w:numPr>
          <w:ilvl w:val="0"/>
          <w:numId w:val="1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 </w:t>
      </w:r>
      <w:r w:rsidR="00D11466" w:rsidRPr="00F67F5D">
        <w:rPr>
          <w:rFonts w:asciiTheme="majorHAnsi" w:hAnsiTheme="majorHAnsi" w:cstheme="majorHAnsi"/>
        </w:rPr>
        <w:t xml:space="preserve">Obsah této smlouvy je považován za důvěrný, smluvní strany nejsou oprávněny seznamovat s ním osoby, které neprokáží právní nárok. </w:t>
      </w:r>
      <w:r w:rsidR="00F50A14" w:rsidRPr="00F67F5D">
        <w:rPr>
          <w:rFonts w:asciiTheme="majorHAnsi" w:hAnsiTheme="majorHAnsi" w:cstheme="majorHAnsi"/>
        </w:rPr>
        <w:t>Důvěrnost obsahu smlouvy zůstáv</w:t>
      </w:r>
      <w:r w:rsidR="00D11466" w:rsidRPr="00F67F5D">
        <w:rPr>
          <w:rFonts w:asciiTheme="majorHAnsi" w:hAnsiTheme="majorHAnsi" w:cstheme="majorHAnsi"/>
        </w:rPr>
        <w:t>á zachována i po ukončení její platnosti.</w:t>
      </w:r>
    </w:p>
    <w:p w14:paraId="3C6A3257" w14:textId="77777777" w:rsidR="00303EAC" w:rsidRPr="00F67F5D" w:rsidRDefault="00D11466" w:rsidP="003663AE">
      <w:pPr>
        <w:pStyle w:val="BodyBulletNumb"/>
        <w:numPr>
          <w:ilvl w:val="0"/>
          <w:numId w:val="1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Vztahy mezi smluvními stranami výslovně neupraven</w:t>
      </w:r>
      <w:r w:rsidRPr="00F67F5D">
        <w:rPr>
          <w:rFonts w:asciiTheme="majorHAnsi" w:hAnsiTheme="majorHAnsi" w:cstheme="majorHAnsi"/>
          <w:lang w:val="fr-FR"/>
        </w:rPr>
        <w:t xml:space="preserve">é </w:t>
      </w:r>
      <w:r w:rsidRPr="00F67F5D">
        <w:rPr>
          <w:rFonts w:asciiTheme="majorHAnsi" w:hAnsiTheme="majorHAnsi" w:cstheme="majorHAnsi"/>
        </w:rPr>
        <w:t>touto smlouvou se řídí obecně závazný</w:t>
      </w:r>
      <w:r w:rsidRPr="00F67F5D">
        <w:rPr>
          <w:rFonts w:asciiTheme="majorHAnsi" w:hAnsiTheme="majorHAnsi" w:cstheme="majorHAnsi"/>
          <w:lang w:val="it-IT"/>
        </w:rPr>
        <w:t>mi p</w:t>
      </w:r>
      <w:proofErr w:type="spellStart"/>
      <w:r w:rsidRPr="00F67F5D">
        <w:rPr>
          <w:rFonts w:asciiTheme="majorHAnsi" w:hAnsiTheme="majorHAnsi" w:cstheme="majorHAnsi"/>
        </w:rPr>
        <w:t>ředpisy</w:t>
      </w:r>
      <w:proofErr w:type="spellEnd"/>
      <w:r w:rsidRPr="00F67F5D">
        <w:rPr>
          <w:rFonts w:asciiTheme="majorHAnsi" w:hAnsiTheme="majorHAnsi" w:cstheme="majorHAnsi"/>
        </w:rPr>
        <w:t>.</w:t>
      </w:r>
    </w:p>
    <w:p w14:paraId="511A160F" w14:textId="77777777" w:rsidR="00303EAC" w:rsidRPr="00F67F5D" w:rsidRDefault="00D11466" w:rsidP="003663AE">
      <w:pPr>
        <w:pStyle w:val="BodyBulletNumb"/>
        <w:numPr>
          <w:ilvl w:val="0"/>
          <w:numId w:val="1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Tato smlouva je</w:t>
      </w:r>
      <w:r w:rsidR="00F84243" w:rsidRPr="00F67F5D">
        <w:rPr>
          <w:rFonts w:asciiTheme="majorHAnsi" w:hAnsiTheme="majorHAnsi" w:cstheme="majorHAnsi"/>
        </w:rPr>
        <w:t xml:space="preserve"> vypracována ve dvou vyhotovení</w:t>
      </w:r>
      <w:r w:rsidRPr="00F67F5D">
        <w:rPr>
          <w:rFonts w:asciiTheme="majorHAnsi" w:hAnsiTheme="majorHAnsi" w:cstheme="majorHAnsi"/>
        </w:rPr>
        <w:t xml:space="preserve">ch a je ji </w:t>
      </w:r>
      <w:proofErr w:type="spellStart"/>
      <w:r w:rsidRPr="00F67F5D">
        <w:rPr>
          <w:rFonts w:asciiTheme="majorHAnsi" w:hAnsiTheme="majorHAnsi" w:cstheme="majorHAnsi"/>
        </w:rPr>
        <w:t>mož</w:t>
      </w:r>
      <w:proofErr w:type="spellEnd"/>
      <w:r w:rsidRPr="00F67F5D">
        <w:rPr>
          <w:rFonts w:asciiTheme="majorHAnsi" w:hAnsiTheme="majorHAnsi" w:cstheme="majorHAnsi"/>
          <w:lang w:val="it-IT"/>
        </w:rPr>
        <w:t>no m</w:t>
      </w:r>
      <w:proofErr w:type="spellStart"/>
      <w:r w:rsidRPr="00F67F5D">
        <w:rPr>
          <w:rFonts w:asciiTheme="majorHAnsi" w:hAnsiTheme="majorHAnsi" w:cstheme="majorHAnsi"/>
        </w:rPr>
        <w:t>ěnit</w:t>
      </w:r>
      <w:proofErr w:type="spellEnd"/>
      <w:r w:rsidRPr="00F67F5D">
        <w:rPr>
          <w:rFonts w:asciiTheme="majorHAnsi" w:hAnsiTheme="majorHAnsi" w:cstheme="majorHAnsi"/>
        </w:rPr>
        <w:t xml:space="preserve"> pouze očíslovanými dodatky, podepsanými oprávněnou osobou.</w:t>
      </w:r>
    </w:p>
    <w:p w14:paraId="70CD3136" w14:textId="77777777" w:rsidR="00303EAC" w:rsidRPr="00F67F5D" w:rsidRDefault="00D11466" w:rsidP="003663AE">
      <w:pPr>
        <w:pStyle w:val="BodyBulletNumb"/>
        <w:numPr>
          <w:ilvl w:val="0"/>
          <w:numId w:val="16"/>
        </w:numPr>
        <w:ind w:left="568" w:hanging="284"/>
        <w:jc w:val="both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 xml:space="preserve">Smluvní strany prohlašují, že si tuto smlouvu před jejím podpisem </w:t>
      </w:r>
      <w:proofErr w:type="spellStart"/>
      <w:r w:rsidRPr="00F67F5D">
        <w:rPr>
          <w:rFonts w:asciiTheme="majorHAnsi" w:hAnsiTheme="majorHAnsi" w:cstheme="majorHAnsi"/>
        </w:rPr>
        <w:t>přeč</w:t>
      </w:r>
      <w:r w:rsidRPr="00F67F5D">
        <w:rPr>
          <w:rFonts w:asciiTheme="majorHAnsi" w:hAnsiTheme="majorHAnsi" w:cstheme="majorHAnsi"/>
          <w:lang w:val="en-US"/>
        </w:rPr>
        <w:t>etly</w:t>
      </w:r>
      <w:proofErr w:type="spellEnd"/>
      <w:r w:rsidRPr="00F67F5D">
        <w:rPr>
          <w:rFonts w:asciiTheme="majorHAnsi" w:hAnsiTheme="majorHAnsi" w:cstheme="majorHAnsi"/>
          <w:lang w:val="en-US"/>
        </w:rPr>
        <w:t xml:space="preserve">, </w:t>
      </w:r>
      <w:r w:rsidRPr="00F67F5D">
        <w:rPr>
          <w:rFonts w:asciiTheme="majorHAnsi" w:hAnsiTheme="majorHAnsi" w:cstheme="majorHAnsi"/>
        </w:rPr>
        <w:t xml:space="preserve">že byla uzavřena po </w:t>
      </w:r>
      <w:proofErr w:type="spellStart"/>
      <w:r w:rsidRPr="00F67F5D">
        <w:rPr>
          <w:rFonts w:asciiTheme="majorHAnsi" w:hAnsiTheme="majorHAnsi" w:cstheme="majorHAnsi"/>
        </w:rPr>
        <w:t>vzájemn</w:t>
      </w:r>
      <w:proofErr w:type="spellEnd"/>
      <w:r w:rsidRPr="00F67F5D">
        <w:rPr>
          <w:rFonts w:asciiTheme="majorHAnsi" w:hAnsiTheme="majorHAnsi" w:cstheme="majorHAnsi"/>
          <w:lang w:val="fr-FR"/>
        </w:rPr>
        <w:t>é</w:t>
      </w:r>
      <w:r w:rsidRPr="00F67F5D">
        <w:rPr>
          <w:rFonts w:asciiTheme="majorHAnsi" w:hAnsiTheme="majorHAnsi" w:cstheme="majorHAnsi"/>
        </w:rPr>
        <w:t xml:space="preserve">m projednání a z jejich </w:t>
      </w:r>
      <w:proofErr w:type="spellStart"/>
      <w:r w:rsidRPr="00F67F5D">
        <w:rPr>
          <w:rFonts w:asciiTheme="majorHAnsi" w:hAnsiTheme="majorHAnsi" w:cstheme="majorHAnsi"/>
        </w:rPr>
        <w:t>výslovn</w:t>
      </w:r>
      <w:proofErr w:type="spellEnd"/>
      <w:r w:rsidRPr="00F67F5D">
        <w:rPr>
          <w:rFonts w:asciiTheme="majorHAnsi" w:hAnsiTheme="majorHAnsi" w:cstheme="majorHAnsi"/>
          <w:lang w:val="fr-FR"/>
        </w:rPr>
        <w:t>é</w:t>
      </w:r>
      <w:r w:rsidRPr="00F67F5D">
        <w:rPr>
          <w:rFonts w:asciiTheme="majorHAnsi" w:hAnsiTheme="majorHAnsi" w:cstheme="majorHAnsi"/>
        </w:rPr>
        <w:t xml:space="preserve">, </w:t>
      </w:r>
      <w:proofErr w:type="spellStart"/>
      <w:r w:rsidRPr="00F67F5D">
        <w:rPr>
          <w:rFonts w:asciiTheme="majorHAnsi" w:hAnsiTheme="majorHAnsi" w:cstheme="majorHAnsi"/>
        </w:rPr>
        <w:t>vážn</w:t>
      </w:r>
      <w:proofErr w:type="spellEnd"/>
      <w:r w:rsidRPr="00F67F5D">
        <w:rPr>
          <w:rFonts w:asciiTheme="majorHAnsi" w:hAnsiTheme="majorHAnsi" w:cstheme="majorHAnsi"/>
          <w:lang w:val="fr-FR"/>
        </w:rPr>
        <w:t xml:space="preserve">é </w:t>
      </w:r>
      <w:r w:rsidRPr="00F67F5D">
        <w:rPr>
          <w:rFonts w:asciiTheme="majorHAnsi" w:hAnsiTheme="majorHAnsi" w:cstheme="majorHAnsi"/>
        </w:rPr>
        <w:t xml:space="preserve">a </w:t>
      </w:r>
      <w:proofErr w:type="spellStart"/>
      <w:r w:rsidR="00F84243" w:rsidRPr="00F67F5D">
        <w:rPr>
          <w:rFonts w:asciiTheme="majorHAnsi" w:hAnsiTheme="majorHAnsi" w:cstheme="majorHAnsi"/>
        </w:rPr>
        <w:t>s</w:t>
      </w:r>
      <w:r w:rsidRPr="00F67F5D">
        <w:rPr>
          <w:rFonts w:asciiTheme="majorHAnsi" w:hAnsiTheme="majorHAnsi" w:cstheme="majorHAnsi"/>
        </w:rPr>
        <w:t>vobodn</w:t>
      </w:r>
      <w:proofErr w:type="spellEnd"/>
      <w:r w:rsidRPr="00F67F5D">
        <w:rPr>
          <w:rFonts w:asciiTheme="majorHAnsi" w:hAnsiTheme="majorHAnsi" w:cstheme="majorHAnsi"/>
          <w:lang w:val="fr-FR"/>
        </w:rPr>
        <w:t xml:space="preserve">é </w:t>
      </w:r>
      <w:r w:rsidRPr="00F67F5D">
        <w:rPr>
          <w:rFonts w:asciiTheme="majorHAnsi" w:hAnsiTheme="majorHAnsi" w:cstheme="majorHAnsi"/>
        </w:rPr>
        <w:t>vůle, nikoliv v tísni či za nevýhodných podmínek. Autentičnost t</w:t>
      </w:r>
      <w:r w:rsidRPr="00F67F5D">
        <w:rPr>
          <w:rFonts w:asciiTheme="majorHAnsi" w:hAnsiTheme="majorHAnsi" w:cstheme="majorHAnsi"/>
          <w:lang w:val="fr-FR"/>
        </w:rPr>
        <w:t>é</w:t>
      </w:r>
      <w:r w:rsidRPr="00F67F5D">
        <w:rPr>
          <w:rFonts w:asciiTheme="majorHAnsi" w:hAnsiTheme="majorHAnsi" w:cstheme="majorHAnsi"/>
        </w:rPr>
        <w:t>to smlouvy potvrzují smluvní strany svými podpisy.</w:t>
      </w:r>
    </w:p>
    <w:p w14:paraId="0AE5D6D0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2E6E9625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6382E633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2FC62DC9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60D74A24" w14:textId="77777777" w:rsidR="00303EAC" w:rsidRPr="00F67F5D" w:rsidRDefault="00D11466">
      <w:pPr>
        <w:pStyle w:val="BodyBulletNumb"/>
        <w:rPr>
          <w:rFonts w:asciiTheme="majorHAnsi" w:hAnsiTheme="majorHAnsi" w:cstheme="majorHAnsi"/>
        </w:rPr>
      </w:pPr>
      <w:r w:rsidRPr="00F67F5D">
        <w:rPr>
          <w:rFonts w:asciiTheme="majorHAnsi" w:hAnsiTheme="majorHAnsi" w:cstheme="majorHAnsi"/>
        </w:rPr>
        <w:t>V Liberci dne ................................</w:t>
      </w:r>
    </w:p>
    <w:p w14:paraId="3E4423EA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5722A3DE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66F57003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p w14:paraId="70D7004C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tbl>
      <w:tblPr>
        <w:tblStyle w:val="TableNormal"/>
        <w:tblW w:w="947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25"/>
      </w:tblGrid>
      <w:tr w:rsidR="00303EAC" w:rsidRPr="00F67F5D" w14:paraId="3491153F" w14:textId="77777777">
        <w:trPr>
          <w:trHeight w:val="28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6251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Theme="majorHAnsi" w:hAnsiTheme="majorHAnsi" w:cstheme="majorHAnsi"/>
              </w:rPr>
            </w:pPr>
            <w:r w:rsidRPr="00F67F5D">
              <w:rPr>
                <w:rFonts w:asciiTheme="majorHAnsi" w:hAnsiTheme="majorHAnsi" w:cstheme="majorHAnsi"/>
              </w:rPr>
              <w:t>.......................................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76E5" w14:textId="77777777" w:rsidR="00303EAC" w:rsidRPr="00F67F5D" w:rsidRDefault="00D11466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Theme="majorHAnsi" w:hAnsiTheme="majorHAnsi" w:cstheme="majorHAnsi"/>
              </w:rPr>
            </w:pPr>
            <w:r w:rsidRPr="00F67F5D">
              <w:rPr>
                <w:rFonts w:asciiTheme="majorHAnsi" w:hAnsiTheme="majorHAnsi" w:cstheme="majorHAnsi"/>
              </w:rPr>
              <w:t>......................................</w:t>
            </w:r>
          </w:p>
        </w:tc>
      </w:tr>
      <w:tr w:rsidR="00303EAC" w:rsidRPr="00F67F5D" w14:paraId="55B0B63D" w14:textId="77777777">
        <w:trPr>
          <w:trHeight w:val="280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EB80" w14:textId="77777777" w:rsidR="00303EAC" w:rsidRPr="0052203B" w:rsidRDefault="00F8424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2203B">
              <w:rPr>
                <w:rFonts w:asciiTheme="majorHAnsi" w:hAnsiTheme="majorHAnsi" w:cstheme="majorHAnsi"/>
                <w:sz w:val="20"/>
                <w:szCs w:val="20"/>
              </w:rPr>
              <w:t>Vykonavatel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70A1" w14:textId="77777777" w:rsidR="00303EAC" w:rsidRPr="0052203B" w:rsidRDefault="00F8424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2203B">
              <w:rPr>
                <w:rFonts w:asciiTheme="majorHAnsi" w:hAnsiTheme="majorHAnsi" w:cstheme="majorHAnsi"/>
                <w:sz w:val="20"/>
                <w:szCs w:val="20"/>
              </w:rPr>
              <w:t>Objednatel</w:t>
            </w:r>
          </w:p>
        </w:tc>
      </w:tr>
    </w:tbl>
    <w:p w14:paraId="774C359F" w14:textId="77777777" w:rsidR="00303EAC" w:rsidRPr="00F67F5D" w:rsidRDefault="00303EAC">
      <w:pPr>
        <w:pStyle w:val="BodyBulletNumb"/>
        <w:rPr>
          <w:rFonts w:asciiTheme="majorHAnsi" w:hAnsiTheme="majorHAnsi" w:cstheme="majorHAnsi"/>
        </w:rPr>
      </w:pPr>
    </w:p>
    <w:sectPr w:rsidR="00303EAC" w:rsidRPr="00F67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2FFC6" w14:textId="77777777" w:rsidR="00360489" w:rsidRDefault="00360489">
      <w:r>
        <w:separator/>
      </w:r>
    </w:p>
  </w:endnote>
  <w:endnote w:type="continuationSeparator" w:id="0">
    <w:p w14:paraId="614909A8" w14:textId="77777777" w:rsidR="00360489" w:rsidRDefault="003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charset w:val="00"/>
    <w:family w:val="auto"/>
    <w:pitch w:val="variable"/>
    <w:sig w:usb0="00000001" w:usb1="5000205B" w:usb2="00000002" w:usb3="00000000" w:csb0="00000007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24F3" w14:textId="77777777" w:rsidR="00352523" w:rsidRDefault="003525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11E92" w14:textId="77777777" w:rsidR="00303EAC" w:rsidRDefault="00303EAC">
    <w:pPr>
      <w:pStyle w:val="HeaderFooter"/>
    </w:pPr>
  </w:p>
  <w:p w14:paraId="770EA333" w14:textId="77777777" w:rsidR="00303EAC" w:rsidRDefault="00D11466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</w:pPr>
    <w:r>
      <w:rPr>
        <w:rFonts w:ascii="Helvetica Neue" w:hAnsi="Helvetica Neue"/>
      </w:rPr>
      <w:t xml:space="preserve">Strana 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 xml:space="preserve"> PAGE </w:instrText>
    </w:r>
    <w:r>
      <w:rPr>
        <w:rFonts w:ascii="Helvetica Neue" w:eastAsia="Helvetica Neue" w:hAnsi="Helvetica Neue" w:cs="Helvetica Neue"/>
      </w:rPr>
      <w:fldChar w:fldCharType="separate"/>
    </w:r>
    <w:r w:rsidR="00F50A14">
      <w:rPr>
        <w:rFonts w:ascii="Helvetica Neue" w:eastAsia="Helvetica Neue" w:hAnsi="Helvetica Neue" w:cs="Helvetica Neue"/>
        <w:noProof/>
      </w:rPr>
      <w:t>1</w:t>
    </w:r>
    <w:r>
      <w:rPr>
        <w:rFonts w:ascii="Helvetica Neue" w:eastAsia="Helvetica Neue" w:hAnsi="Helvetica Neue" w:cs="Helvetica Neue"/>
      </w:rPr>
      <w:fldChar w:fldCharType="end"/>
    </w:r>
    <w:r>
      <w:rPr>
        <w:rFonts w:ascii="Helvetica Neue" w:hAnsi="Helvetica Neue"/>
      </w:rPr>
      <w:t>/</w:t>
    </w:r>
    <w:r>
      <w:rPr>
        <w:rFonts w:ascii="Helvetica Neue" w:eastAsia="Helvetica Neue" w:hAnsi="Helvetica Neue" w:cs="Helvetica Neue"/>
      </w:rPr>
      <w:fldChar w:fldCharType="begin"/>
    </w:r>
    <w:r>
      <w:rPr>
        <w:rFonts w:ascii="Helvetica Neue" w:eastAsia="Helvetica Neue" w:hAnsi="Helvetica Neue" w:cs="Helvetica Neue"/>
      </w:rPr>
      <w:instrText xml:space="preserve"> NUMPAGES </w:instrText>
    </w:r>
    <w:r>
      <w:rPr>
        <w:rFonts w:ascii="Helvetica Neue" w:eastAsia="Helvetica Neue" w:hAnsi="Helvetica Neue" w:cs="Helvetica Neue"/>
      </w:rPr>
      <w:fldChar w:fldCharType="separate"/>
    </w:r>
    <w:r w:rsidR="00F50A14">
      <w:rPr>
        <w:rFonts w:ascii="Helvetica Neue" w:eastAsia="Helvetica Neue" w:hAnsi="Helvetica Neue" w:cs="Helvetica Neue"/>
        <w:noProof/>
      </w:rPr>
      <w:t>4</w:t>
    </w:r>
    <w:r>
      <w:rPr>
        <w:rFonts w:ascii="Helvetica Neue" w:eastAsia="Helvetica Neue" w:hAnsi="Helvetica Neue" w:cs="Helvetica Neu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1C0E" w14:textId="77777777" w:rsidR="00352523" w:rsidRDefault="00352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6F8CD" w14:textId="77777777" w:rsidR="00360489" w:rsidRDefault="00360489">
      <w:r>
        <w:separator/>
      </w:r>
    </w:p>
  </w:footnote>
  <w:footnote w:type="continuationSeparator" w:id="0">
    <w:p w14:paraId="25923059" w14:textId="77777777" w:rsidR="00360489" w:rsidRDefault="0036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F499C" w14:textId="77777777" w:rsidR="00352523" w:rsidRDefault="003525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9529" w14:textId="2516759A" w:rsidR="00303EAC" w:rsidRDefault="00352523">
    <w:pPr>
      <w:pStyle w:val="HeaderFooter"/>
    </w:pPr>
    <w:r>
      <w:rPr>
        <w:noProof/>
      </w:rPr>
      <w:drawing>
        <wp:inline distT="0" distB="0" distL="0" distR="0" wp14:anchorId="69AA65A4" wp14:editId="1C173169">
          <wp:extent cx="2809107" cy="657225"/>
          <wp:effectExtent l="0" t="0" r="0" b="0"/>
          <wp:docPr id="4" name="Obrázek 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520" cy="65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3FF38" w14:textId="77777777" w:rsidR="00303EAC" w:rsidRDefault="00303EAC">
    <w:pPr>
      <w:pStyle w:val="HeaderFooter"/>
    </w:pPr>
  </w:p>
  <w:p w14:paraId="7199BD09" w14:textId="77777777" w:rsidR="00303EAC" w:rsidRDefault="00303E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E37F5" w14:textId="77777777" w:rsidR="00352523" w:rsidRDefault="003525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026D6"/>
    <w:multiLevelType w:val="hybridMultilevel"/>
    <w:tmpl w:val="41A24A92"/>
    <w:lvl w:ilvl="0" w:tplc="634E313C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4E4C0">
      <w:start w:val="1"/>
      <w:numFmt w:val="lowerLetter"/>
      <w:lvlText w:val="%2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29764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CEB96E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60D26">
      <w:start w:val="1"/>
      <w:numFmt w:val="lowerLetter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8EB8A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0B3E8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C040EA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B2F442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0F6300"/>
    <w:multiLevelType w:val="singleLevel"/>
    <w:tmpl w:val="0000000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73A7248"/>
    <w:multiLevelType w:val="hybridMultilevel"/>
    <w:tmpl w:val="0B366572"/>
    <w:numStyleLink w:val="Harvard"/>
  </w:abstractNum>
  <w:abstractNum w:abstractNumId="3" w15:restartNumberingAfterBreak="0">
    <w:nsid w:val="4FFD523F"/>
    <w:multiLevelType w:val="hybridMultilevel"/>
    <w:tmpl w:val="41A24A92"/>
    <w:lvl w:ilvl="0" w:tplc="634E313C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4E4C0">
      <w:start w:val="1"/>
      <w:numFmt w:val="lowerLetter"/>
      <w:lvlText w:val="%2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29764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CEB96E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60D26">
      <w:start w:val="1"/>
      <w:numFmt w:val="lowerLetter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78EB8A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C0B3E8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C040EA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B2F442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7A6F1E"/>
    <w:multiLevelType w:val="hybridMultilevel"/>
    <w:tmpl w:val="41A24A92"/>
    <w:numStyleLink w:val="Seznam1"/>
  </w:abstractNum>
  <w:abstractNum w:abstractNumId="5" w15:restartNumberingAfterBreak="0">
    <w:nsid w:val="650A7B83"/>
    <w:multiLevelType w:val="hybridMultilevel"/>
    <w:tmpl w:val="41A24A92"/>
    <w:styleLink w:val="Seznam1"/>
    <w:lvl w:ilvl="0" w:tplc="2C948CE2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8E724">
      <w:start w:val="1"/>
      <w:numFmt w:val="lowerLetter"/>
      <w:lvlText w:val="%2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CCF16">
      <w:start w:val="1"/>
      <w:numFmt w:val="lowerRoman"/>
      <w:lvlText w:val="%3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89AE8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89D1A">
      <w:start w:val="1"/>
      <w:numFmt w:val="lowerLetter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E9BEE">
      <w:start w:val="1"/>
      <w:numFmt w:val="lowerRoman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BAF874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F29A02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CEE11C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D40243"/>
    <w:multiLevelType w:val="hybridMultilevel"/>
    <w:tmpl w:val="0B366572"/>
    <w:styleLink w:val="Harvard"/>
    <w:lvl w:ilvl="0" w:tplc="544EBD1A">
      <w:start w:val="1"/>
      <w:numFmt w:val="upperRoman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C6EAA">
      <w:start w:val="1"/>
      <w:numFmt w:val="upp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0A5A2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D2B7F0">
      <w:start w:val="1"/>
      <w:numFmt w:val="lowerLetter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EAA96">
      <w:start w:val="1"/>
      <w:numFmt w:val="decimal"/>
      <w:suff w:val="nothing"/>
      <w:lvlText w:val="(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14B22C">
      <w:start w:val="1"/>
      <w:numFmt w:val="lowerLetter"/>
      <w:suff w:val="nothing"/>
      <w:lvlText w:val="(%6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48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BA1522">
      <w:start w:val="1"/>
      <w:numFmt w:val="lowerRoman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16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40A8A">
      <w:start w:val="1"/>
      <w:numFmt w:val="decimal"/>
      <w:suff w:val="nothing"/>
      <w:lvlText w:val="(%8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76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967968">
      <w:start w:val="1"/>
      <w:numFmt w:val="lowerLetter"/>
      <w:suff w:val="nothing"/>
      <w:lvlText w:val="(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44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8D43A35"/>
    <w:multiLevelType w:val="hybridMultilevel"/>
    <w:tmpl w:val="6E063E52"/>
    <w:lvl w:ilvl="0" w:tplc="71EC0294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E3EB5"/>
    <w:multiLevelType w:val="hybridMultilevel"/>
    <w:tmpl w:val="BB6CB796"/>
    <w:lvl w:ilvl="0" w:tplc="71EC0294">
      <w:start w:val="1"/>
      <w:numFmt w:val="decimal"/>
      <w:lvlText w:val="%1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353138">
    <w:abstractNumId w:val="5"/>
  </w:num>
  <w:num w:numId="2" w16cid:durableId="97455128">
    <w:abstractNumId w:val="4"/>
  </w:num>
  <w:num w:numId="3" w16cid:durableId="861163436">
    <w:abstractNumId w:val="6"/>
  </w:num>
  <w:num w:numId="4" w16cid:durableId="674186563">
    <w:abstractNumId w:val="2"/>
  </w:num>
  <w:num w:numId="5" w16cid:durableId="1168716249">
    <w:abstractNumId w:val="2"/>
    <w:lvlOverride w:ilvl="0">
      <w:startOverride w:val="2"/>
    </w:lvlOverride>
  </w:num>
  <w:num w:numId="6" w16cid:durableId="1561863509">
    <w:abstractNumId w:val="4"/>
  </w:num>
  <w:num w:numId="7" w16cid:durableId="1596012456">
    <w:abstractNumId w:val="4"/>
    <w:lvlOverride w:ilvl="0">
      <w:startOverride w:val="1"/>
    </w:lvlOverride>
  </w:num>
  <w:num w:numId="8" w16cid:durableId="735124316">
    <w:abstractNumId w:val="2"/>
    <w:lvlOverride w:ilvl="0">
      <w:startOverride w:val="4"/>
      <w:lvl w:ilvl="0" w:tplc="9F10B794">
        <w:start w:val="4"/>
        <w:numFmt w:val="upperRoman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9057A8">
        <w:start w:val="1"/>
        <w:numFmt w:val="upp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0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1216CA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6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42378E">
        <w:start w:val="1"/>
        <w:numFmt w:val="lowerLetter"/>
        <w:lvlText w:val="%4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2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06C0F4">
        <w:start w:val="1"/>
        <w:numFmt w:val="decimal"/>
        <w:lvlText w:val="(%5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78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485F0A">
        <w:start w:val="1"/>
        <w:numFmt w:val="lowerLetter"/>
        <w:lvlText w:val="(%6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48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30CD0B8">
        <w:start w:val="1"/>
        <w:numFmt w:val="lowerRoman"/>
        <w:lvlText w:val="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716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1CE52BE">
        <w:start w:val="1"/>
        <w:numFmt w:val="decimal"/>
        <w:lvlText w:val="(%8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76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E6EA7E">
        <w:start w:val="1"/>
        <w:numFmt w:val="lowerLetter"/>
        <w:lvlText w:val="(%9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44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69682951">
    <w:abstractNumId w:val="4"/>
    <w:lvlOverride w:ilvl="0">
      <w:startOverride w:val="1"/>
    </w:lvlOverride>
  </w:num>
  <w:num w:numId="10" w16cid:durableId="1730808863">
    <w:abstractNumId w:val="2"/>
    <w:lvlOverride w:ilvl="0">
      <w:startOverride w:val="5"/>
      <w:lvl w:ilvl="0" w:tplc="9F10B794">
        <w:start w:val="5"/>
        <w:numFmt w:val="upperRoman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9057A8">
        <w:start w:val="1"/>
        <w:numFmt w:val="upperLetter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4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F1216CA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0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42378E">
        <w:start w:val="1"/>
        <w:numFmt w:val="lowerLetter"/>
        <w:lvlText w:val="%4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6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06C0F4">
        <w:start w:val="1"/>
        <w:numFmt w:val="decimal"/>
        <w:suff w:val="nothing"/>
        <w:lvlText w:val="(%5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720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7485F0A">
        <w:start w:val="1"/>
        <w:numFmt w:val="lowerLetter"/>
        <w:suff w:val="nothing"/>
        <w:lvlText w:val="(%6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88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30CD0B8">
        <w:start w:val="1"/>
        <w:numFmt w:val="lowerRoman"/>
        <w:lvlText w:val="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56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1CE52BE">
        <w:start w:val="1"/>
        <w:numFmt w:val="decimal"/>
        <w:suff w:val="nothing"/>
        <w:lvlText w:val="(%8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16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E6EA7E">
        <w:start w:val="1"/>
        <w:numFmt w:val="lowerLetter"/>
        <w:suff w:val="nothing"/>
        <w:lvlText w:val="(%9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84" w:hanging="2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135366740">
    <w:abstractNumId w:val="4"/>
    <w:lvlOverride w:ilvl="0">
      <w:startOverride w:val="1"/>
    </w:lvlOverride>
  </w:num>
  <w:num w:numId="12" w16cid:durableId="244145530">
    <w:abstractNumId w:val="1"/>
  </w:num>
  <w:num w:numId="13" w16cid:durableId="1602452322">
    <w:abstractNumId w:val="8"/>
  </w:num>
  <w:num w:numId="14" w16cid:durableId="1715350759">
    <w:abstractNumId w:val="7"/>
  </w:num>
  <w:num w:numId="15" w16cid:durableId="447892346">
    <w:abstractNumId w:val="0"/>
  </w:num>
  <w:num w:numId="16" w16cid:durableId="1044059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CB"/>
    <w:rsid w:val="0001091C"/>
    <w:rsid w:val="00035FD1"/>
    <w:rsid w:val="000635A0"/>
    <w:rsid w:val="00081FB6"/>
    <w:rsid w:val="00095724"/>
    <w:rsid w:val="000D15E5"/>
    <w:rsid w:val="000F6816"/>
    <w:rsid w:val="000F6A5A"/>
    <w:rsid w:val="001057A3"/>
    <w:rsid w:val="001B3C8B"/>
    <w:rsid w:val="001C17E9"/>
    <w:rsid w:val="001D5427"/>
    <w:rsid w:val="001F1E35"/>
    <w:rsid w:val="002269E7"/>
    <w:rsid w:val="00230716"/>
    <w:rsid w:val="00250BD1"/>
    <w:rsid w:val="0028555F"/>
    <w:rsid w:val="00287FEC"/>
    <w:rsid w:val="00293106"/>
    <w:rsid w:val="00303EAC"/>
    <w:rsid w:val="003354FD"/>
    <w:rsid w:val="00350CD7"/>
    <w:rsid w:val="00352523"/>
    <w:rsid w:val="00360489"/>
    <w:rsid w:val="003663AE"/>
    <w:rsid w:val="00383647"/>
    <w:rsid w:val="003D3FE7"/>
    <w:rsid w:val="003D6D30"/>
    <w:rsid w:val="0041719D"/>
    <w:rsid w:val="0052203B"/>
    <w:rsid w:val="00533DE3"/>
    <w:rsid w:val="00534950"/>
    <w:rsid w:val="005367AB"/>
    <w:rsid w:val="00546DC9"/>
    <w:rsid w:val="005610A2"/>
    <w:rsid w:val="00562CF5"/>
    <w:rsid w:val="005C0A46"/>
    <w:rsid w:val="00653817"/>
    <w:rsid w:val="00662DCB"/>
    <w:rsid w:val="00687509"/>
    <w:rsid w:val="006D55D9"/>
    <w:rsid w:val="00793E6A"/>
    <w:rsid w:val="007D1A4D"/>
    <w:rsid w:val="008428F4"/>
    <w:rsid w:val="00883176"/>
    <w:rsid w:val="00886BCB"/>
    <w:rsid w:val="008A5CB2"/>
    <w:rsid w:val="008F420D"/>
    <w:rsid w:val="0091264D"/>
    <w:rsid w:val="00926A87"/>
    <w:rsid w:val="0094215B"/>
    <w:rsid w:val="00977513"/>
    <w:rsid w:val="00985131"/>
    <w:rsid w:val="009C1A7E"/>
    <w:rsid w:val="00A63F11"/>
    <w:rsid w:val="00A96756"/>
    <w:rsid w:val="00B42C8C"/>
    <w:rsid w:val="00B569FE"/>
    <w:rsid w:val="00B63DF3"/>
    <w:rsid w:val="00B73842"/>
    <w:rsid w:val="00B96AFF"/>
    <w:rsid w:val="00BA1B64"/>
    <w:rsid w:val="00BA720B"/>
    <w:rsid w:val="00C01AB4"/>
    <w:rsid w:val="00C3249B"/>
    <w:rsid w:val="00C7669D"/>
    <w:rsid w:val="00CA349F"/>
    <w:rsid w:val="00CC5DA8"/>
    <w:rsid w:val="00CF20AB"/>
    <w:rsid w:val="00D11466"/>
    <w:rsid w:val="00D12373"/>
    <w:rsid w:val="00D40EAB"/>
    <w:rsid w:val="00D965E6"/>
    <w:rsid w:val="00DB5FD0"/>
    <w:rsid w:val="00DC7026"/>
    <w:rsid w:val="00DE26B5"/>
    <w:rsid w:val="00DF2033"/>
    <w:rsid w:val="00DF6E34"/>
    <w:rsid w:val="00E1243D"/>
    <w:rsid w:val="00E15209"/>
    <w:rsid w:val="00E92F44"/>
    <w:rsid w:val="00EA5A1E"/>
    <w:rsid w:val="00EB525F"/>
    <w:rsid w:val="00EC2AA9"/>
    <w:rsid w:val="00F4015D"/>
    <w:rsid w:val="00F50A14"/>
    <w:rsid w:val="00F51DC2"/>
    <w:rsid w:val="00F52078"/>
    <w:rsid w:val="00F67F5D"/>
    <w:rsid w:val="00F84243"/>
    <w:rsid w:val="00F85890"/>
    <w:rsid w:val="00FB0A72"/>
    <w:rsid w:val="00FB2CA0"/>
    <w:rsid w:val="00FB4BFF"/>
    <w:rsid w:val="00FB75ED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AA5F"/>
  <w15:docId w15:val="{A2E3D8CF-F719-1341-9160-4371D2E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next w:val="Body"/>
    <w:pPr>
      <w:keepNext/>
      <w:outlineLvl w:val="1"/>
    </w:pPr>
    <w:rPr>
      <w:rFonts w:ascii="Helvetica" w:eastAsia="Helvetica" w:hAnsi="Helvetica" w:cs="Helvetica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left" w:pos="9632"/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Title2">
    <w:name w:val="Title 2"/>
    <w:next w:val="Body2"/>
    <w:pPr>
      <w:spacing w:after="240"/>
      <w:outlineLvl w:val="0"/>
    </w:pPr>
    <w:rPr>
      <w:rFonts w:ascii="Helvetica Neue" w:hAnsi="Helvetica Neue" w:cs="Arial Unicode MS"/>
      <w:b/>
      <w:bCs/>
      <w:color w:val="676767"/>
      <w:sz w:val="52"/>
      <w:szCs w:val="52"/>
    </w:rPr>
  </w:style>
  <w:style w:type="paragraph" w:customStyle="1" w:styleId="Body2">
    <w:name w:val="Body 2"/>
    <w:pPr>
      <w:spacing w:after="300" w:line="336" w:lineRule="auto"/>
    </w:pPr>
    <w:rPr>
      <w:rFonts w:ascii="Helvetica Neue Light" w:hAnsi="Helvetica Neue Light" w:cs="Arial Unicode MS"/>
      <w:color w:val="000000"/>
    </w:rPr>
  </w:style>
  <w:style w:type="character" w:customStyle="1" w:styleId="None">
    <w:name w:val="None"/>
  </w:style>
  <w:style w:type="paragraph" w:customStyle="1" w:styleId="TitulSmlouvyG2">
    <w:name w:val="Titul Smlouvy G 2"/>
    <w:next w:val="Body2"/>
    <w:pPr>
      <w:spacing w:after="240"/>
      <w:outlineLvl w:val="0"/>
    </w:pPr>
    <w:rPr>
      <w:rFonts w:ascii="Helvetica Neue" w:hAnsi="Helvetica Neue" w:cs="Arial Unicode MS"/>
      <w:b/>
      <w:bCs/>
      <w:color w:val="676767"/>
      <w:sz w:val="28"/>
      <w:szCs w:val="28"/>
    </w:rPr>
  </w:style>
  <w:style w:type="paragraph" w:customStyle="1" w:styleId="Heading11">
    <w:name w:val="Heading 11"/>
    <w:next w:val="Body2"/>
    <w:pPr>
      <w:keepNext/>
      <w:spacing w:before="120"/>
      <w:outlineLvl w:val="1"/>
    </w:pPr>
    <w:rPr>
      <w:rFonts w:ascii="Helvetica Neue" w:hAnsi="Helvetica Neue" w:cs="Arial Unicode MS"/>
      <w:b/>
      <w:bCs/>
      <w:color w:val="676767"/>
      <w:sz w:val="22"/>
      <w:szCs w:val="22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abulka">
    <w:name w:val="Tabulka"/>
    <w:rPr>
      <w:rFonts w:ascii="American Typewriter" w:hAnsi="American Typewriter" w:cs="Arial Unicode MS"/>
      <w:color w:val="000000"/>
      <w:sz w:val="22"/>
      <w:szCs w:val="22"/>
    </w:rPr>
  </w:style>
  <w:style w:type="character" w:customStyle="1" w:styleId="AmericanTypewriter">
    <w:name w:val="American Typewriter"/>
    <w:rPr>
      <w:rFonts w:ascii="American Typewriter" w:eastAsia="Arial Unicode MS" w:hAnsi="American Typewriter" w:cs="Arial Unicode MS"/>
      <w:b w:val="0"/>
      <w:bCs w:val="0"/>
      <w:i w:val="0"/>
      <w:iCs w:val="0"/>
    </w:rPr>
  </w:style>
  <w:style w:type="paragraph" w:customStyle="1" w:styleId="BodyBulletNumb">
    <w:name w:val="Body Bullet Numb"/>
    <w:pPr>
      <w:spacing w:line="336" w:lineRule="auto"/>
    </w:pPr>
    <w:rPr>
      <w:rFonts w:ascii="Helvetica Neue Light" w:hAnsi="Helvetica Neue Light" w:cs="Arial Unicode MS"/>
      <w:color w:val="000000"/>
    </w:rPr>
  </w:style>
  <w:style w:type="numbering" w:customStyle="1" w:styleId="Seznam1">
    <w:name w:val="Seznam1"/>
    <w:pPr>
      <w:numPr>
        <w:numId w:val="1"/>
      </w:numPr>
    </w:pPr>
  </w:style>
  <w:style w:type="character" w:customStyle="1" w:styleId="Odkaz">
    <w:name w:val="Odkaz"/>
    <w:rPr>
      <w:color w:val="000099"/>
      <w:u w:val="single"/>
    </w:rPr>
  </w:style>
  <w:style w:type="character" w:customStyle="1" w:styleId="Hyperlink0">
    <w:name w:val="Hyperlink.0"/>
    <w:basedOn w:val="Odkaz"/>
    <w:rPr>
      <w:color w:val="5F5F5F"/>
      <w:u w:val="none"/>
    </w:rPr>
  </w:style>
  <w:style w:type="numbering" w:customStyle="1" w:styleId="Harvard">
    <w:name w:val="Harvard"/>
    <w:pPr>
      <w:numPr>
        <w:numId w:val="3"/>
      </w:numPr>
    </w:pPr>
  </w:style>
  <w:style w:type="paragraph" w:customStyle="1" w:styleId="BodyBullet2">
    <w:name w:val="Body Bullet 2"/>
    <w:pPr>
      <w:spacing w:line="336" w:lineRule="auto"/>
    </w:pPr>
    <w:rPr>
      <w:rFonts w:ascii="Helvetica Neue Light" w:hAnsi="Helvetica Neue Light" w:cs="Arial Unicode MS"/>
      <w:color w:val="000000"/>
    </w:rPr>
  </w:style>
  <w:style w:type="paragraph" w:customStyle="1" w:styleId="stranytext">
    <w:name w:val="stranytext"/>
    <w:basedOn w:val="Normln"/>
    <w:rsid w:val="00293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bdr w:val="none" w:sz="0" w:space="0" w:color="auto"/>
      <w:lang w:eastAsia="cs-CZ"/>
    </w:rPr>
  </w:style>
  <w:style w:type="paragraph" w:styleId="Odstavecseseznamem">
    <w:name w:val="List Paragraph"/>
    <w:basedOn w:val="Normln"/>
    <w:uiPriority w:val="34"/>
    <w:qFormat/>
    <w:rsid w:val="00293106"/>
    <w:pPr>
      <w:ind w:left="720"/>
      <w:contextualSpacing/>
    </w:pPr>
  </w:style>
  <w:style w:type="paragraph" w:customStyle="1" w:styleId="Nadpislnku">
    <w:name w:val="Nadpis článku"/>
    <w:basedOn w:val="Normln"/>
    <w:rsid w:val="0088317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rFonts w:ascii="Arial" w:eastAsia="Times New Roman" w:hAnsi="Arial"/>
      <w:b/>
      <w:sz w:val="28"/>
      <w:szCs w:val="20"/>
      <w:u w:val="single"/>
      <w:bdr w:val="none" w:sz="0" w:space="0" w:color="auto"/>
      <w:lang w:eastAsia="cs-CZ"/>
    </w:rPr>
  </w:style>
  <w:style w:type="paragraph" w:customStyle="1" w:styleId="textsodrkou">
    <w:name w:val="text s odrážkou"/>
    <w:basedOn w:val="stranytext"/>
    <w:rsid w:val="009C1A7E"/>
    <w:pPr>
      <w:spacing w:after="240"/>
      <w:ind w:left="284" w:hanging="284"/>
      <w:jc w:val="both"/>
    </w:pPr>
  </w:style>
  <w:style w:type="paragraph" w:styleId="Zhlav">
    <w:name w:val="header"/>
    <w:basedOn w:val="Normln"/>
    <w:link w:val="ZhlavChar"/>
    <w:uiPriority w:val="99"/>
    <w:unhideWhenUsed/>
    <w:rsid w:val="00F50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A1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50A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14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E3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E35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merican Typewriter"/>
        <a:ea typeface="American Typewriter"/>
        <a:cs typeface="American Typewrite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Zikeš</dc:creator>
  <cp:lastModifiedBy>Jan Pospíšil</cp:lastModifiedBy>
  <cp:revision>2</cp:revision>
  <cp:lastPrinted>2024-05-28T11:32:00Z</cp:lastPrinted>
  <dcterms:created xsi:type="dcterms:W3CDTF">2024-05-28T11:33:00Z</dcterms:created>
  <dcterms:modified xsi:type="dcterms:W3CDTF">2024-05-28T11:33:00Z</dcterms:modified>
</cp:coreProperties>
</file>