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8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144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Správa Krkonošského národního parku</w:t>
                  </w:r>
                </w:p>
                <w:p>
                  <w:pPr>
                    <w:pStyle w:val="BodyText"/>
                    <w:spacing w:before="9"/>
                    <w:ind w:left="1446"/>
                  </w:pPr>
                  <w:r>
                    <w:rPr/>
                    <w:t>IČO: 00088455</w:t>
                  </w:r>
                </w:p>
                <w:p>
                  <w:pPr>
                    <w:pStyle w:val="BodyText"/>
                    <w:spacing w:line="252" w:lineRule="auto" w:before="12"/>
                    <w:ind w:left="1433" w:right="5913"/>
                  </w:pPr>
                  <w:r>
                    <w:rPr>
                      <w:w w:val="105"/>
                    </w:rPr>
                    <w:t>se sídlem Dobrovského 3, 543 01 Vrchlabí zastoupená PhDr. Robinem Bóhnischem, ředitelem</w:t>
                  </w:r>
                </w:p>
                <w:p>
                  <w:pPr>
                    <w:pStyle w:val="BodyText"/>
                    <w:spacing w:before="1"/>
                    <w:ind w:left="1426"/>
                  </w:pPr>
                  <w:r>
                    <w:rPr>
                      <w:w w:val="105"/>
                    </w:rPr>
                    <w:t>jako pronajímatel (dále jen „pronajímatel" či „Správa KRNAP")</w:t>
                  </w:r>
                </w:p>
                <w:p>
                  <w:pPr>
                    <w:pStyle w:val="BodyText"/>
                    <w:spacing w:line="506" w:lineRule="auto" w:before="10"/>
                    <w:ind w:left="1433" w:right="8747" w:hanging="7"/>
                  </w:pPr>
                  <w:r>
                    <w:rPr>
                      <w:w w:val="155"/>
                    </w:rPr>
                    <w:t>- </w:t>
                  </w:r>
                  <w:r>
                    <w:rPr>
                      <w:w w:val="105"/>
                    </w:rPr>
                    <w:t>na straně jedné </w:t>
                  </w:r>
                  <w:r>
                    <w:rPr>
                      <w:w w:val="155"/>
                    </w:rPr>
                    <w:t>- </w:t>
                  </w:r>
                  <w:r>
                    <w:rPr>
                      <w:w w:val="105"/>
                    </w:rPr>
                    <w:t>a</w:t>
                  </w:r>
                </w:p>
                <w:p>
                  <w:pPr>
                    <w:spacing w:line="228" w:lineRule="exact" w:before="0"/>
                    <w:ind w:left="1433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Ski klub Zvonička z.s.</w:t>
                  </w:r>
                </w:p>
                <w:p>
                  <w:pPr>
                    <w:pStyle w:val="BodyText"/>
                    <w:spacing w:before="9"/>
                    <w:ind w:left="1440"/>
                  </w:pPr>
                  <w:r>
                    <w:rPr/>
                    <w:t>IČO: 60432161</w:t>
                  </w:r>
                </w:p>
                <w:p>
                  <w:pPr>
                    <w:pStyle w:val="BodyText"/>
                    <w:spacing w:line="254" w:lineRule="auto" w:before="12"/>
                    <w:ind w:left="1446" w:right="8194" w:hanging="14"/>
                  </w:pPr>
                  <w:r>
                    <w:rPr>
                      <w:w w:val="105"/>
                    </w:rPr>
                    <w:t>se sídlem Jílovská 409/6 </w:t>
                  </w:r>
                  <w:r>
                    <w:rPr>
                      <w:w w:val="110"/>
                    </w:rPr>
                    <w:t>142 00 Praha 4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53"/>
                      <w:w w:val="155"/>
                    </w:rPr>
                    <w:t> </w:t>
                  </w:r>
                  <w:r>
                    <w:rPr>
                      <w:w w:val="110"/>
                    </w:rPr>
                    <w:t>Lhotka</w:t>
                  </w:r>
                </w:p>
                <w:p>
                  <w:pPr>
                    <w:pStyle w:val="BodyText"/>
                    <w:spacing w:line="261" w:lineRule="auto"/>
                    <w:ind w:left="1440" w:right="4416" w:hanging="7"/>
                  </w:pPr>
                  <w:r>
                    <w:rPr>
                      <w:w w:val="105"/>
                    </w:rPr>
                    <w:t>Zastoupená panem Bohumírem Zoubkem, předsedou výboru spolku E-</w:t>
                  </w:r>
                </w:p>
                <w:p>
                  <w:pPr>
                    <w:pStyle w:val="BodyText"/>
                    <w:spacing w:line="268" w:lineRule="auto" w:before="1"/>
                    <w:ind w:left="1440" w:right="5532" w:hanging="7"/>
                  </w:pPr>
                  <w:r>
                    <w:rPr>
                      <w:w w:val="105"/>
                    </w:rPr>
                    <w:t>a panem Vladimírem Vincencem, členem výboru spolku E-mail:</w:t>
                  </w:r>
                </w:p>
                <w:p>
                  <w:pPr>
                    <w:pStyle w:val="BodyText"/>
                    <w:spacing w:line="212" w:lineRule="exact"/>
                    <w:ind w:left="1426"/>
                  </w:pPr>
                  <w:r>
                    <w:rPr>
                      <w:w w:val="105"/>
                    </w:rPr>
                    <w:t>jako nájemce (dále jen „nájemce")</w:t>
                  </w:r>
                </w:p>
                <w:p>
                  <w:pPr>
                    <w:pStyle w:val="BodyText"/>
                    <w:spacing w:before="19"/>
                    <w:ind w:left="1433"/>
                  </w:pPr>
                  <w:r>
                    <w:rPr>
                      <w:w w:val="115"/>
                    </w:rPr>
                    <w:t>- na straně druhé</w:t>
                  </w:r>
                  <w:r>
                    <w:rPr>
                      <w:spacing w:val="-50"/>
                      <w:w w:val="115"/>
                    </w:rPr>
                    <w:t> </w:t>
                  </w:r>
                  <w:r>
                    <w:rPr>
                      <w:w w:val="140"/>
                    </w:rPr>
                    <w:t>-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433" w:right="1246"/>
                  </w:pPr>
                  <w:r>
                    <w:rPr>
                      <w:w w:val="105"/>
                    </w:rPr>
                    <w:t>uzavírají podle ustanovení § 2201 a násl. zákona č. 89/2012 Sb. (dále jen „NOZ"), a podle § 27 zákona č. 219/2000 Sb., ve znění pozdějších změn a doplňků, tuto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0"/>
                    <w:ind w:left="1270" w:right="1228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NÁJEMNÍ SMLOUVU</w:t>
                  </w:r>
                </w:p>
                <w:p>
                  <w:pPr>
                    <w:spacing w:before="14"/>
                    <w:ind w:left="1270" w:right="122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105"/>
                      <w:sz w:val="22"/>
                    </w:rPr>
                    <w:t>č.  SMLN-22-74/2024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ind w:left="1270" w:right="1221"/>
                    <w:jc w:val="center"/>
                  </w:pPr>
                  <w:r>
                    <w:rPr>
                      <w:w w:val="110"/>
                    </w:rPr>
                    <w:t>či. </w:t>
                  </w:r>
                  <w:r>
                    <w:rPr/>
                    <w:t>i</w:t>
                  </w:r>
                </w:p>
                <w:p>
                  <w:pPr>
                    <w:pStyle w:val="BodyText"/>
                    <w:tabs>
                      <w:tab w:pos="3109" w:val="left" w:leader="none"/>
                      <w:tab w:pos="4621" w:val="left" w:leader="none"/>
                      <w:tab w:pos="6011" w:val="left" w:leader="none"/>
                      <w:tab w:pos="6551" w:val="left" w:leader="none"/>
                      <w:tab w:pos="7638" w:val="left" w:leader="none"/>
                      <w:tab w:pos="9467" w:val="left" w:leader="none"/>
                    </w:tabs>
                    <w:spacing w:line="216" w:lineRule="exact" w:before="32"/>
                    <w:ind w:left="1440" w:right="1400"/>
                  </w:pPr>
                  <w:r>
                    <w:rPr>
                      <w:w w:val="105"/>
                    </w:rPr>
                    <w:t>Pronajímatel  </w:t>
                  </w:r>
                  <w:r>
                    <w:rPr>
                      <w:spacing w:val="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</w:t>
                    <w:tab/>
                    <w:t>podle  </w:t>
                  </w:r>
                  <w:r>
                    <w:rPr>
                      <w:spacing w:val="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zákona</w:t>
                    <w:tab/>
                    <w:t>č.  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219/2000</w:t>
                    <w:tab/>
                    <w:t>Sb.,</w:t>
                    <w:tab/>
                    <w:t>ve  </w:t>
                  </w:r>
                  <w:r>
                    <w:rPr>
                      <w:spacing w:val="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znění</w:t>
                    <w:tab/>
                    <w:t>pozdějších  </w:t>
                  </w:r>
                  <w:r>
                    <w:rPr>
                      <w:spacing w:val="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změn</w:t>
                    <w:tab/>
                    <w:t>a </w:t>
                  </w:r>
                  <w:r>
                    <w:rPr>
                      <w:spacing w:val="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doplňků,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05"/>
                    </w:rPr>
                    <w:t>příslušný hospodařit s následující nemovitou věcí, která je vlastnictvím České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republiky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tabs>
                      <w:tab w:pos="2937" w:val="left" w:leader="none"/>
                      <w:tab w:pos="4081" w:val="left" w:leader="none"/>
                      <w:tab w:pos="9849" w:val="left" w:leader="none"/>
                    </w:tabs>
                    <w:spacing w:line="212" w:lineRule="exact" w:before="143"/>
                    <w:ind w:left="1519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5"/>
                      <w:position w:val="-1"/>
                      <w:sz w:val="16"/>
                    </w:rPr>
                    <w:t>obec</w:t>
                    <w:tab/>
                  </w:r>
                  <w:r>
                    <w:rPr>
                      <w:w w:val="115"/>
                      <w:position w:val="0"/>
                      <w:sz w:val="16"/>
                    </w:rPr>
                    <w:t>kat.</w:t>
                  </w:r>
                  <w:r>
                    <w:rPr>
                      <w:spacing w:val="13"/>
                      <w:w w:val="115"/>
                      <w:position w:val="0"/>
                      <w:sz w:val="16"/>
                    </w:rPr>
                    <w:t> </w:t>
                  </w:r>
                  <w:r>
                    <w:rPr>
                      <w:w w:val="115"/>
                      <w:position w:val="0"/>
                      <w:sz w:val="16"/>
                    </w:rPr>
                    <w:t>území</w:t>
                    <w:tab/>
                    <w:t>Výměra nájmu    </w:t>
                  </w:r>
                  <w:r>
                    <w:rPr>
                      <w:w w:val="115"/>
                      <w:sz w:val="16"/>
                    </w:rPr>
                    <w:t>parcela č.    Výměra pozemku   </w:t>
                  </w:r>
                  <w:r>
                    <w:rPr>
                      <w:spacing w:val="50"/>
                      <w:w w:val="115"/>
                      <w:sz w:val="16"/>
                    </w:rPr>
                    <w:t> </w:t>
                  </w:r>
                  <w:r>
                    <w:rPr>
                      <w:w w:val="115"/>
                      <w:position w:val="1"/>
                      <w:sz w:val="16"/>
                    </w:rPr>
                    <w:t>druh</w:t>
                  </w:r>
                  <w:r>
                    <w:rPr>
                      <w:spacing w:val="25"/>
                      <w:w w:val="115"/>
                      <w:position w:val="1"/>
                      <w:sz w:val="16"/>
                    </w:rPr>
                    <w:t> </w:t>
                  </w:r>
                  <w:r>
                    <w:rPr>
                      <w:w w:val="115"/>
                      <w:position w:val="1"/>
                      <w:sz w:val="16"/>
                    </w:rPr>
                    <w:t>pozemku</w:t>
                    <w:tab/>
                    <w:t>LVč.</w:t>
                  </w:r>
                </w:p>
                <w:p>
                  <w:pPr>
                    <w:tabs>
                      <w:tab w:pos="7782" w:val="left" w:leader="none"/>
                    </w:tabs>
                    <w:spacing w:line="192" w:lineRule="exact" w:before="0"/>
                    <w:ind w:left="4536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ím2]</w:t>
                    <w:tab/>
                  </w:r>
                  <w:r>
                    <w:rPr>
                      <w:w w:val="105"/>
                      <w:position w:val="1"/>
                      <w:sz w:val="16"/>
                    </w:rPr>
                    <w:t>[m2]</w:t>
                  </w:r>
                </w:p>
                <w:p>
                  <w:pPr>
                    <w:pStyle w:val="BodyText"/>
                    <w:tabs>
                      <w:tab w:pos="4405" w:val="left" w:leader="none"/>
                      <w:tab w:pos="5694" w:val="left" w:leader="none"/>
                      <w:tab w:pos="7840" w:val="left" w:leader="none"/>
                      <w:tab w:pos="10138" w:val="right" w:leader="none"/>
                    </w:tabs>
                    <w:spacing w:line="270" w:lineRule="exact" w:before="8"/>
                    <w:ind w:left="1519"/>
                  </w:pPr>
                  <w:r>
                    <w:rPr/>
                    <w:t>Špindlerův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Mlýn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position w:val="11"/>
                    </w:rPr>
                    <w:t>Přední</w:t>
                    <w:tab/>
                  </w:r>
                  <w:r>
                    <w:rPr>
                      <w:position w:val="1"/>
                    </w:rPr>
                    <w:t>890312</w:t>
                    <w:tab/>
                    <w:t>688/1</w:t>
                    <w:tab/>
                  </w:r>
                  <w:r>
                    <w:rPr>
                      <w:position w:val="2"/>
                    </w:rPr>
                    <w:t>45 </w:t>
                  </w:r>
                  <w:r>
                    <w:rPr>
                      <w:spacing w:val="26"/>
                      <w:position w:val="2"/>
                    </w:rPr>
                    <w:t> </w:t>
                  </w:r>
                  <w:r>
                    <w:rPr>
                      <w:position w:val="3"/>
                    </w:rPr>
                    <w:t>lesní</w:t>
                  </w:r>
                  <w:r>
                    <w:rPr>
                      <w:spacing w:val="-2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pozemek</w:t>
                  </w:r>
                  <w:r>
                    <w:rPr>
                      <w:rFonts w:ascii="Times New Roman" w:hAnsi="Times New Roman"/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>95</w:t>
                  </w:r>
                </w:p>
                <w:p>
                  <w:pPr>
                    <w:pStyle w:val="BodyText"/>
                    <w:spacing w:line="160" w:lineRule="exact"/>
                    <w:ind w:left="1270" w:right="6730"/>
                    <w:jc w:val="center"/>
                  </w:pPr>
                  <w:r>
                    <w:rPr/>
                    <w:t>Labská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line="268" w:lineRule="auto" w:before="119"/>
                    <w:ind w:left="1446" w:right="1436" w:hanging="7"/>
                  </w:pPr>
                  <w:r>
                    <w:rPr>
                      <w:w w:val="105"/>
                    </w:rPr>
                    <w:t>a je zapsána  u  Katastrálního  úřadu  pro  Královéhradecký  kraj,  katastrálního  pracoviště  Trutnov  na výše uvedeném listu</w:t>
                  </w:r>
                  <w:r>
                    <w:rPr>
                      <w:spacing w:val="-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vlastnictví.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252" w:lineRule="exact" w:before="1"/>
                    <w:ind w:left="1270" w:right="1205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90"/>
                      <w:sz w:val="22"/>
                    </w:rPr>
                    <w:t>ČI. II</w:t>
                  </w:r>
                </w:p>
                <w:p>
                  <w:pPr>
                    <w:pStyle w:val="BodyText"/>
                    <w:spacing w:line="254" w:lineRule="auto"/>
                    <w:ind w:left="2167" w:right="1386" w:hanging="534"/>
                    <w:jc w:val="both"/>
                  </w:pPr>
                  <w:r>
                    <w:rPr/>
                    <w:t>1)     Pronajímatel   přenechává   nájemci   níže   specifikované   části   pozemku   uvedeného   v   čl.  </w:t>
                  </w:r>
                  <w:r>
                    <w:rPr>
                      <w:w w:val="80"/>
                    </w:rPr>
                    <w:t>I   </w:t>
                  </w:r>
                  <w:r>
                    <w:rPr/>
                    <w:t>do užívání za účelem odstavování třech osobních vozidel nájemce a nájemce se zavazuje platit nájemné  a užívat tento  pozemek v souladu  se zákonem a touto   smlouvou.</w:t>
                  </w:r>
                </w:p>
                <w:p>
                  <w:pPr>
                    <w:pStyle w:val="BodyText"/>
                    <w:spacing w:line="261" w:lineRule="auto"/>
                    <w:ind w:left="2181" w:right="1386" w:hanging="548"/>
                    <w:jc w:val="both"/>
                  </w:pPr>
                  <w:r>
                    <w:rPr>
                      <w:w w:val="105"/>
                    </w:rPr>
                    <w:t>2)   Pronajímané části pozemku (dále jen „pozemek") o celkové velikosti cca 45 m2 jsou vyznačeny na situaci v příloze č. 1, která je nedílnou součástí této smlouvy.</w:t>
                  </w:r>
                </w:p>
                <w:p>
                  <w:pPr>
                    <w:pStyle w:val="BodyText"/>
                    <w:tabs>
                      <w:tab w:pos="2166" w:val="left" w:leader="none"/>
                    </w:tabs>
                    <w:spacing w:line="204" w:lineRule="exact"/>
                    <w:ind w:left="1634"/>
                  </w:pPr>
                  <w:r>
                    <w:rPr>
                      <w:w w:val="105"/>
                    </w:rPr>
                    <w:t>3)</w:t>
                    <w:tab/>
                    <w:t>Stav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pozemku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nájemci ke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dni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podpisu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znám,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bezvadný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splňuje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účel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nájmu.</w:t>
                  </w:r>
                </w:p>
                <w:p>
                  <w:pPr>
                    <w:pStyle w:val="BodyText"/>
                    <w:tabs>
                      <w:tab w:pos="2180" w:val="left" w:leader="none"/>
                    </w:tabs>
                    <w:spacing w:before="11"/>
                    <w:ind w:left="1626"/>
                  </w:pPr>
                  <w:r>
                    <w:rPr>
                      <w:w w:val="105"/>
                    </w:rPr>
                    <w:t>4)</w:t>
                    <w:tab/>
                    <w:t>Pronajímatel přenechává nájemci pozemek ve stavu způsobilém k ujednanému</w:t>
                  </w:r>
                  <w:r>
                    <w:rPr>
                      <w:spacing w:val="-3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užívání.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1270" w:right="1197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Cl. Ill</w:t>
                  </w:r>
                </w:p>
                <w:p>
                  <w:pPr>
                    <w:pStyle w:val="BodyText"/>
                    <w:spacing w:before="2"/>
                    <w:ind w:left="2181" w:right="1380" w:hanging="540"/>
                    <w:jc w:val="both"/>
                  </w:pPr>
                  <w:r>
                    <w:rPr>
                      <w:b/>
                      <w:w w:val="105"/>
                      <w:position w:val="-3"/>
                      <w:sz w:val="18"/>
                    </w:rPr>
                    <w:t>1</w:t>
                  </w:r>
                  <w:r>
                    <w:rPr>
                      <w:w w:val="105"/>
                      <w:position w:val="-3"/>
                      <w:sz w:val="13"/>
                    </w:rPr>
                    <w:t>) </w:t>
                  </w:r>
                  <w:r>
                    <w:rPr>
                      <w:w w:val="105"/>
                    </w:rPr>
                    <w:t>Nájemce nesmí přenechat pronajatý pozemek nebo jeho části do podnájmu a nesmí  měnit  kulturu pozemku zapsanou v katastru nemovitostí bez předchozího písemného souhlasu pronajímatele.</w:t>
                  </w:r>
                </w:p>
                <w:p>
                  <w:pPr>
                    <w:pStyle w:val="BodyText"/>
                    <w:tabs>
                      <w:tab w:pos="2173" w:val="left" w:leader="none"/>
                    </w:tabs>
                    <w:spacing w:line="242" w:lineRule="exact" w:before="4"/>
                    <w:ind w:left="1634"/>
                  </w:pPr>
                  <w:r>
                    <w:rPr>
                      <w:w w:val="105"/>
                      <w:position w:val="-2"/>
                      <w:sz w:val="18"/>
                    </w:rPr>
                    <w:t>2</w:t>
                  </w:r>
                  <w:r>
                    <w:rPr>
                      <w:w w:val="105"/>
                      <w:position w:val="-2"/>
                      <w:sz w:val="10"/>
                    </w:rPr>
                    <w:t>)</w:t>
                    <w:tab/>
                  </w:r>
                  <w:r>
                    <w:rPr>
                      <w:w w:val="105"/>
                    </w:rPr>
                    <w:t>Tato smlouva není právním titulem pro zřízení jakékoliv nové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stavby.</w:t>
                  </w:r>
                </w:p>
                <w:p>
                  <w:pPr>
                    <w:pStyle w:val="BodyText"/>
                    <w:tabs>
                      <w:tab w:pos="2188" w:val="left" w:leader="none"/>
                    </w:tabs>
                    <w:spacing w:line="235" w:lineRule="exact"/>
                    <w:ind w:left="1641"/>
                  </w:pPr>
                  <w:r>
                    <w:rPr>
                      <w:position w:val="-2"/>
                      <w:sz w:val="22"/>
                    </w:rPr>
                    <w:t>3)</w:t>
                    <w:tab/>
                  </w:r>
                  <w:r>
                    <w:rPr/>
                    <w:t>Nájemce je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povinen:</w:t>
                  </w:r>
                </w:p>
                <w:p>
                  <w:pPr>
                    <w:pStyle w:val="BodyText"/>
                    <w:tabs>
                      <w:tab w:pos="2533" w:val="left" w:leader="none"/>
                    </w:tabs>
                    <w:spacing w:line="203" w:lineRule="exact"/>
                    <w:ind w:left="2174"/>
                  </w:pPr>
                  <w:r>
                    <w:rPr>
                      <w:w w:val="105"/>
                    </w:rPr>
                    <w:t>o</w:t>
                    <w:tab/>
                    <w:t>užívat pozemek v souladu s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dohodnutým účelem nájmu,</w:t>
                  </w:r>
                </w:p>
                <w:p>
                  <w:pPr>
                    <w:pStyle w:val="BodyText"/>
                    <w:tabs>
                      <w:tab w:pos="2526" w:val="left" w:leader="none"/>
                    </w:tabs>
                    <w:spacing w:line="252" w:lineRule="auto" w:before="4"/>
                    <w:ind w:left="2534" w:right="1388" w:hanging="360"/>
                  </w:pPr>
                  <w:r>
                    <w:rPr>
                      <w:w w:val="105"/>
                    </w:rPr>
                    <w:t>c</w:t>
                    <w:tab/>
                    <w:t>v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případě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ukončení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nájmu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uvést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pozemek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stavu,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kterém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nacházel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před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zahájením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5"/>
                    </w:rPr>
                    <w:t>nájemního vztahu, pokud se s pronajímatelem nedohodne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jinak,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8536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1613;top:405;width:10117;height:15308" coordorigin="1613,405" coordsize="10117,15308" path="m4007,4776l1613,4776,1613,5036,4007,5036,4007,4776m4134,5251l2021,5251,2021,5511,4134,5511,4134,5251m11213,405l7953,405,7953,2690,11213,2690,11213,405m11730,14479l10955,14479,10955,15713,11730,15713,11730,14479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081"/>
        <w:gridCol w:w="1461"/>
        <w:gridCol w:w="1014"/>
        <w:gridCol w:w="1732"/>
        <w:gridCol w:w="1477"/>
        <w:gridCol w:w="832"/>
      </w:tblGrid>
      <w:tr>
        <w:trPr>
          <w:trHeight w:val="404" w:hRule="exact"/>
        </w:trPr>
        <w:tc>
          <w:tcPr>
            <w:tcW w:w="1540" w:type="dxa"/>
          </w:tcPr>
          <w:p>
            <w:pPr/>
          </w:p>
        </w:tc>
        <w:tc>
          <w:tcPr>
            <w:tcW w:w="1081" w:type="dxa"/>
          </w:tcPr>
          <w:p>
            <w:pPr/>
          </w:p>
        </w:tc>
        <w:tc>
          <w:tcPr>
            <w:tcW w:w="1461" w:type="dxa"/>
          </w:tcPr>
          <w:p>
            <w:pPr/>
          </w:p>
        </w:tc>
        <w:tc>
          <w:tcPr>
            <w:tcW w:w="1014" w:type="dxa"/>
          </w:tcPr>
          <w:p>
            <w:pPr/>
          </w:p>
        </w:tc>
        <w:tc>
          <w:tcPr>
            <w:tcW w:w="1732" w:type="dxa"/>
          </w:tcPr>
          <w:p>
            <w:pPr/>
          </w:p>
        </w:tc>
        <w:tc>
          <w:tcPr>
            <w:tcW w:w="1477" w:type="dxa"/>
          </w:tcPr>
          <w:p>
            <w:pPr/>
          </w:p>
        </w:tc>
        <w:tc>
          <w:tcPr>
            <w:tcW w:w="832" w:type="dxa"/>
          </w:tcPr>
          <w:p>
            <w:pPr/>
          </w:p>
        </w:tc>
      </w:tr>
      <w:tr>
        <w:trPr>
          <w:trHeight w:val="429" w:hRule="exact"/>
        </w:trPr>
        <w:tc>
          <w:tcPr>
            <w:tcW w:w="1540" w:type="dxa"/>
          </w:tcPr>
          <w:p>
            <w:pPr/>
          </w:p>
        </w:tc>
        <w:tc>
          <w:tcPr>
            <w:tcW w:w="1081" w:type="dxa"/>
          </w:tcPr>
          <w:p>
            <w:pPr/>
          </w:p>
        </w:tc>
        <w:tc>
          <w:tcPr>
            <w:tcW w:w="1461" w:type="dxa"/>
          </w:tcPr>
          <w:p>
            <w:pPr/>
          </w:p>
        </w:tc>
        <w:tc>
          <w:tcPr>
            <w:tcW w:w="1014" w:type="dxa"/>
          </w:tcPr>
          <w:p>
            <w:pPr/>
          </w:p>
        </w:tc>
        <w:tc>
          <w:tcPr>
            <w:tcW w:w="1732" w:type="dxa"/>
          </w:tcPr>
          <w:p>
            <w:pPr/>
          </w:p>
        </w:tc>
        <w:tc>
          <w:tcPr>
            <w:tcW w:w="1477" w:type="dxa"/>
          </w:tcPr>
          <w:p>
            <w:pPr/>
          </w:p>
        </w:tc>
        <w:tc>
          <w:tcPr>
            <w:tcW w:w="832" w:type="dxa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200" w:right="1340"/>
        </w:sectPr>
      </w:pPr>
    </w:p>
    <w:p>
      <w:pPr>
        <w:pStyle w:val="BodyText"/>
        <w:ind w:right="-40"/>
        <w:rPr>
          <w:rFonts w:ascii="Times New Roman"/>
          <w:sz w:val="20"/>
        </w:rPr>
      </w:pPr>
      <w:r>
        <w:rPr/>
        <w:pict>
          <v:shape style="position:absolute;margin-left:0pt;margin-top:0pt;width:595.1pt;height:841.7pt;mso-position-horizontal-relative:page;mso-position-vertical-relative:page;z-index:-8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pStyle w:val="BodyText"/>
                    <w:spacing w:line="254" w:lineRule="auto"/>
                    <w:ind w:left="2556" w:right="1337" w:hanging="346"/>
                    <w:jc w:val="both"/>
                  </w:pPr>
                  <w:r>
                    <w:rPr>
                      <w:w w:val="105"/>
                      <w:sz w:val="17"/>
                    </w:rPr>
                    <w:t>o </w:t>
                  </w:r>
                  <w:r>
                    <w:rPr>
                      <w:w w:val="105"/>
                    </w:rPr>
                    <w:t>umožnit  pronajímateli  na  jeho  žádost  vstup  na  předmět  nájmu  za  účelem  kontroly,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zda je užíván v souladu s touto smlouvou; den, kdy pronajímatel hodlá provést kontrolu, bude  nájemci  oznámen  písemně  alespoň  7  dnů  předem;  v  případě  nutné  potřeby   je pronajímatel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oprávněn kontrolu provést </w:t>
                  </w:r>
                  <w:r>
                    <w:rPr>
                      <w:w w:val="90"/>
                    </w:rPr>
                    <w:t>i </w:t>
                  </w:r>
                  <w:r>
                    <w:rPr>
                      <w:w w:val="105"/>
                    </w:rPr>
                    <w:t>v nepřítomnosti nájemce</w:t>
                  </w:r>
                </w:p>
                <w:p>
                  <w:pPr>
                    <w:pStyle w:val="BodyText"/>
                    <w:spacing w:line="252" w:lineRule="auto"/>
                    <w:ind w:left="2556" w:right="1351" w:hanging="353"/>
                    <w:jc w:val="both"/>
                  </w:pPr>
                  <w:r>
                    <w:rPr>
                      <w:w w:val="105"/>
                      <w:sz w:val="17"/>
                    </w:rPr>
                    <w:t>o </w:t>
                  </w:r>
                  <w:r>
                    <w:rPr>
                      <w:w w:val="105"/>
                    </w:rPr>
                    <w:t>užívat pozemek tak, aby pronajímateli nevznikla žádná škoda. Pokud nájemce svým jednáním škodu způsobí, zavazuje se vzniklou škodu uhradit v jejím plném rozsahu</w:t>
                  </w:r>
                </w:p>
                <w:p>
                  <w:pPr>
                    <w:pStyle w:val="BodyText"/>
                    <w:spacing w:line="252" w:lineRule="auto" w:before="3"/>
                    <w:ind w:left="2570" w:right="1344" w:hanging="367"/>
                    <w:jc w:val="both"/>
                  </w:pPr>
                  <w:r>
                    <w:rPr>
                      <w:w w:val="105"/>
                      <w:sz w:val="17"/>
                    </w:rPr>
                    <w:t>o </w:t>
                  </w:r>
                  <w:r>
                    <w:rPr>
                      <w:w w:val="105"/>
                    </w:rPr>
                    <w:t>hradit  náklady spojené  s  obvyklým  udržováním  pronajatého  pozemku  a drobné opravy na něm</w:t>
                  </w:r>
                </w:p>
                <w:p>
                  <w:pPr>
                    <w:pStyle w:val="BodyText"/>
                    <w:spacing w:line="252" w:lineRule="auto" w:before="1"/>
                    <w:ind w:left="2549" w:right="1356" w:hanging="353"/>
                    <w:jc w:val="both"/>
                  </w:pPr>
                  <w:r>
                    <w:rPr>
                      <w:sz w:val="17"/>
                    </w:rPr>
                    <w:t>o   </w:t>
                  </w:r>
                  <w:r>
                    <w:rPr/>
                    <w:t>strpět   věcná   břemena,   resp.   služebnosti    spojená    s pozemkem    uvedeným    včl.l,  jakož 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případná  další omezení vyplývající z  právních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předpisů,</w:t>
                  </w:r>
                </w:p>
                <w:p>
                  <w:pPr>
                    <w:pStyle w:val="BodyText"/>
                    <w:spacing w:line="247" w:lineRule="auto"/>
                    <w:ind w:left="2562" w:right="1356" w:hanging="367"/>
                    <w:jc w:val="both"/>
                  </w:pPr>
                  <w:r>
                    <w:rPr>
                      <w:w w:val="105"/>
                      <w:sz w:val="17"/>
                    </w:rPr>
                    <w:t>o </w:t>
                  </w:r>
                  <w:r>
                    <w:rPr>
                      <w:w w:val="105"/>
                    </w:rPr>
                    <w:t>neskladovat na předmětu nájmu žádné odpady nebo odpadky a udržovat na předmětu  nájmu a v</w:t>
                  </w:r>
                  <w:r>
                    <w:rPr>
                      <w:spacing w:val="-4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jeho okolí pořádek,</w:t>
                  </w:r>
                </w:p>
                <w:p>
                  <w:pPr>
                    <w:pStyle w:val="BodyText"/>
                    <w:spacing w:line="252" w:lineRule="auto" w:before="11"/>
                    <w:ind w:left="2549" w:right="1358" w:hanging="353"/>
                    <w:jc w:val="both"/>
                  </w:pPr>
                  <w:r>
                    <w:rPr>
                      <w:w w:val="105"/>
                      <w:sz w:val="17"/>
                    </w:rPr>
                    <w:t>o    </w:t>
                  </w:r>
                  <w:r>
                    <w:rPr>
                      <w:w w:val="105"/>
                    </w:rPr>
                    <w:t>zajistit po dobu trvání nájemní smlouvy v souladu s oddílem třetím zákona č.289/1995 Sb., v platném znění, dočasné odnětí či omezení PUPFL na část lesního pozemku specifikovanou v čl. II této smlouvy a případný  poplatek  s  tím  spojený  řádně  hradit, nebo zajistit souhlas příslušného orgánu státní správy lesů, pakliže nebude tímto orgánem řízení dle §  16 o odnětí  nebo omezení vyžadováno.  Pronajímatel tímto  uděluje souhlas  k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dočasnému odnětí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omezení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PUPFL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rozsahu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smlouvy,</w:t>
                  </w:r>
                </w:p>
                <w:p>
                  <w:pPr>
                    <w:pStyle w:val="BodyText"/>
                    <w:spacing w:line="261" w:lineRule="auto"/>
                    <w:ind w:left="2549" w:right="1365" w:hanging="368"/>
                    <w:jc w:val="both"/>
                  </w:pPr>
                  <w:r>
                    <w:rPr>
                      <w:w w:val="105"/>
                      <w:sz w:val="17"/>
                    </w:rPr>
                    <w:t>o </w:t>
                  </w:r>
                  <w:r>
                    <w:rPr>
                      <w:w w:val="105"/>
                    </w:rPr>
                    <w:t>nájemce je povinen, na požádání pracovníka příslušného územního pracoviště Správy KRNAP,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bezodkladně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uvolnit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případě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potřeby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předmětu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nájmu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dobu nezbytně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nutnou,</w:t>
                  </w:r>
                </w:p>
                <w:p>
                  <w:pPr>
                    <w:pStyle w:val="BodyText"/>
                    <w:spacing w:line="249" w:lineRule="auto"/>
                    <w:ind w:left="2534" w:right="1364" w:hanging="353"/>
                    <w:jc w:val="both"/>
                  </w:pPr>
                  <w:r>
                    <w:rPr>
                      <w:w w:val="105"/>
                      <w:sz w:val="17"/>
                    </w:rPr>
                    <w:t>o</w:t>
                  </w:r>
                  <w:r>
                    <w:rPr>
                      <w:spacing w:val="49"/>
                      <w:w w:val="105"/>
                      <w:sz w:val="17"/>
                    </w:rPr>
                    <w:t> </w:t>
                  </w:r>
                  <w:r>
                    <w:rPr>
                      <w:w w:val="105"/>
                    </w:rPr>
                    <w:t>za  účelem  výkonu   povinností  z titulů  osoby  příslušné  hospodařit  s majetkem   státu,  se nájemce zavazuje umožnit pronajímateli včetně dalších osob vstup na předmět nájmu dle potřeb pronajímatele. Pokud nebude technicky nebo organizačně možné toto umožnit v požadovaném termínu, zavazuje se nájemce s pronajímatelem dohodnout nejbližší možný termín. V případě nedodržení uvedené povinnosti, je pronajímatel oprávněn vypovědět tuto smlouvu dle čl. IV, odst. 2) písm.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b.).</w:t>
                  </w:r>
                </w:p>
                <w:p>
                  <w:pPr>
                    <w:pStyle w:val="BodyText"/>
                    <w:spacing w:line="252" w:lineRule="auto" w:before="11"/>
                    <w:ind w:left="2174" w:right="1380" w:hanging="540"/>
                    <w:jc w:val="both"/>
                  </w:pPr>
                  <w:r>
                    <w:rPr/>
                    <w:t>4)        Nájemce je povinen se řídit a postupovat v souladu s ustanovením § 22 zákona č.289/1995 Sb.,    o lesích v platném znění. Rozsah a způsob případných zabezpečovacích  opatření  bude projednán s příslušným územním  pracovištěm Správy  KRNAP.  Smluvní strany se tímto shodly, že pronajímatel   nenese   žádnou odpovědnost   za   jakékoli   škody   na   majetku    nájemce nebo zranění způsobené  při užívání  pozemku  specifikovaného v čl.  </w:t>
                  </w:r>
                  <w:r>
                    <w:rPr>
                      <w:w w:val="80"/>
                    </w:rPr>
                    <w:t>I </w:t>
                  </w:r>
                  <w:r>
                    <w:rPr/>
                    <w:t>a  II této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smlouvy.</w:t>
                  </w:r>
                </w:p>
                <w:p>
                  <w:pPr>
                    <w:pStyle w:val="BodyText"/>
                    <w:spacing w:line="244" w:lineRule="auto" w:before="1"/>
                    <w:ind w:left="2174" w:right="1378" w:hanging="532"/>
                    <w:jc w:val="both"/>
                  </w:pPr>
                  <w:r>
                    <w:rPr>
                      <w:w w:val="105"/>
                    </w:rPr>
                    <w:t>5)     Pronajímatel  má vůči nájemci za přenechání předmětu nájmu k užívání  pro účel vymezený     v této smlouvě právo na zaplacení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nájemného.</w:t>
                  </w:r>
                </w:p>
                <w:p>
                  <w:pPr>
                    <w:pStyle w:val="BodyText"/>
                    <w:spacing w:line="249" w:lineRule="auto" w:before="8"/>
                    <w:ind w:left="2166" w:right="1379" w:hanging="533"/>
                    <w:jc w:val="both"/>
                  </w:pPr>
                  <w:r>
                    <w:rPr>
                      <w:w w:val="105"/>
                    </w:rPr>
                    <w:t>6) Nájemce je povinen  bez zbytečného odkladu  oznámit pronajímateli  potřebu  nutných oprav, které je povinen provést  pronajímatel  a  umožnit jejich  provedení,  jinak  nájemce  odpovídá za škodu,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která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nesplněním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povinnosti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vznikne.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Pokud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by   se   jednalo   o   vady nebo poškození podstatného charakteru, které by ztěžovaly užívání pozemku zásadním způsobem nebo by jeho užívání zcela znemožňovaly, má nájemce právo vůči pronajímateli uplatnit přiměřenou slevu z nájemného za dobu, po kterou vady či poškození předmětu pronájmu trvaly. Toto však platí, pokud tyto vady a poškození včas nahlásí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pronajímateli.</w:t>
                  </w:r>
                </w:p>
                <w:p>
                  <w:pPr>
                    <w:pStyle w:val="BodyText"/>
                    <w:spacing w:line="254" w:lineRule="auto" w:before="2"/>
                    <w:ind w:left="2167" w:right="1395" w:hanging="534"/>
                    <w:jc w:val="both"/>
                  </w:pPr>
                  <w:r>
                    <w:rPr/>
                    <w:t>7)    Nájemce    nesmí    provádět    na   předmětu    nájmu   žádné   terénní    nebo   stavební    úpravy ani podstatné změny bez souhlasu  pronajímatele,  a to ani  na svůj   náklad.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1270" w:right="1213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Čl. IV</w:t>
                  </w:r>
                </w:p>
                <w:p>
                  <w:pPr>
                    <w:pStyle w:val="BodyText"/>
                    <w:tabs>
                      <w:tab w:pos="2159" w:val="left" w:leader="none"/>
                    </w:tabs>
                    <w:spacing w:before="15"/>
                    <w:ind w:left="1634"/>
                  </w:pPr>
                  <w:r>
                    <w:rPr/>
                    <w:t>1)</w:t>
                    <w:tab/>
                    <w:t>Tato smlouva se  uzavírá  na dobu  určitou  od  podpisu  smlouvy do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31.12.2031.</w:t>
                  </w:r>
                </w:p>
                <w:p>
                  <w:pPr>
                    <w:pStyle w:val="BodyText"/>
                    <w:tabs>
                      <w:tab w:pos="2173" w:val="left" w:leader="none"/>
                    </w:tabs>
                    <w:spacing w:before="11"/>
                    <w:ind w:left="1626"/>
                  </w:pPr>
                  <w:r>
                    <w:rPr/>
                    <w:t>2)</w:t>
                    <w:tab/>
                    <w:t>Právní vztah založený touto  smlouvou  může  být  ukončen:</w:t>
                  </w:r>
                </w:p>
                <w:p>
                  <w:pPr>
                    <w:pStyle w:val="BodyText"/>
                    <w:spacing w:before="12"/>
                    <w:ind w:left="2153"/>
                  </w:pPr>
                  <w:r>
                    <w:rPr>
                      <w:w w:val="105"/>
                    </w:rPr>
                    <w:t>a)   Dohodou účastníků.</w:t>
                  </w:r>
                </w:p>
                <w:p>
                  <w:pPr>
                    <w:pStyle w:val="BodyText"/>
                    <w:spacing w:line="252" w:lineRule="auto" w:before="11"/>
                    <w:ind w:left="2513" w:right="1398" w:hanging="353"/>
                    <w:jc w:val="both"/>
                  </w:pPr>
                  <w:r>
                    <w:rPr>
                      <w:w w:val="105"/>
                    </w:rPr>
                    <w:t>b)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Výpovědí  pronajímatele, jestliže  pronajímatel  bude pronajatou nemovitou věc potřebovat 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plnění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funkcí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státu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jiným úkolů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rámci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své působnosti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stanoveného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předmětu činnosti,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nebude-li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pronájmem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dosahováno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účelnějšího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hospodárnějšího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využití pronajaté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nemovité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věc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zachování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hlavního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účelu,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kterému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organizační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složce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slouží. Výpovědní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doba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takovém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případě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činí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5"/>
                    </w:rPr>
                    <w:t>měsíc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počíná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běžet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prvním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dnem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následujícího kalendářního měsíce po doručení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výpovědi.</w:t>
                  </w:r>
                </w:p>
                <w:p>
                  <w:pPr>
                    <w:pStyle w:val="BodyText"/>
                    <w:spacing w:line="254" w:lineRule="auto" w:before="1"/>
                    <w:ind w:left="2513" w:right="1407" w:hanging="7"/>
                    <w:jc w:val="both"/>
                  </w:pPr>
                  <w:r>
                    <w:rPr>
                      <w:w w:val="105"/>
                    </w:rPr>
                    <w:t>Z výše uvedených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důvodů  je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pronajímatel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oprávněn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ukončit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tento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právní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vztah  rovněž písemným oznámením, že odstupuje od smlouvy. Uplynutím 14 dnů po doručení písemného oznámení nájemci tato smlouva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zaniká.</w:t>
                  </w:r>
                </w:p>
                <w:p>
                  <w:pPr>
                    <w:pStyle w:val="BodyText"/>
                    <w:spacing w:line="249" w:lineRule="auto"/>
                    <w:ind w:left="2506" w:right="1400" w:hanging="360"/>
                    <w:jc w:val="both"/>
                  </w:pPr>
                  <w:r>
                    <w:rPr>
                      <w:w w:val="105"/>
                    </w:rPr>
                    <w:t>c) Výpovědí jedné ze smluvních stran bez udání důvodu, výpovědní lhůta v tomto případě činí tři měsíce a začíná běžet prvním dnem kalendářního měsíce následujícího po doručení výpovědi druhé smluvní straně.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7557590" cy="1068933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right="-40"/>
        <w:rPr>
          <w:rFonts w:ascii="Times New Roman"/>
          <w:sz w:val="20"/>
        </w:rPr>
      </w:pPr>
      <w:r>
        <w:rPr/>
        <w:pict>
          <v:shape style="position:absolute;margin-left:0pt;margin-top:0pt;width:597.6pt;height:843.5pt;mso-position-horizontal-relative:page;mso-position-vertical-relative:page;z-index:-8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line="254" w:lineRule="auto" w:before="170"/>
                    <w:ind w:left="2549" w:right="1407" w:hanging="353"/>
                    <w:jc w:val="both"/>
                  </w:pPr>
                  <w:r>
                    <w:rPr>
                      <w:w w:val="105"/>
                    </w:rPr>
                    <w:t>d)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Jestliže nájemce porušuje zvlášť závažným způsobem své povinnosti,  pronajímatel může v souladu s ustanovením § 2232 NOZ vypovědět nájem bez výpovědní doby, a to ke dni doručení výpovědi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nájemci.</w:t>
                  </w:r>
                </w:p>
                <w:p>
                  <w:pPr>
                    <w:pStyle w:val="BodyText"/>
                    <w:spacing w:line="252" w:lineRule="auto"/>
                    <w:ind w:left="2541" w:right="1413" w:hanging="353"/>
                    <w:jc w:val="both"/>
                  </w:pPr>
                  <w:r>
                    <w:rPr/>
                    <w:t>e) Při zániku nájmu je nájemce povinen předmět nájmu vyklidit, a to do 15ti dnů ode dne zániku nájmu, a předat ho pronajímateli ve stavu v jakém se nacházel před zahájením smluvního vztahu, s ohledem na běžné opotřebení při běžném užívání a na vady, které je povinen odstranit pronajímatel. O předání předmětu nájmu se strany zavazují sepsat zápis, v němž zachytí stav předávaného pozemku. Smluvní strany si tímto  sjednávají,  že  ustanovení  § 2230 občanského zákoníku  se  na tuto smlouvu   nevztahuje.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ind w:left="5670" w:right="5605"/>
                    <w:jc w:val="center"/>
                  </w:pPr>
                  <w:r>
                    <w:rPr/>
                    <w:t>Čl. V</w:t>
                  </w:r>
                </w:p>
                <w:p>
                  <w:pPr>
                    <w:pStyle w:val="BodyText"/>
                    <w:tabs>
                      <w:tab w:pos="2202" w:val="left" w:leader="none"/>
                    </w:tabs>
                    <w:spacing w:before="26"/>
                    <w:ind w:left="1663"/>
                  </w:pPr>
                  <w:r>
                    <w:rPr>
                      <w:w w:val="105"/>
                    </w:rPr>
                    <w:t>1)</w:t>
                    <w:tab/>
                    <w:t>Nájemce je povinen platit pronajímateli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nájemné.</w:t>
                  </w:r>
                </w:p>
                <w:p>
                  <w:pPr>
                    <w:pStyle w:val="BodyText"/>
                    <w:spacing w:line="252" w:lineRule="auto" w:before="12"/>
                    <w:ind w:left="2196" w:right="1414" w:hanging="540"/>
                    <w:jc w:val="both"/>
                  </w:pPr>
                  <w:r>
                    <w:rPr>
                      <w:w w:val="105"/>
                    </w:rPr>
                    <w:t>2)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Roční  nájemné  se  stanovuje  dohodou  ve  výši  4.500,-  Kč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(slovy:   čtyři  tisíce   pět  set   korun</w:t>
                  </w:r>
                  <w:r>
                    <w:rPr>
                      <w:spacing w:val="-3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českých).</w:t>
                  </w:r>
                </w:p>
                <w:p>
                  <w:pPr>
                    <w:pStyle w:val="BodyText"/>
                    <w:spacing w:line="252" w:lineRule="auto" w:before="2"/>
                    <w:ind w:left="2189" w:right="1423" w:hanging="533"/>
                    <w:jc w:val="both"/>
                  </w:pPr>
                  <w:r>
                    <w:rPr>
                      <w:w w:val="105"/>
                    </w:rPr>
                    <w:t>3) Nájemné bude hrazeno 1x ročně, a to na základě faktury vystavené Správou KRNAP a zaslané na emailové adresy nájemce s termínem splatnosti vždy do 31. července daného roku. Zaplacením se rozumí den připsání celé platby nájemného na účet pronajímatele.</w:t>
                  </w:r>
                </w:p>
                <w:p>
                  <w:pPr>
                    <w:pStyle w:val="BodyText"/>
                    <w:spacing w:line="252" w:lineRule="auto" w:before="2"/>
                    <w:ind w:left="2189" w:right="1422" w:hanging="540"/>
                    <w:jc w:val="both"/>
                  </w:pPr>
                  <w:r>
                    <w:rPr/>
                    <w:t>4) Nájemné za rok 2024 činí 2.250,- Kč (slovy: dva tisíce dvě stě padesát korun českých) a bude uhrazeno na základě faktury vystavené  pronajímatelem  a  zaslané  na  emailovou  adresu nájemce s termínem splatnosti do 31.7.2024. Zaplacením se rozumí připsání placené částky na účet pronajímatele.</w:t>
                  </w:r>
                </w:p>
                <w:p>
                  <w:pPr>
                    <w:pStyle w:val="BodyText"/>
                    <w:spacing w:line="254" w:lineRule="auto"/>
                    <w:ind w:left="2181" w:right="1414" w:hanging="533"/>
                    <w:jc w:val="both"/>
                  </w:pPr>
                  <w:r>
                    <w:rPr>
                      <w:w w:val="105"/>
                    </w:rPr>
                    <w:t>5) Výše nájemného bude každoročně zvyšována o míru inflace v České republice, vyjádřené přírůstkem průměrného ročního indexu spotřebitelských cen  v minulém  kalendářním  roce proti roku předminulému a vyhlášené Českým statistickým úřadem, nejméně však o růst obvyklého nájemného ze srovnatelného majetku v daném místě a čase.</w:t>
                  </w:r>
                </w:p>
                <w:p>
                  <w:pPr>
                    <w:pStyle w:val="BodyText"/>
                    <w:spacing w:line="254" w:lineRule="auto" w:before="7"/>
                    <w:ind w:left="2189" w:right="1429" w:hanging="547"/>
                    <w:jc w:val="both"/>
                  </w:pPr>
                  <w:r>
                    <w:rPr>
                      <w:w w:val="105"/>
                    </w:rPr>
                    <w:t>6) Nezaplatí-li nájemce nájemné ani do splatnosti příštího nájemného považuje se to za porušení smlouvy zvlášť závažným způsobem, které zakládá právo pronajímatele vypovědět nájem  bez výpovědní doby (§ 2228</w:t>
                  </w:r>
                  <w:r>
                    <w:rPr>
                      <w:spacing w:val="-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NOZ).</w:t>
                  </w:r>
                </w:p>
                <w:p>
                  <w:pPr>
                    <w:pStyle w:val="BodyText"/>
                    <w:spacing w:line="252" w:lineRule="auto"/>
                    <w:ind w:left="2181" w:right="1431" w:hanging="533"/>
                    <w:jc w:val="both"/>
                  </w:pPr>
                  <w:r>
                    <w:rPr>
                      <w:w w:val="105"/>
                    </w:rPr>
                    <w:t>7) Pro případ předčasného ukončení nájmu bude zaplacené nájemné vypořádáno a odpovídající část nájemci pronajímatelem vrácena.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ind w:left="5670" w:right="5633"/>
                    <w:jc w:val="center"/>
                  </w:pPr>
                  <w:r>
                    <w:rPr/>
                    <w:t>Čl. VI</w:t>
                  </w:r>
                </w:p>
                <w:p>
                  <w:pPr>
                    <w:pStyle w:val="BodyText"/>
                    <w:spacing w:line="254" w:lineRule="auto" w:before="19"/>
                    <w:ind w:left="2174" w:right="1428" w:hanging="518"/>
                    <w:jc w:val="both"/>
                  </w:pPr>
                  <w:r>
                    <w:rPr>
                      <w:w w:val="105"/>
                    </w:rPr>
                    <w:t>1) Smluvní strany se dohodly, že jakékoliv změny a doplňky této smlouvy jsou  možné  pouze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formou oboustranných písemných dodatků k této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smlouvě.</w:t>
                  </w:r>
                </w:p>
                <w:p>
                  <w:pPr>
                    <w:pStyle w:val="BodyText"/>
                    <w:spacing w:line="244" w:lineRule="auto"/>
                    <w:ind w:left="2181" w:right="1438" w:hanging="540"/>
                    <w:jc w:val="both"/>
                  </w:pPr>
                  <w:r>
                    <w:rPr/>
                    <w:t>2)        Smluvní   strany  jsou   povinny  se  vzájemně   informovat  o  jakékoli  změně   údajů   uvedených v záhlaví této smlouvy,  a to nejpozději  do 30 dnů ode dne   změny.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ind w:left="5670" w:right="5641"/>
                    <w:jc w:val="center"/>
                  </w:pPr>
                  <w:r>
                    <w:rPr>
                      <w:w w:val="105"/>
                    </w:rPr>
                    <w:t>Čl. VII</w:t>
                  </w:r>
                </w:p>
                <w:p>
                  <w:pPr>
                    <w:pStyle w:val="BodyText"/>
                    <w:spacing w:line="254" w:lineRule="auto" w:before="19"/>
                    <w:ind w:left="1469" w:right="1424" w:hanging="15"/>
                    <w:jc w:val="both"/>
                  </w:pPr>
                  <w:r>
                    <w:rPr>
                      <w:w w:val="105"/>
                    </w:rPr>
                    <w:t>Tato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smlouva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vyhotovena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čtyřech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stejnopisech,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nichž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každý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má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platnost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originálu.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Dva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stejnopisy přebírá nájemce, a ostatní</w:t>
                  </w:r>
                  <w:r>
                    <w:rPr>
                      <w:spacing w:val="-4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jsou určeny pro pronajímatele.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ind w:left="5670" w:right="5648"/>
                    <w:jc w:val="center"/>
                  </w:pPr>
                  <w:r>
                    <w:rPr>
                      <w:w w:val="110"/>
                    </w:rPr>
                    <w:t>Čl. Vlil</w:t>
                  </w:r>
                </w:p>
                <w:p>
                  <w:pPr>
                    <w:pStyle w:val="BodyText"/>
                    <w:spacing w:line="252" w:lineRule="auto" w:before="84"/>
                    <w:ind w:left="1454" w:right="1429"/>
                    <w:jc w:val="both"/>
                  </w:pPr>
                  <w:r>
                    <w:rPr/>
                    <w:t>Tato smlouva nabývá platnosti dnem podpisu smluvními stranami a účinnosti dnem uveřejnění v registru smluv podle zákona č. 340/2015 Sb., o zvláštních podmínkách účinnosti některých smluv, uveřejňování těchto smluv a o registru smluv (zákon o registru smluv), ve znění pozdějších předpisů. Uveřejnění této smlouvy jakož i anonymizaci osobních údajů a dalších ustanovení, která uveřejnění v registru smluv nepodléhají,  zajistí  Správa  KRNAP.  Smluvní  strany souhlasí  se zveřejněním této smlouvy.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ind w:left="5670" w:right="5640"/>
                    <w:jc w:val="center"/>
                  </w:pPr>
                  <w:r>
                    <w:rPr/>
                    <w:t>Čl. IX</w:t>
                  </w:r>
                </w:p>
                <w:p>
                  <w:pPr>
                    <w:pStyle w:val="BodyText"/>
                    <w:spacing w:line="252" w:lineRule="auto" w:before="27"/>
                    <w:ind w:left="1446" w:right="1438" w:firstLine="15"/>
                    <w:jc w:val="both"/>
                  </w:pPr>
                  <w:r>
                    <w:rPr>
                      <w:w w:val="105"/>
                    </w:rPr>
                    <w:t>Smluvní strany po přečtení této smlouvy prohlašují,  že s jejím obsahem  souhlasí a že tato smlouva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 shodným projevem jejich vážné a svobodné vůle, a na důkaz toho připojují své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podpisy.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7589339" cy="10712196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39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60" w:h="1687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8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4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52"/>
                    </w:rPr>
                  </w:pPr>
                </w:p>
                <w:p>
                  <w:pPr>
                    <w:tabs>
                      <w:tab w:pos="5989" w:val="left" w:leader="none"/>
                    </w:tabs>
                    <w:spacing w:before="0"/>
                    <w:ind w:left="1570" w:right="0" w:firstLine="0"/>
                    <w:jc w:val="left"/>
                    <w:rPr>
                      <w:i/>
                      <w:sz w:val="38"/>
                    </w:rPr>
                  </w:pPr>
                  <w:r>
                    <w:rPr>
                      <w:sz w:val="20"/>
                    </w:rPr>
                    <w:t>Ve</w:t>
                  </w:r>
                  <w:r>
                    <w:rPr>
                      <w:spacing w:val="-2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Vrchlabí</w:t>
                  </w:r>
                  <w:r>
                    <w:rPr>
                      <w:spacing w:val="-2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dne:</w:t>
                  </w:r>
                  <w:r>
                    <w:rPr>
                      <w:spacing w:val="43"/>
                      <w:sz w:val="20"/>
                    </w:rPr>
                    <w:t> </w:t>
                  </w:r>
                  <w:r>
                    <w:rPr>
                      <w:w w:val="130"/>
                      <w:sz w:val="20"/>
                    </w:rPr>
                    <w:t>fj</w:t>
                  </w:r>
                  <w:r>
                    <w:rPr>
                      <w:spacing w:val="-39"/>
                      <w:w w:val="130"/>
                      <w:sz w:val="20"/>
                    </w:rPr>
                    <w:t> </w:t>
                  </w:r>
                  <w:r>
                    <w:rPr>
                      <w:sz w:val="26"/>
                    </w:rPr>
                    <w:t>7</w:t>
                  </w:r>
                  <w:r>
                    <w:rPr>
                      <w:spacing w:val="-38"/>
                      <w:sz w:val="26"/>
                    </w:rPr>
                    <w:t> </w:t>
                  </w:r>
                  <w:r>
                    <w:rPr>
                      <w:sz w:val="20"/>
                    </w:rPr>
                    <w:t>"</w:t>
                  </w:r>
                  <w:r>
                    <w:rPr>
                      <w:sz w:val="26"/>
                    </w:rPr>
                    <w:t>08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w w:val="90"/>
                      <w:sz w:val="26"/>
                    </w:rPr>
                    <w:t>2024</w:t>
                    <w:tab/>
                  </w:r>
                  <w:r>
                    <w:rPr>
                      <w:position w:val="1"/>
                      <w:sz w:val="20"/>
                    </w:rPr>
                    <w:t>V Praze dne: </w:t>
                  </w:r>
                  <w:r>
                    <w:rPr>
                      <w:w w:val="580"/>
                      <w:position w:val="3"/>
                      <w:sz w:val="8"/>
                    </w:rPr>
                    <w:t>//.</w:t>
                  </w:r>
                  <w:r>
                    <w:rPr>
                      <w:spacing w:val="-98"/>
                      <w:w w:val="580"/>
                      <w:position w:val="3"/>
                      <w:sz w:val="8"/>
                    </w:rPr>
                    <w:t> </w:t>
                  </w:r>
                  <w:r>
                    <w:rPr>
                      <w:i/>
                      <w:w w:val="90"/>
                      <w:position w:val="3"/>
                      <w:sz w:val="38"/>
                    </w:rPr>
                    <w:t>C. </w:t>
                  </w:r>
                  <w:r>
                    <w:rPr>
                      <w:i/>
                      <w:position w:val="3"/>
                      <w:sz w:val="38"/>
                    </w:rPr>
                    <w:t>to?ct</w:t>
                  </w:r>
                </w:p>
                <w:p>
                  <w:pPr>
                    <w:pStyle w:val="BodyText"/>
                    <w:rPr>
                      <w:rFonts w:ascii="Times New Roman"/>
                      <w:sz w:val="4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1"/>
                    <w:ind w:left="1270" w:right="10283" w:firstLine="0"/>
                    <w:jc w:val="center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Spr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141"/>
                    <w:ind w:left="1469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I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7235" w:val="left" w:leader="none"/>
                    </w:tabs>
                    <w:ind w:left="2973"/>
                  </w:pPr>
                  <w:r>
                    <w:rPr>
                      <w:w w:val="105"/>
                    </w:rPr>
                    <w:t>Správa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KRhJAP</w:t>
                    <w:tab/>
                    <w:t>Ski klub Zvofiička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z.s.</w:t>
                  </w:r>
                </w:p>
                <w:p>
                  <w:pPr>
                    <w:pStyle w:val="BodyText"/>
                    <w:tabs>
                      <w:tab w:pos="6666" w:val="left" w:leader="none"/>
                      <w:tab w:pos="7818" w:val="left" w:leader="none"/>
                    </w:tabs>
                    <w:spacing w:before="1"/>
                    <w:ind w:left="3110" w:right="2170" w:hanging="756"/>
                  </w:pPr>
                  <w:r>
                    <w:rPr>
                      <w:position w:val="1"/>
                    </w:rPr>
                    <w:t>PhDr.  Robin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Bóhnisch,</w:t>
                  </w:r>
                  <w:r>
                    <w:rPr>
                      <w:spacing w:val="2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ředitel</w:t>
                    <w:tab/>
                  </w:r>
                  <w:r>
                    <w:rPr/>
                    <w:t>Bohumír Zoubek,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Vladimír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Vincenc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position w:val="1"/>
                    </w:rPr>
                    <w:t>pronajímatel</w:t>
                    <w:tab/>
                    <w:tab/>
                  </w:r>
                  <w:r>
                    <w:rPr/>
                    <w:t>nájemce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68"/>
                    <w:ind w:left="1433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Za správnost:</w:t>
                  </w:r>
                </w:p>
                <w:p>
                  <w:pPr>
                    <w:spacing w:before="7"/>
                    <w:ind w:left="144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Bc. Oldřich Pažout</w:t>
                  </w:r>
                </w:p>
                <w:p>
                  <w:pPr>
                    <w:spacing w:before="14"/>
                    <w:ind w:left="1433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vedoucí oddělení správy majetku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8440" coordorigin="0,0" coordsize="11902,16834">
            <v:shape style="position:absolute;left:0;top:0;width:11902;height:16834" type="#_x0000_t75" stroked="false">
              <v:imagedata r:id="rId8" o:title=""/>
            </v:shape>
            <v:shape style="position:absolute;left:2160;top:3715;width:763;height:1094" type="#_x0000_t75" stroked="false">
              <v:imagedata r:id="rId9" o:title=""/>
            </v:shape>
            <v:shape style="position:absolute;left:8114;top:3420;width:2059;height:1166" type="#_x0000_t75" stroked="false">
              <v:imagedata r:id="rId10" o:title=""/>
            </v:shape>
            <v:shape style="position:absolute;left:1596;top:3119;width:9266;height:3173" coordorigin="1596,3119" coordsize="9266,3173" path="m4188,5704l2589,5704,2589,6292,4188,6292,4188,5704m4681,3119l1596,3119,1596,4579,4681,4579,4681,3119m10862,3302l5762,3302,5762,4534,10862,4534,10862,3302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7.6pt;height:843.5pt;mso-position-horizontal-relative:page;mso-position-vertical-relative:page;z-index:-8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159"/>
                    <w:ind w:left="5442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Příloha č.</w:t>
                  </w:r>
                  <w:r>
                    <w:rPr>
                      <w:spacing w:val="5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196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105"/>
                      <w:sz w:val="22"/>
                    </w:rPr>
                    <w:t>Legenda</w:t>
                  </w:r>
                </w:p>
                <w:p>
                  <w:pPr>
                    <w:spacing w:before="99"/>
                    <w:ind w:left="1986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9"/>
                    </w:rPr>
                    <w:t>•VYV! </w:t>
                  </w:r>
                  <w:r>
                    <w:rPr>
                      <w:sz w:val="15"/>
                    </w:rPr>
                    <w:t>predmetna cast pozemku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spacing w:before="0"/>
                    <w:ind w:left="1986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* podkladové mapy: katastrální mapa, ortofotomapa 2022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7.6pt;height:843.5pt;mso-position-horizontal-relative:page;mso-position-vertical-relative:page;z-index:-8392" coordorigin="0,0" coordsize="11952,16870">
            <v:shape style="position:absolute;left:0;top:0;width:11952;height:16870" type="#_x0000_t75" stroked="false">
              <v:imagedata r:id="rId11" o:title=""/>
            </v:shape>
            <v:shape style="position:absolute;left:1642;top:2686;width:8770;height:12499" type="#_x0000_t75" stroked="false">
              <v:imagedata r:id="rId12" o:title=""/>
            </v:shape>
            <w10:wrap type="none"/>
          </v:group>
        </w:pict>
      </w:r>
    </w:p>
    <w:sectPr>
      <w:pgSz w:w="11960" w:h="1687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2024-06-26T10:32:14Z</dcterms:created>
  <dcterms:modified xsi:type="dcterms:W3CDTF">2024-06-26T10:32:14Z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LastSaved">
    <vt:filetime>2024-06-26T00:00:00Z</vt:filetime>
  </property>
</Properties>
</file>