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230994/2024/Vaš UID: spuess920b86c3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780" w:right="0" w:hanging="780"/>
        <w:jc w:val="both"/>
      </w:pPr>
      <w:r>
        <w:rPr>
          <w:rStyle w:val="CharStyle3"/>
        </w:rPr>
        <w:t>(dále jen „propachtovatel“) 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b/>
          <w:bCs/>
        </w:rPr>
        <w:t xml:space="preserve">Vojtěch Král, </w:t>
      </w:r>
      <w:r>
        <w:rPr>
          <w:rStyle w:val="CharStyle3"/>
        </w:rPr>
        <w:t>r.č.: xxxxxx/xxxx, IČO: 62218361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zemědělský podnikatel - fyzická osoba nezapsaná v obchodním rejstříku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bytem: xxxxxxxxxx, 412 01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doručovací adresa: xxxxxxxxx, 412 01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300"/>
        <w:jc w:val="both"/>
      </w:pPr>
      <w:r>
        <w:rPr>
          <w:rStyle w:val="CharStyle3"/>
        </w:rPr>
        <w:t>- 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</w:r>
      <w:bookmarkEnd w:id="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28" w:lineRule="auto"/>
        <w:ind w:left="0" w:right="0" w:firstLine="0"/>
        <w:jc w:val="center"/>
      </w:pPr>
      <w:bookmarkStart w:id="5" w:name="bookmark5"/>
      <w:r>
        <w:rPr>
          <w:rStyle w:val="CharStyle10"/>
          <w:b/>
          <w:bCs/>
          <w:lang w:val="sk-SK" w:eastAsia="sk-SK" w:bidi="sk-SK"/>
        </w:rPr>
        <w:t xml:space="preserve">č. </w:t>
      </w:r>
      <w:r>
        <w:rPr>
          <w:rStyle w:val="CharStyle10"/>
          <w:b/>
          <w:bCs/>
        </w:rPr>
        <w:t>158N24/38</w:t>
      </w:r>
      <w:bookmarkEnd w:id="5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0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0" w:firstLine="0"/>
        <w:jc w:val="both"/>
      </w:pPr>
      <w:r>
        <w:rPr>
          <w:rStyle w:val="CharStyle3"/>
        </w:rPr>
        <w:t>Propachtovatel je ve smyslu zákona č. 503/2012 Sb., o Státním pozemkovém úřadu a o změně některých souvisejících zákonů, ve znění pozdějších předpisů, příslušný hospodařit s tímto zemědělským pozemkem ve vlastnictví státu vedeným u Katastrálního úřadu pro Ústecký kraj Katastrálního pracoviště Litoměřice</w:t>
      </w:r>
    </w:p>
    <w:tbl>
      <w:tblPr>
        <w:tblOverlap w:val="never"/>
        <w:jc w:val="center"/>
        <w:tblLayout w:type="fixed"/>
      </w:tblPr>
      <w:tblGrid>
        <w:gridCol w:w="1706"/>
        <w:gridCol w:w="1555"/>
        <w:gridCol w:w="1426"/>
        <w:gridCol w:w="1274"/>
        <w:gridCol w:w="1559"/>
        <w:gridCol w:w="1415"/>
        <w:gridCol w:w="1552"/>
      </w:tblGrid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obec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kat. území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druh evidence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parcela 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částečný pacht ANO/NE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výměra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druh pozemku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Travčice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Nučničky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KN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45/52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NE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62.554 m2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orná půda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>Předmět pachtu přechází z nájemní smlouvy 43N02/38 Vojtěch Král.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r>
        <w:rPr>
          <w:rStyle w:val="CharStyle5"/>
          <w:b/>
          <w:bCs/>
        </w:rPr>
        <w:t>ČI. II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1140" w:right="0" w:hanging="1140"/>
        <w:jc w:val="both"/>
      </w:pPr>
      <w:r>
        <w:rPr>
          <w:rStyle w:val="CharStyle3"/>
        </w:rPr>
        <w:t xml:space="preserve">Propachtovatel přenechává pachtýři pozemek uvedený v čl. I této smlouvy do užívání za účelem: </w:t>
      </w:r>
      <w:r>
        <w:rPr>
          <w:rStyle w:val="CharStyle3"/>
          <w:u w:val="single"/>
        </w:rPr>
        <w:t>provozování zemědělské výroby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a v souladu s podmínkami ochrany přírody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</w:rPr>
        <w:t>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220" w:line="264" w:lineRule="auto"/>
        <w:ind w:left="0" w:right="0" w:firstLine="0"/>
        <w:jc w:val="left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ve 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 w:after="0"/>
        <w:ind w:left="0" w:right="0" w:firstLine="40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7.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 w:after="0"/>
        <w:ind w:left="760" w:right="0" w:hanging="36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 w:after="0"/>
        <w:ind w:left="760" w:right="0" w:hanging="36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 w:after="0"/>
        <w:ind w:left="760" w:right="0" w:hanging="360"/>
        <w:jc w:val="both"/>
      </w:pPr>
      <w:r>
        <w:rPr>
          <w:rStyle w:val="CharStyle3"/>
        </w:rPr>
        <w:t>Stane-li se pachtýřze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 w:after="0"/>
        <w:ind w:left="760" w:right="0" w:hanging="36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>ČI. V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240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14.908,-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čtrnácttisícdevětsetosm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3.747,- Kč </w:t>
      </w:r>
      <w:r>
        <w:rPr>
          <w:rStyle w:val="CharStyle3"/>
        </w:rPr>
        <w:t>(slovy: třitisícesedmsetčtyřicetsedm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15812438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0" w:right="0" w:firstLine="90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15812438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8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Tato smlouva zaniká dnem úmrtí pachtýře.</w:t>
      </w:r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VI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860" w:right="0" w:hanging="86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ČI. VII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220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 jeho dispozičním oprávněním. V případě změny vlastnictví platí ustanovení § 2221 a § 2222 OZ.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ČI. Vlil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ČI. IX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šije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ČI. X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0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8" w:val="left"/>
        </w:tabs>
        <w:bidi w:val="0"/>
        <w:spacing w:before="0" w:after="220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ČI. XI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Tato smlouva 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ČI. XII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ČI. XIII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4460875</wp:posOffset>
                </wp:positionH>
                <wp:positionV relativeFrom="paragraph">
                  <wp:posOffset>800100</wp:posOffset>
                </wp:positionV>
                <wp:extent cx="788670" cy="6718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8670" cy="671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Vojtěch Král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pachtýř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1.25pt;margin-top:63.pt;width:62.100000000000001pt;height:52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Vojtěch Král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pachtýř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V Litoměřicích, dne 26. 6.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0" w:right="0" w:firstLine="240"/>
        <w:jc w:val="left"/>
      </w:pPr>
      <w:r>
        <w:rPr>
          <w:rStyle w:val="CharStyle3"/>
        </w:rPr>
        <w:t>Ing. Lenka Drábová vedoucí Pobočky Litoměřice Státní pozemkový úřad propachtovatel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left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</w:rPr>
        <w:t>Datum registrace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</w:rPr>
        <w:t xml:space="preserve">ID verze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9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98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 Litoměřicích, dne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559" w:right="711" w:bottom="849" w:left="623" w:header="131" w:footer="4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Heading #3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Heading #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Other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Heading #3"/>
    <w:basedOn w:val="Normal"/>
    <w:link w:val="CharStyle5"/>
    <w:pPr>
      <w:widowControl w:val="0"/>
      <w:shd w:val="clear" w:color="auto" w:fill="auto"/>
      <w:spacing w:line="266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line="228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auto"/>
      <w:spacing w:after="110" w:line="233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Other"/>
    <w:basedOn w:val="Normal"/>
    <w:link w:val="CharStyle12"/>
    <w:pPr>
      <w:widowControl w:val="0"/>
      <w:shd w:val="clear" w:color="auto" w:fill="auto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0050AA46F26A240626100844</dc:title>
  <dc:subject/>
  <dc:creator>vasakovad</dc:creator>
  <cp:keywords/>
</cp:coreProperties>
</file>