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325" w:right="1052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5211000244</w:t>
      </w:r>
    </w:p>
    <w:p>
      <w:pPr>
        <w:spacing w:line="425" w:lineRule="exact" w:before="2"/>
        <w:ind w:left="1325" w:right="105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325" w:right="106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ind w:left="0"/>
        <w:jc w:val="left"/>
        <w:rPr>
          <w:sz w:val="60"/>
        </w:rPr>
      </w:pPr>
    </w:p>
    <w:p>
      <w:pPr>
        <w:pStyle w:val="BodyText"/>
        <w:ind w:left="382"/>
        <w:jc w:val="lef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  <w:jc w:val="left"/>
      </w:pPr>
    </w:p>
    <w:p>
      <w:pPr>
        <w:pStyle w:val="Heading2"/>
        <w:spacing w:line="265" w:lineRule="exact"/>
        <w:ind w:left="382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korespondenční</w:t>
      </w:r>
      <w:r>
        <w:rPr>
          <w:spacing w:val="12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200002-</w:t>
      </w:r>
      <w:r>
        <w:rPr>
          <w:spacing w:val="-2"/>
        </w:rPr>
        <w:t>9025001/0710</w:t>
      </w:r>
    </w:p>
    <w:p>
      <w:pPr>
        <w:pStyle w:val="BodyText"/>
        <w:spacing w:line="480" w:lineRule="auto"/>
        <w:ind w:left="382" w:right="8005"/>
        <w:jc w:val="left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spacing w:before="1"/>
        <w:ind w:left="382"/>
        <w:jc w:val="left"/>
      </w:pPr>
      <w:r>
        <w:rPr/>
        <w:t>obec</w:t>
      </w:r>
      <w:r>
        <w:rPr>
          <w:spacing w:val="-4"/>
        </w:rPr>
        <w:t> </w:t>
      </w:r>
      <w:r>
        <w:rPr>
          <w:spacing w:val="-2"/>
        </w:rPr>
        <w:t>Petrůvka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kontaktní</w:t>
      </w:r>
      <w:r>
        <w:rPr>
          <w:spacing w:val="-11"/>
        </w:rPr>
        <w:t> </w:t>
      </w:r>
      <w:r>
        <w:rPr>
          <w:spacing w:val="-2"/>
        </w:rPr>
        <w:t>adresa:</w:t>
      </w:r>
      <w:r>
        <w:rPr/>
        <w:tab/>
        <w:t>Obecní</w:t>
      </w:r>
      <w:r>
        <w:rPr>
          <w:spacing w:val="-5"/>
        </w:rPr>
        <w:t> </w:t>
      </w:r>
      <w:r>
        <w:rPr/>
        <w:t>úřad</w:t>
      </w:r>
      <w:r>
        <w:rPr>
          <w:spacing w:val="-5"/>
        </w:rPr>
        <w:t> </w:t>
      </w:r>
      <w:r>
        <w:rPr/>
        <w:t>Petrůvka,</w:t>
      </w:r>
      <w:r>
        <w:rPr>
          <w:spacing w:val="-4"/>
        </w:rPr>
        <w:t> </w:t>
      </w:r>
      <w:r>
        <w:rPr/>
        <w:t>č.p.</w:t>
      </w:r>
      <w:r>
        <w:rPr>
          <w:spacing w:val="-2"/>
        </w:rPr>
        <w:t> </w:t>
      </w:r>
      <w:r>
        <w:rPr/>
        <w:t>90,</w:t>
      </w:r>
      <w:r>
        <w:rPr>
          <w:spacing w:val="-5"/>
        </w:rPr>
        <w:t> </w:t>
      </w:r>
      <w:r>
        <w:rPr/>
        <w:t>763</w:t>
      </w:r>
      <w:r>
        <w:rPr>
          <w:spacing w:val="-2"/>
        </w:rPr>
        <w:t> </w:t>
      </w:r>
      <w:r>
        <w:rPr/>
        <w:t>21</w:t>
      </w:r>
      <w:r>
        <w:rPr>
          <w:spacing w:val="-3"/>
        </w:rPr>
        <w:t> </w:t>
      </w:r>
      <w:r>
        <w:rPr>
          <w:spacing w:val="-2"/>
        </w:rPr>
        <w:t>Slavičín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68731957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>
          <w:spacing w:val="-2"/>
        </w:rPr>
        <w:t>zastoupená:</w:t>
      </w:r>
      <w:r>
        <w:rPr/>
        <w:tab/>
        <w:t>Zdenkou</w:t>
      </w:r>
      <w:r>
        <w:rPr>
          <w:spacing w:val="-2"/>
        </w:rPr>
        <w:t> </w:t>
      </w:r>
      <w:r>
        <w:rPr/>
        <w:t>S</w:t>
      </w:r>
      <w:r>
        <w:rPr>
          <w:spacing w:val="-1"/>
        </w:rPr>
        <w:t> </w:t>
      </w:r>
      <w:r>
        <w:rPr/>
        <w:t>l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n</w:t>
      </w:r>
      <w:r>
        <w:rPr>
          <w:spacing w:val="-2"/>
        </w:rPr>
        <w:t> </w:t>
      </w:r>
      <w:r>
        <w:rPr/>
        <w:t>í</w:t>
      </w:r>
      <w:r>
        <w:rPr>
          <w:spacing w:val="-3"/>
        </w:rPr>
        <w:t> </w:t>
      </w:r>
      <w:r>
        <w:rPr/>
        <w:t>k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v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u,</w:t>
      </w:r>
      <w:r>
        <w:rPr>
          <w:spacing w:val="-1"/>
        </w:rPr>
        <w:t> </w:t>
      </w:r>
      <w:r>
        <w:rPr>
          <w:spacing w:val="-2"/>
        </w:rPr>
        <w:t>starostkou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94-</w:t>
      </w:r>
      <w:r>
        <w:rPr>
          <w:spacing w:val="-2"/>
        </w:rPr>
        <w:t>8912661/0710</w:t>
      </w:r>
    </w:p>
    <w:p>
      <w:pPr>
        <w:pStyle w:val="BodyText"/>
        <w:spacing w:before="1"/>
        <w:ind w:left="382"/>
        <w:jc w:val="left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left="382"/>
        <w:jc w:val="left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2"/>
        <w:ind w:left="0"/>
        <w:jc w:val="left"/>
        <w:rPr>
          <w:sz w:val="35"/>
        </w:rPr>
      </w:pPr>
    </w:p>
    <w:p>
      <w:pPr>
        <w:pStyle w:val="Heading1"/>
      </w:pPr>
      <w:r>
        <w:rPr>
          <w:spacing w:val="-5"/>
        </w:rPr>
        <w:t>I.</w:t>
      </w:r>
    </w:p>
    <w:p>
      <w:pPr>
        <w:pStyle w:val="Heading2"/>
        <w:spacing w:before="1"/>
        <w:ind w:right="1061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ind w:right="110"/>
      </w:pPr>
      <w:r>
        <w:rPr/>
        <w:t>„Smlouva“) se uzavírá na základě Rozhodnutí ministra životního prostředí č. 5211000244 o poskytnutí finančních prostředků ze Státního fondu životního prostředí ČR ze dne 11.</w:t>
      </w:r>
      <w:r>
        <w:rPr>
          <w:spacing w:val="-1"/>
        </w:rPr>
        <w:t> </w:t>
      </w:r>
      <w:r>
        <w:rPr/>
        <w:t>4.</w:t>
      </w:r>
      <w:r>
        <w:rPr>
          <w:spacing w:val="-2"/>
        </w:rPr>
        <w:t> </w:t>
      </w:r>
      <w:r>
        <w:rPr/>
        <w:t>2023 a Směrnice Ministerstva životního prostředí č. 4/2015 o 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</w:pPr>
      <w:r>
        <w:rPr/>
        <w:t>„Směrnice</w:t>
      </w:r>
      <w:r>
        <w:rPr>
          <w:spacing w:val="-6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6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Příjemce podpory potvrzuje, že se seznámil se Směrnicí MŽP (včetně jejích příloh) a Výzvou č.</w:t>
      </w:r>
      <w:r>
        <w:rPr>
          <w:spacing w:val="18"/>
          <w:sz w:val="20"/>
        </w:rPr>
        <w:t> </w:t>
      </w:r>
      <w:r>
        <w:rPr>
          <w:sz w:val="20"/>
        </w:rPr>
        <w:t>10/2021</w:t>
      </w:r>
      <w:r>
        <w:rPr>
          <w:spacing w:val="40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384" w:header="0" w:top="1060" w:bottom="158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2563"/>
        <w:jc w:val="left"/>
      </w:pPr>
      <w:r>
        <w:rPr/>
        <w:t>„Hospodaření</w:t>
      </w:r>
      <w:r>
        <w:rPr>
          <w:spacing w:val="-6"/>
        </w:rPr>
        <w:t> </w:t>
      </w:r>
      <w:r>
        <w:rPr/>
        <w:t>se</w:t>
      </w:r>
      <w:r>
        <w:rPr>
          <w:spacing w:val="-7"/>
        </w:rPr>
        <w:t> </w:t>
      </w:r>
      <w:r>
        <w:rPr/>
        <w:t>srážkovými</w:t>
      </w:r>
      <w:r>
        <w:rPr>
          <w:spacing w:val="-6"/>
        </w:rPr>
        <w:t> </w:t>
      </w:r>
      <w:r>
        <w:rPr/>
        <w:t>vodami</w:t>
      </w:r>
      <w:r>
        <w:rPr>
          <w:spacing w:val="-6"/>
        </w:rPr>
        <w:t> </w:t>
      </w:r>
      <w:r>
        <w:rPr/>
        <w:t>v</w:t>
      </w:r>
      <w:r>
        <w:rPr>
          <w:spacing w:val="-7"/>
        </w:rPr>
        <w:t> </w:t>
      </w:r>
      <w:r>
        <w:rPr/>
        <w:t>obci</w:t>
      </w:r>
      <w:r>
        <w:rPr>
          <w:spacing w:val="-5"/>
        </w:rPr>
        <w:t> </w:t>
      </w:r>
      <w:r>
        <w:rPr>
          <w:spacing w:val="-2"/>
        </w:rPr>
        <w:t>Petrůvka“</w:t>
      </w:r>
    </w:p>
    <w:p>
      <w:pPr>
        <w:pStyle w:val="BodyText"/>
        <w:spacing w:before="121"/>
        <w:jc w:val="left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5"/>
        </w:rPr>
        <w:t> </w:t>
      </w:r>
      <w:r>
        <w:rPr/>
        <w:t>nebo</w:t>
      </w:r>
      <w:r>
        <w:rPr>
          <w:spacing w:val="-4"/>
        </w:rPr>
        <w:t> </w:t>
      </w:r>
      <w:r>
        <w:rPr/>
        <w:t>„akce“)</w:t>
      </w:r>
      <w:r>
        <w:rPr>
          <w:spacing w:val="-6"/>
        </w:rPr>
        <w:t> </w:t>
      </w:r>
      <w:r>
        <w:rPr/>
        <w:t>realizovanou</w:t>
      </w:r>
      <w:r>
        <w:rPr>
          <w:spacing w:val="-1"/>
        </w:rPr>
        <w:t> </w:t>
      </w:r>
      <w:r>
        <w:rPr/>
        <w:t>v</w:t>
      </w:r>
      <w:r>
        <w:rPr>
          <w:spacing w:val="-4"/>
        </w:rPr>
        <w:t> </w:t>
      </w:r>
      <w:r>
        <w:rPr/>
        <w:t>roce</w:t>
      </w:r>
      <w:r>
        <w:rPr>
          <w:spacing w:val="-5"/>
        </w:rPr>
        <w:t> </w:t>
      </w:r>
      <w:r>
        <w:rPr/>
        <w:t>2024.</w:t>
      </w:r>
      <w:r>
        <w:rPr>
          <w:spacing w:val="-5"/>
        </w:rPr>
        <w:t> </w:t>
      </w:r>
      <w:r>
        <w:rPr/>
        <w:t>Akce</w:t>
      </w:r>
      <w:r>
        <w:rPr>
          <w:spacing w:val="-6"/>
        </w:rPr>
        <w:t> </w:t>
      </w:r>
      <w:r>
        <w:rPr/>
        <w:t>je</w:t>
      </w:r>
      <w:r>
        <w:rPr>
          <w:spacing w:val="-5"/>
        </w:rPr>
        <w:t> </w:t>
      </w:r>
      <w:r>
        <w:rPr>
          <w:spacing w:val="-2"/>
        </w:rPr>
        <w:t>investiční.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</w:pPr>
      <w:r>
        <w:rPr>
          <w:spacing w:val="-5"/>
        </w:rPr>
        <w:t>II.</w:t>
      </w:r>
    </w:p>
    <w:p>
      <w:pPr>
        <w:pStyle w:val="Heading2"/>
        <w:spacing w:before="1"/>
        <w:ind w:right="1060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65" w:lineRule="exact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poskytnout</w:t>
      </w:r>
      <w:r>
        <w:rPr>
          <w:spacing w:val="-2"/>
          <w:sz w:val="20"/>
        </w:rPr>
        <w:t> </w:t>
      </w:r>
      <w:r>
        <w:rPr>
          <w:sz w:val="20"/>
        </w:rPr>
        <w:t>příjemci</w:t>
      </w:r>
      <w:r>
        <w:rPr>
          <w:spacing w:val="-1"/>
          <w:sz w:val="20"/>
        </w:rPr>
        <w:t> </w:t>
      </w:r>
      <w:r>
        <w:rPr>
          <w:sz w:val="20"/>
        </w:rPr>
        <w:t>podpory podporu</w:t>
      </w:r>
      <w:r>
        <w:rPr>
          <w:spacing w:val="-1"/>
          <w:sz w:val="20"/>
        </w:rPr>
        <w:t> </w:t>
      </w:r>
      <w:r>
        <w:rPr>
          <w:sz w:val="20"/>
        </w:rPr>
        <w:t>formou dotace</w:t>
      </w:r>
      <w:r>
        <w:rPr>
          <w:spacing w:val="-2"/>
          <w:sz w:val="20"/>
        </w:rPr>
        <w:t> </w:t>
      </w:r>
      <w:r>
        <w:rPr>
          <w:sz w:val="20"/>
        </w:rPr>
        <w:t>ve</w:t>
      </w:r>
      <w:r>
        <w:rPr>
          <w:spacing w:val="-2"/>
          <w:sz w:val="20"/>
        </w:rPr>
        <w:t> </w:t>
      </w:r>
      <w:r>
        <w:rPr>
          <w:sz w:val="20"/>
        </w:rPr>
        <w:t>výši</w:t>
      </w:r>
      <w:r>
        <w:rPr>
          <w:spacing w:val="5"/>
          <w:sz w:val="20"/>
        </w:rPr>
        <w:t> </w:t>
      </w:r>
      <w:r>
        <w:rPr>
          <w:b/>
          <w:sz w:val="20"/>
        </w:rPr>
        <w:t>2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474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035,67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Kč </w:t>
      </w:r>
      <w:r>
        <w:rPr>
          <w:spacing w:val="-2"/>
          <w:sz w:val="20"/>
        </w:rPr>
        <w:t>(slovy:</w:t>
      </w:r>
    </w:p>
    <w:p>
      <w:pPr>
        <w:pStyle w:val="BodyText"/>
        <w:spacing w:line="265" w:lineRule="exact"/>
      </w:pPr>
      <w:r>
        <w:rPr/>
        <w:t>dva</w:t>
      </w:r>
      <w:r>
        <w:rPr>
          <w:spacing w:val="-6"/>
        </w:rPr>
        <w:t> </w:t>
      </w:r>
      <w:r>
        <w:rPr/>
        <w:t>miliony</w:t>
      </w:r>
      <w:r>
        <w:rPr>
          <w:spacing w:val="-6"/>
        </w:rPr>
        <w:t> </w:t>
      </w:r>
      <w:r>
        <w:rPr/>
        <w:t>čtyři</w:t>
      </w:r>
      <w:r>
        <w:rPr>
          <w:spacing w:val="-5"/>
        </w:rPr>
        <w:t> </w:t>
      </w:r>
      <w:r>
        <w:rPr/>
        <w:t>sta</w:t>
      </w:r>
      <w:r>
        <w:rPr>
          <w:spacing w:val="-6"/>
        </w:rPr>
        <w:t> </w:t>
      </w:r>
      <w:r>
        <w:rPr/>
        <w:t>sedmdesát</w:t>
      </w:r>
      <w:r>
        <w:rPr>
          <w:spacing w:val="-5"/>
        </w:rPr>
        <w:t> </w:t>
      </w:r>
      <w:r>
        <w:rPr/>
        <w:t>čtyři</w:t>
      </w:r>
      <w:r>
        <w:rPr>
          <w:spacing w:val="-6"/>
        </w:rPr>
        <w:t> </w:t>
      </w:r>
      <w:r>
        <w:rPr/>
        <w:t>tisíc</w:t>
      </w:r>
      <w:r>
        <w:rPr>
          <w:spacing w:val="-5"/>
        </w:rPr>
        <w:t> </w:t>
      </w:r>
      <w:r>
        <w:rPr/>
        <w:t>třicet</w:t>
      </w:r>
      <w:r>
        <w:rPr>
          <w:spacing w:val="-6"/>
        </w:rPr>
        <w:t> </w:t>
      </w:r>
      <w:r>
        <w:rPr/>
        <w:t>pět</w:t>
      </w:r>
      <w:r>
        <w:rPr>
          <w:spacing w:val="-5"/>
        </w:rPr>
        <w:t> </w:t>
      </w:r>
      <w:r>
        <w:rPr/>
        <w:t>korun</w:t>
      </w:r>
      <w:r>
        <w:rPr>
          <w:spacing w:val="-5"/>
        </w:rPr>
        <w:t> </w:t>
      </w:r>
      <w:r>
        <w:rPr/>
        <w:t>českých</w:t>
      </w:r>
      <w:r>
        <w:rPr>
          <w:spacing w:val="-1"/>
        </w:rPr>
        <w:t> </w:t>
      </w:r>
      <w:r>
        <w:rPr/>
        <w:t>a</w:t>
      </w:r>
      <w:r>
        <w:rPr>
          <w:spacing w:val="-6"/>
        </w:rPr>
        <w:t> </w:t>
      </w:r>
      <w:r>
        <w:rPr/>
        <w:t>šedesát</w:t>
      </w:r>
      <w:r>
        <w:rPr>
          <w:spacing w:val="-5"/>
        </w:rPr>
        <w:t> </w:t>
      </w:r>
      <w:r>
        <w:rPr/>
        <w:t>sedm</w:t>
      </w:r>
      <w:r>
        <w:rPr>
          <w:spacing w:val="-4"/>
        </w:rPr>
        <w:t> </w:t>
      </w:r>
      <w:r>
        <w:rPr>
          <w:spacing w:val="-2"/>
        </w:rPr>
        <w:t>haléřů).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4"/>
          <w:sz w:val="20"/>
        </w:rPr>
        <w:t> </w:t>
      </w:r>
      <w:r>
        <w:rPr>
          <w:sz w:val="20"/>
        </w:rPr>
        <w:t>jejích příloh a činí 2 474 035,67 Kč.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100,00</w:t>
      </w:r>
      <w:r>
        <w:rPr>
          <w:spacing w:val="-5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stanovení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2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3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2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 i</w:t>
      </w:r>
      <w:r>
        <w:rPr>
          <w:spacing w:val="-2"/>
          <w:sz w:val="20"/>
        </w:rPr>
        <w:t> </w:t>
      </w:r>
      <w:r>
        <w:rPr>
          <w:sz w:val="20"/>
        </w:rPr>
        <w:t>průběžně, v</w:t>
      </w:r>
      <w:r>
        <w:rPr>
          <w:spacing w:val="-1"/>
          <w:sz w:val="20"/>
        </w:rPr>
        <w:t> </w:t>
      </w:r>
      <w:r>
        <w:rPr>
          <w:sz w:val="20"/>
        </w:rPr>
        <w:t>průběhu realizace akce) překročí základ pro stanovení podpory (popřípadě jeho část odpovídající postupu realizace akce), uhradí příjemce podpory částku tohoto překročení z vlastních zdrojů. V</w:t>
      </w:r>
      <w:r>
        <w:rPr>
          <w:spacing w:val="-2"/>
          <w:sz w:val="20"/>
        </w:rPr>
        <w:t> </w:t>
      </w:r>
      <w:r>
        <w:rPr>
          <w:sz w:val="20"/>
        </w:rPr>
        <w:t>případě, že dojde po uzavření této Smlouvy ke změně základu pro stanovení podpory podle bodu 2 nebo procentního podílu ze základu pro stanovení podpory podle bodu 3, dodatek k</w:t>
      </w:r>
      <w:r>
        <w:rPr>
          <w:spacing w:val="-2"/>
          <w:sz w:val="20"/>
        </w:rPr>
        <w:t> </w:t>
      </w:r>
      <w:r>
        <w:rPr>
          <w:sz w:val="20"/>
        </w:rPr>
        <w:t>této Smlouvě se neuzavírá, pokud nedojde současně ke změně podpory formou dotace podle bodu 1.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8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 výdajů, které vznikly a byly uhrazeny od 1. února 2020.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8" w:after="0"/>
        <w:ind w:left="665" w:right="0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61"/>
          <w:sz w:val="20"/>
        </w:rPr>
        <w:t> </w:t>
      </w:r>
      <w:r>
        <w:rPr>
          <w:sz w:val="20"/>
        </w:rPr>
        <w:t>dodavatelům</w:t>
      </w:r>
      <w:r>
        <w:rPr>
          <w:spacing w:val="64"/>
          <w:sz w:val="20"/>
        </w:rPr>
        <w:t> </w:t>
      </w:r>
      <w:r>
        <w:rPr>
          <w:sz w:val="20"/>
        </w:rPr>
        <w:t>lze</w:t>
      </w:r>
      <w:r>
        <w:rPr>
          <w:spacing w:val="6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62"/>
          <w:sz w:val="20"/>
        </w:rPr>
        <w:t> </w:t>
      </w:r>
      <w:r>
        <w:rPr>
          <w:sz w:val="20"/>
        </w:rPr>
        <w:t>poskytované</w:t>
      </w:r>
      <w:r>
        <w:rPr>
          <w:spacing w:val="62"/>
          <w:sz w:val="20"/>
        </w:rPr>
        <w:t> </w:t>
      </w:r>
      <w:r>
        <w:rPr>
          <w:sz w:val="20"/>
        </w:rPr>
        <w:t>Fondem</w:t>
      </w:r>
      <w:r>
        <w:rPr>
          <w:spacing w:val="64"/>
          <w:sz w:val="20"/>
        </w:rPr>
        <w:t> </w:t>
      </w:r>
      <w:r>
        <w:rPr>
          <w:sz w:val="20"/>
        </w:rPr>
        <w:t>hradit</w:t>
      </w:r>
      <w:r>
        <w:rPr>
          <w:spacing w:val="62"/>
          <w:sz w:val="20"/>
        </w:rPr>
        <w:t> </w:t>
      </w:r>
      <w:r>
        <w:rPr>
          <w:sz w:val="20"/>
        </w:rPr>
        <w:t>pouze</w:t>
      </w:r>
      <w:r>
        <w:rPr>
          <w:spacing w:val="62"/>
          <w:sz w:val="20"/>
        </w:rPr>
        <w:t> </w:t>
      </w:r>
      <w:r>
        <w:rPr>
          <w:sz w:val="20"/>
        </w:rPr>
        <w:t>za</w:t>
      </w:r>
      <w:r>
        <w:rPr>
          <w:spacing w:val="64"/>
          <w:sz w:val="20"/>
        </w:rPr>
        <w:t> </w:t>
      </w:r>
      <w:r>
        <w:rPr>
          <w:sz w:val="20"/>
        </w:rPr>
        <w:t>stavební</w:t>
      </w:r>
      <w:r>
        <w:rPr>
          <w:spacing w:val="64"/>
          <w:sz w:val="20"/>
        </w:rPr>
        <w:t> </w:t>
      </w:r>
      <w:r>
        <w:rPr>
          <w:sz w:val="20"/>
        </w:rPr>
        <w:t>práce,</w:t>
      </w:r>
      <w:r>
        <w:rPr>
          <w:spacing w:val="63"/>
          <w:sz w:val="20"/>
        </w:rPr>
        <w:t> </w:t>
      </w:r>
      <w:r>
        <w:rPr>
          <w:spacing w:val="-2"/>
          <w:sz w:val="20"/>
        </w:rPr>
        <w:t>služby</w:t>
      </w:r>
    </w:p>
    <w:p>
      <w:pPr>
        <w:pStyle w:val="BodyText"/>
        <w:spacing w:before="1"/>
      </w:pPr>
      <w:r>
        <w:rPr/>
        <w:t>a</w:t>
      </w:r>
      <w:r>
        <w:rPr>
          <w:spacing w:val="-6"/>
        </w:rPr>
        <w:t> </w:t>
      </w:r>
      <w:r>
        <w:rPr/>
        <w:t>dodávky</w:t>
      </w:r>
      <w:r>
        <w:rPr>
          <w:spacing w:val="-5"/>
        </w:rPr>
        <w:t> </w:t>
      </w:r>
      <w:r>
        <w:rPr/>
        <w:t>na</w:t>
      </w:r>
      <w:r>
        <w:rPr>
          <w:spacing w:val="-5"/>
        </w:rPr>
        <w:t> </w:t>
      </w:r>
      <w:r>
        <w:rPr/>
        <w:t>realizaci</w:t>
      </w:r>
      <w:r>
        <w:rPr>
          <w:spacing w:val="-5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11"/>
          <w:sz w:val="20"/>
        </w:rPr>
        <w:t> </w:t>
      </w:r>
      <w:r>
        <w:rPr>
          <w:sz w:val="20"/>
        </w:rPr>
        <w:t>určování</w:t>
      </w:r>
      <w:r>
        <w:rPr>
          <w:spacing w:val="-12"/>
          <w:sz w:val="20"/>
        </w:rPr>
        <w:t> </w:t>
      </w:r>
      <w:r>
        <w:rPr>
          <w:sz w:val="20"/>
        </w:rPr>
        <w:t>způsobilých</w:t>
      </w:r>
      <w:r>
        <w:rPr>
          <w:spacing w:val="-11"/>
          <w:sz w:val="20"/>
        </w:rPr>
        <w:t> </w:t>
      </w:r>
      <w:r>
        <w:rPr>
          <w:sz w:val="20"/>
        </w:rPr>
        <w:t>výdajů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z</w:t>
      </w:r>
      <w:r>
        <w:rPr>
          <w:spacing w:val="-10"/>
          <w:sz w:val="20"/>
        </w:rPr>
        <w:t> </w:t>
      </w:r>
      <w:r>
        <w:rPr>
          <w:sz w:val="20"/>
        </w:rPr>
        <w:t>nich</w:t>
      </w:r>
      <w:r>
        <w:rPr>
          <w:spacing w:val="-11"/>
          <w:sz w:val="20"/>
        </w:rPr>
        <w:t> </w:t>
      </w:r>
      <w:r>
        <w:rPr>
          <w:sz w:val="20"/>
        </w:rPr>
        <w:t>odvozené</w:t>
      </w:r>
      <w:r>
        <w:rPr>
          <w:spacing w:val="-10"/>
          <w:sz w:val="20"/>
        </w:rPr>
        <w:t> </w:t>
      </w:r>
      <w:r>
        <w:rPr>
          <w:sz w:val="20"/>
        </w:rPr>
        <w:t>výše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vycházet</w:t>
      </w:r>
      <w:r>
        <w:rPr>
          <w:spacing w:val="-12"/>
          <w:sz w:val="20"/>
        </w:rPr>
        <w:t> </w:t>
      </w:r>
      <w:r>
        <w:rPr>
          <w:sz w:val="20"/>
        </w:rPr>
        <w:t>ze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9"/>
          <w:sz w:val="20"/>
        </w:rPr>
        <w:t> </w:t>
      </w:r>
      <w:r>
        <w:rPr>
          <w:sz w:val="20"/>
        </w:rPr>
        <w:t>článku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9</w:t>
      </w:r>
    </w:p>
    <w:p>
      <w:pPr>
        <w:pStyle w:val="BodyText"/>
        <w:jc w:val="left"/>
      </w:pPr>
      <w:r>
        <w:rPr>
          <w:spacing w:val="-2"/>
        </w:rPr>
        <w:t>Výzvy.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ind w:right="1061"/>
      </w:pPr>
      <w:r>
        <w:rPr>
          <w:spacing w:val="-4"/>
        </w:rPr>
        <w:t>III.</w:t>
      </w:r>
    </w:p>
    <w:p>
      <w:pPr>
        <w:pStyle w:val="Heading2"/>
        <w:spacing w:before="1"/>
        <w:ind w:right="1061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1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" w:after="0"/>
        <w:ind w:left="665" w:right="116" w:hanging="284"/>
        <w:jc w:val="left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80"/>
          <w:sz w:val="20"/>
        </w:rPr>
        <w:t> </w:t>
      </w:r>
      <w:r>
        <w:rPr>
          <w:sz w:val="20"/>
        </w:rPr>
        <w:t>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1" w:hanging="284"/>
        <w:jc w:val="left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 stanoveným 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 vyplývající z níže uvedených 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> </w:t>
      </w:r>
      <w:r>
        <w:rPr>
          <w:sz w:val="20"/>
        </w:rPr>
        <w:t>splnění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8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poskytne</w:t>
      </w:r>
      <w:r>
        <w:rPr>
          <w:spacing w:val="-8"/>
          <w:sz w:val="20"/>
        </w:rPr>
        <w:t> </w:t>
      </w: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spacing w:after="1"/>
        <w:ind w:left="0"/>
        <w:jc w:val="left"/>
        <w:rPr>
          <w:sz w:val="9"/>
        </w:rPr>
      </w:pPr>
    </w:p>
    <w:tbl>
      <w:tblPr>
        <w:tblW w:w="0" w:type="auto"/>
        <w:jc w:val="left"/>
        <w:tblInd w:w="8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0"/>
        <w:gridCol w:w="4018"/>
      </w:tblGrid>
      <w:tr>
        <w:trPr>
          <w:trHeight w:val="505" w:hRule="atLeast"/>
        </w:trPr>
        <w:tc>
          <w:tcPr>
            <w:tcW w:w="4390" w:type="dxa"/>
          </w:tcPr>
          <w:p>
            <w:pPr>
              <w:pStyle w:val="TableParagraph"/>
              <w:spacing w:before="120"/>
              <w:ind w:left="1915" w:right="1907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4018" w:type="dxa"/>
          </w:tcPr>
          <w:p>
            <w:pPr>
              <w:pStyle w:val="TableParagraph"/>
              <w:spacing w:before="120"/>
              <w:ind w:left="1431" w:right="1424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4"/>
                <w:sz w:val="20"/>
              </w:rPr>
              <w:t> (Kč)</w:t>
            </w:r>
          </w:p>
        </w:tc>
      </w:tr>
      <w:tr>
        <w:trPr>
          <w:trHeight w:val="506" w:hRule="atLeast"/>
        </w:trPr>
        <w:tc>
          <w:tcPr>
            <w:tcW w:w="4390" w:type="dxa"/>
          </w:tcPr>
          <w:p>
            <w:pPr>
              <w:pStyle w:val="TableParagraph"/>
              <w:spacing w:before="120"/>
              <w:ind w:left="1915" w:right="190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4018" w:type="dxa"/>
          </w:tcPr>
          <w:p>
            <w:pPr>
              <w:pStyle w:val="TableParagraph"/>
              <w:spacing w:before="120"/>
              <w:ind w:left="1435" w:right="142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474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035,67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 (dále jen „AIS SFŽP ČR“) s</w:t>
      </w:r>
      <w:r>
        <w:rPr>
          <w:spacing w:val="-3"/>
          <w:sz w:val="20"/>
        </w:rPr>
        <w:t> </w:t>
      </w:r>
      <w:r>
        <w:rPr>
          <w:sz w:val="20"/>
        </w:rPr>
        <w:t>každou žádostí o platbu (bod 11) příslušné doklady prokazující oprávněnost vynaložených finančních prostředků.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320" w:right="1020"/>
        </w:sect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73" w:after="0"/>
        <w:ind w:left="665" w:right="12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 z povinností stanovených touto Smlouvou, či je</w:t>
      </w:r>
      <w:r>
        <w:rPr>
          <w:spacing w:val="-1"/>
          <w:sz w:val="20"/>
        </w:rPr>
        <w:t> </w:t>
      </w:r>
      <w:r>
        <w:rPr>
          <w:sz w:val="20"/>
        </w:rPr>
        <w:t>plnění některé povinnosti vážně ohroženo. To platí i pro případ, že příjemce podpory v průběhu realizace akce nehradí z vlastních zdrojů plně výdaje akce přesahující základ pro stanovení podpory.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w w:val="95"/>
          <w:sz w:val="20"/>
        </w:rPr>
        <w:t>Fond</w:t>
      </w:r>
      <w:r>
        <w:rPr>
          <w:spacing w:val="13"/>
          <w:sz w:val="20"/>
        </w:rPr>
        <w:t> </w:t>
      </w:r>
      <w:r>
        <w:rPr>
          <w:w w:val="95"/>
          <w:sz w:val="20"/>
        </w:rPr>
        <w:t>má</w:t>
      </w:r>
      <w:r>
        <w:rPr>
          <w:spacing w:val="11"/>
          <w:sz w:val="20"/>
        </w:rPr>
        <w:t> </w:t>
      </w:r>
      <w:r>
        <w:rPr>
          <w:w w:val="95"/>
          <w:sz w:val="20"/>
        </w:rPr>
        <w:t>právo</w:t>
      </w:r>
      <w:r>
        <w:rPr>
          <w:spacing w:val="11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financování</w:t>
      </w:r>
      <w:r>
        <w:rPr>
          <w:spacing w:val="12"/>
          <w:sz w:val="20"/>
        </w:rPr>
        <w:t> </w:t>
      </w:r>
      <w:r>
        <w:rPr>
          <w:w w:val="95"/>
          <w:sz w:val="20"/>
        </w:rPr>
        <w:t>akce,</w:t>
      </w:r>
      <w:r>
        <w:rPr>
          <w:spacing w:val="12"/>
          <w:sz w:val="20"/>
        </w:rPr>
        <w:t> </w:t>
      </w:r>
      <w:r>
        <w:rPr>
          <w:w w:val="95"/>
          <w:sz w:val="20"/>
        </w:rPr>
        <w:t>zejména</w:t>
      </w:r>
      <w:r>
        <w:rPr>
          <w:spacing w:val="12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výši</w:t>
      </w:r>
      <w:r>
        <w:rPr>
          <w:spacing w:val="12"/>
          <w:sz w:val="20"/>
        </w:rPr>
        <w:t> </w:t>
      </w:r>
      <w:r>
        <w:rPr>
          <w:w w:val="95"/>
          <w:sz w:val="20"/>
        </w:rPr>
        <w:t>podpory</w:t>
      </w:r>
      <w:r>
        <w:rPr>
          <w:spacing w:val="12"/>
          <w:sz w:val="20"/>
        </w:rPr>
        <w:t> </w:t>
      </w:r>
      <w:r>
        <w:rPr>
          <w:w w:val="95"/>
          <w:sz w:val="20"/>
        </w:rPr>
        <w:t>určené</w:t>
      </w:r>
      <w:r>
        <w:rPr>
          <w:spacing w:val="10"/>
          <w:sz w:val="20"/>
        </w:rPr>
        <w:t> </w:t>
      </w:r>
      <w:r>
        <w:rPr>
          <w:w w:val="95"/>
          <w:sz w:val="20"/>
        </w:rPr>
        <w:t>na</w:t>
      </w:r>
      <w:r>
        <w:rPr>
          <w:spacing w:val="12"/>
          <w:sz w:val="20"/>
        </w:rPr>
        <w:t> </w:t>
      </w:r>
      <w:r>
        <w:rPr>
          <w:w w:val="95"/>
          <w:sz w:val="20"/>
        </w:rPr>
        <w:t>jednotlivé</w:t>
      </w:r>
      <w:r>
        <w:rPr>
          <w:spacing w:val="11"/>
          <w:sz w:val="20"/>
        </w:rPr>
        <w:t> </w:t>
      </w:r>
      <w:r>
        <w:rPr>
          <w:w w:val="95"/>
          <w:sz w:val="20"/>
        </w:rPr>
        <w:t>roky</w:t>
      </w:r>
      <w:r>
        <w:rPr>
          <w:spacing w:val="12"/>
          <w:sz w:val="20"/>
        </w:rPr>
        <w:t> </w:t>
      </w:r>
      <w:r>
        <w:rPr>
          <w:spacing w:val="-2"/>
          <w:w w:val="95"/>
          <w:sz w:val="20"/>
        </w:rPr>
        <w:t>realizace</w:t>
      </w:r>
    </w:p>
    <w:p>
      <w:pPr>
        <w:pStyle w:val="BodyText"/>
      </w:pPr>
      <w:r>
        <w:rPr/>
        <w:t>akce.</w:t>
      </w:r>
      <w:r>
        <w:rPr>
          <w:spacing w:val="-8"/>
        </w:rPr>
        <w:t> </w:t>
      </w:r>
      <w:r>
        <w:rPr/>
        <w:t>V</w:t>
      </w:r>
      <w:r>
        <w:rPr>
          <w:spacing w:val="-5"/>
        </w:rPr>
        <w:t> </w:t>
      </w:r>
      <w:r>
        <w:rPr/>
        <w:t>takovém</w:t>
      </w:r>
      <w:r>
        <w:rPr>
          <w:spacing w:val="-6"/>
        </w:rPr>
        <w:t> </w:t>
      </w:r>
      <w:r>
        <w:rPr/>
        <w:t>případě</w:t>
      </w:r>
      <w:r>
        <w:rPr>
          <w:spacing w:val="-7"/>
        </w:rPr>
        <w:t> </w:t>
      </w:r>
      <w:r>
        <w:rPr/>
        <w:t>Fond</w:t>
      </w:r>
      <w:r>
        <w:rPr>
          <w:spacing w:val="-7"/>
        </w:rPr>
        <w:t> </w:t>
      </w:r>
      <w:r>
        <w:rPr/>
        <w:t>příjemci</w:t>
      </w:r>
      <w:r>
        <w:rPr>
          <w:spacing w:val="-7"/>
        </w:rPr>
        <w:t> </w:t>
      </w:r>
      <w:r>
        <w:rPr/>
        <w:t>podpory</w:t>
      </w:r>
      <w:r>
        <w:rPr>
          <w:spacing w:val="-8"/>
        </w:rPr>
        <w:t> </w:t>
      </w:r>
      <w:r>
        <w:rPr/>
        <w:t>umožní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odpovídající</w:t>
      </w:r>
      <w:r>
        <w:rPr>
          <w:spacing w:val="-7"/>
        </w:rPr>
        <w:t> </w:t>
      </w:r>
      <w:r>
        <w:rPr/>
        <w:t>změnu</w:t>
      </w:r>
      <w:r>
        <w:rPr>
          <w:spacing w:val="-7"/>
        </w:rPr>
        <w:t> </w:t>
      </w:r>
      <w:r>
        <w:rPr/>
        <w:t>termínů</w:t>
      </w:r>
      <w:r>
        <w:rPr>
          <w:spacing w:val="-7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průběhu</w:t>
      </w:r>
      <w:r>
        <w:rPr>
          <w:spacing w:val="-13"/>
          <w:sz w:val="20"/>
        </w:rPr>
        <w:t> </w:t>
      </w:r>
      <w:r>
        <w:rPr>
          <w:sz w:val="20"/>
        </w:rPr>
        <w:t>roku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poskytovat</w:t>
      </w:r>
      <w:r>
        <w:rPr>
          <w:spacing w:val="-13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závislosti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podmínek této Smlouvy. Konkrétní částky podpory budou poskytovány do úhrnné výše</w:t>
      </w:r>
      <w:r>
        <w:rPr>
          <w:spacing w:val="-1"/>
          <w:sz w:val="20"/>
        </w:rPr>
        <w:t> </w:t>
      </w:r>
      <w:r>
        <w:rPr>
          <w:sz w:val="20"/>
        </w:rPr>
        <w:t>určené Smlouvou na dané období dle Fondem akceptovaného finančně platebního kalendáře v</w:t>
      </w:r>
      <w:r>
        <w:rPr>
          <w:spacing w:val="-2"/>
          <w:sz w:val="20"/>
        </w:rPr>
        <w:t> </w:t>
      </w:r>
      <w:r>
        <w:rPr>
          <w:sz w:val="20"/>
        </w:rPr>
        <w:t>AIS SFŽP ČR a na základě žádostí</w:t>
      </w:r>
      <w:r>
        <w:rPr>
          <w:spacing w:val="40"/>
          <w:sz w:val="20"/>
        </w:rPr>
        <w:t> </w:t>
      </w:r>
      <w:r>
        <w:rPr>
          <w:sz w:val="20"/>
        </w:rPr>
        <w:t>o platbu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12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c)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80"/>
          <w:sz w:val="20"/>
        </w:rPr>
        <w:t> </w:t>
      </w:r>
      <w:r>
        <w:rPr>
          <w:sz w:val="20"/>
        </w:rPr>
        <w:t>mohou</w:t>
      </w:r>
      <w:r>
        <w:rPr>
          <w:spacing w:val="80"/>
          <w:sz w:val="20"/>
        </w:rPr>
        <w:t> </w:t>
      </w:r>
      <w:r>
        <w:rPr>
          <w:sz w:val="20"/>
        </w:rPr>
        <w:t>být</w:t>
      </w:r>
      <w:r>
        <w:rPr>
          <w:spacing w:val="80"/>
          <w:sz w:val="20"/>
        </w:rPr>
        <w:t> </w:t>
      </w:r>
      <w:r>
        <w:rPr>
          <w:sz w:val="20"/>
        </w:rPr>
        <w:t>předloženy</w:t>
      </w:r>
      <w:r>
        <w:rPr>
          <w:spacing w:val="80"/>
          <w:sz w:val="20"/>
        </w:rPr>
        <w:t> </w:t>
      </w:r>
      <w:r>
        <w:rPr>
          <w:sz w:val="20"/>
        </w:rPr>
        <w:t>faktury</w:t>
      </w:r>
      <w:r>
        <w:rPr>
          <w:spacing w:val="80"/>
          <w:sz w:val="20"/>
        </w:rPr>
        <w:t> </w:t>
      </w:r>
      <w:r>
        <w:rPr>
          <w:sz w:val="20"/>
        </w:rPr>
        <w:t>již</w:t>
      </w:r>
      <w:r>
        <w:rPr>
          <w:spacing w:val="80"/>
          <w:sz w:val="20"/>
        </w:rPr>
        <w:t> </w:t>
      </w:r>
      <w:r>
        <w:rPr>
          <w:sz w:val="20"/>
        </w:rPr>
        <w:t>uhrazené,</w:t>
      </w:r>
      <w:r>
        <w:rPr>
          <w:spacing w:val="80"/>
          <w:sz w:val="20"/>
        </w:rPr>
        <w:t> </w:t>
      </w:r>
      <w:r>
        <w:rPr>
          <w:sz w:val="20"/>
        </w:rPr>
        <w:t>částečně</w:t>
      </w:r>
      <w:r>
        <w:rPr>
          <w:spacing w:val="80"/>
          <w:sz w:val="20"/>
        </w:rPr>
        <w:t> </w:t>
      </w:r>
      <w:r>
        <w:rPr>
          <w:sz w:val="20"/>
        </w:rPr>
        <w:t>uhrazené</w:t>
      </w:r>
      <w:r>
        <w:rPr>
          <w:spacing w:val="80"/>
          <w:sz w:val="20"/>
        </w:rPr>
        <w:t> </w:t>
      </w:r>
      <w:r>
        <w:rPr>
          <w:sz w:val="20"/>
        </w:rPr>
        <w:t>či</w:t>
      </w:r>
      <w:r>
        <w:rPr>
          <w:spacing w:val="80"/>
          <w:sz w:val="20"/>
        </w:rPr>
        <w:t> </w:t>
      </w:r>
      <w:r>
        <w:rPr>
          <w:sz w:val="20"/>
        </w:rPr>
        <w:t>neuhrazené</w:t>
      </w:r>
      <w:r>
        <w:rPr>
          <w:spacing w:val="80"/>
          <w:sz w:val="20"/>
        </w:rPr>
        <w:t> </w:t>
      </w:r>
      <w:r>
        <w:rPr>
          <w:sz w:val="20"/>
        </w:rPr>
        <w:t>faktury;</w:t>
      </w:r>
      <w:r>
        <w:rPr>
          <w:spacing w:val="40"/>
          <w:sz w:val="20"/>
        </w:rPr>
        <w:t> </w:t>
      </w:r>
      <w:r>
        <w:rPr>
          <w:sz w:val="20"/>
        </w:rPr>
        <w:t>u</w:t>
      </w:r>
      <w:r>
        <w:rPr>
          <w:spacing w:val="-2"/>
          <w:sz w:val="20"/>
        </w:rPr>
        <w:t> </w:t>
      </w:r>
      <w:r>
        <w:rPr>
          <w:sz w:val="20"/>
        </w:rPr>
        <w:t>neuhrazených faktur příjemce podpory prokáže jejich úhradu doložením relevantních podkladů nejpozději</w:t>
      </w:r>
      <w:r>
        <w:rPr>
          <w:spacing w:val="-13"/>
          <w:sz w:val="20"/>
        </w:rPr>
        <w:t> </w:t>
      </w:r>
      <w:r>
        <w:rPr>
          <w:sz w:val="20"/>
        </w:rPr>
        <w:t>do</w:t>
      </w:r>
      <w:r>
        <w:rPr>
          <w:spacing w:val="-11"/>
          <w:sz w:val="20"/>
        </w:rPr>
        <w:t> </w:t>
      </w:r>
      <w:r>
        <w:rPr>
          <w:sz w:val="20"/>
        </w:rPr>
        <w:t>15</w:t>
      </w:r>
      <w:r>
        <w:rPr>
          <w:spacing w:val="-12"/>
          <w:sz w:val="20"/>
        </w:rPr>
        <w:t> </w:t>
      </w:r>
      <w:r>
        <w:rPr>
          <w:sz w:val="20"/>
        </w:rPr>
        <w:t>dnů</w:t>
      </w:r>
      <w:r>
        <w:rPr>
          <w:spacing w:val="-12"/>
          <w:sz w:val="20"/>
        </w:rPr>
        <w:t> </w:t>
      </w:r>
      <w:r>
        <w:rPr>
          <w:sz w:val="20"/>
        </w:rPr>
        <w:t>od</w:t>
      </w:r>
      <w:r>
        <w:rPr>
          <w:spacing w:val="-12"/>
          <w:sz w:val="20"/>
        </w:rPr>
        <w:t> </w:t>
      </w:r>
      <w:r>
        <w:rPr>
          <w:sz w:val="20"/>
        </w:rPr>
        <w:t>uvolnění</w:t>
      </w:r>
      <w:r>
        <w:rPr>
          <w:spacing w:val="-12"/>
          <w:sz w:val="20"/>
        </w:rPr>
        <w:t> </w:t>
      </w:r>
      <w:r>
        <w:rPr>
          <w:sz w:val="20"/>
        </w:rPr>
        <w:t>finančních</w:t>
      </w:r>
      <w:r>
        <w:rPr>
          <w:spacing w:val="-12"/>
          <w:sz w:val="20"/>
        </w:rPr>
        <w:t> </w:t>
      </w:r>
      <w:r>
        <w:rPr>
          <w:sz w:val="20"/>
        </w:rPr>
        <w:t>prostředků</w:t>
      </w:r>
      <w:r>
        <w:rPr>
          <w:spacing w:val="-12"/>
          <w:sz w:val="20"/>
        </w:rPr>
        <w:t> </w:t>
      </w:r>
      <w:r>
        <w:rPr>
          <w:sz w:val="20"/>
        </w:rPr>
        <w:t>Fondem.</w:t>
      </w:r>
      <w:r>
        <w:rPr>
          <w:spacing w:val="-12"/>
          <w:sz w:val="20"/>
        </w:rPr>
        <w:t> </w:t>
      </w: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akceptuje</w:t>
      </w:r>
      <w:r>
        <w:rPr>
          <w:spacing w:val="-11"/>
          <w:sz w:val="20"/>
        </w:rPr>
        <w:t> </w:t>
      </w:r>
      <w:r>
        <w:rPr>
          <w:sz w:val="20"/>
        </w:rPr>
        <w:t>předložení</w:t>
      </w:r>
      <w:r>
        <w:rPr>
          <w:spacing w:val="-12"/>
          <w:sz w:val="20"/>
        </w:rPr>
        <w:t> </w:t>
      </w:r>
      <w:r>
        <w:rPr>
          <w:sz w:val="20"/>
        </w:rPr>
        <w:t>uhrazených faktur i z roku předcházejícího uvolnění podpory, pokud fakturace odpovídá termínům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takové</w:t>
      </w:r>
      <w:r>
        <w:rPr>
          <w:spacing w:val="-6"/>
          <w:sz w:val="20"/>
        </w:rPr>
        <w:t> </w:t>
      </w:r>
      <w:r>
        <w:rPr>
          <w:sz w:val="20"/>
        </w:rPr>
        <w:t>pokyny</w:t>
      </w:r>
      <w:r>
        <w:rPr>
          <w:spacing w:val="-6"/>
          <w:sz w:val="20"/>
        </w:rPr>
        <w:t> </w:t>
      </w:r>
      <w:r>
        <w:rPr>
          <w:sz w:val="20"/>
        </w:rPr>
        <w:t>vydané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splnit.</w:t>
      </w:r>
      <w:r>
        <w:rPr>
          <w:spacing w:val="-6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mohou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uvedeny</w:t>
      </w:r>
      <w:r>
        <w:rPr>
          <w:spacing w:val="-4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1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4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 nezbytných</w:t>
      </w:r>
      <w:r>
        <w:rPr>
          <w:spacing w:val="-10"/>
          <w:sz w:val="20"/>
        </w:rPr>
        <w:t> </w:t>
      </w:r>
      <w:r>
        <w:rPr>
          <w:sz w:val="20"/>
        </w:rPr>
        <w:t>nákladů</w:t>
      </w:r>
      <w:r>
        <w:rPr>
          <w:spacing w:val="-10"/>
          <w:sz w:val="20"/>
        </w:rPr>
        <w:t> </w:t>
      </w:r>
      <w:r>
        <w:rPr>
          <w:sz w:val="20"/>
        </w:rPr>
        <w:t>vynaložených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provedené</w:t>
      </w:r>
      <w:r>
        <w:rPr>
          <w:spacing w:val="-11"/>
          <w:sz w:val="20"/>
        </w:rPr>
        <w:t> </w:t>
      </w:r>
      <w:r>
        <w:rPr>
          <w:sz w:val="20"/>
        </w:rPr>
        <w:t>práce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spotřebu</w:t>
      </w:r>
      <w:r>
        <w:rPr>
          <w:spacing w:val="-10"/>
          <w:sz w:val="20"/>
        </w:rPr>
        <w:t> </w:t>
      </w:r>
      <w:r>
        <w:rPr>
          <w:sz w:val="20"/>
        </w:rPr>
        <w:t>materiálu.</w:t>
      </w:r>
      <w:r>
        <w:rPr>
          <w:spacing w:val="-11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12"/>
          <w:sz w:val="20"/>
        </w:rPr>
        <w:t> </w:t>
      </w:r>
      <w:r>
        <w:rPr>
          <w:sz w:val="20"/>
        </w:rPr>
        <w:t>přitom povinen respektovat případné pokyny Fondu na prokázání uvedených nákladů odpovídajícími účetními </w:t>
      </w:r>
      <w:r>
        <w:rPr>
          <w:spacing w:val="-2"/>
          <w:sz w:val="20"/>
        </w:rPr>
        <w:t>doklady.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5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320" w:right="1020"/>
        </w:sect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8"/>
        <w:ind w:left="0"/>
        <w:jc w:val="left"/>
        <w:rPr>
          <w:sz w:val="37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spacing w:before="73"/>
        <w:ind w:left="2640" w:right="4677" w:firstLine="0"/>
        <w:jc w:val="center"/>
        <w:rPr>
          <w:b/>
          <w:sz w:val="20"/>
        </w:rPr>
      </w:pPr>
      <w:r>
        <w:rPr/>
        <w:br w:type="column"/>
      </w:r>
      <w:r>
        <w:rPr>
          <w:b/>
          <w:spacing w:val="-5"/>
          <w:sz w:val="20"/>
        </w:rPr>
        <w:t>IV.</w:t>
      </w:r>
    </w:p>
    <w:p>
      <w:pPr>
        <w:pStyle w:val="Heading2"/>
        <w:ind w:left="270" w:right="2309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spacing w:after="0"/>
        <w:sectPr>
          <w:pgSz w:w="12240" w:h="15840"/>
          <w:pgMar w:header="0" w:footer="1384" w:top="1060" w:bottom="1660" w:left="1320" w:right="1020"/>
          <w:cols w:num="2" w:equalWidth="0">
            <w:col w:w="2266" w:space="40"/>
            <w:col w:w="7594"/>
          </w:cols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splnit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234" w:val="left" w:leader="none"/>
        </w:tabs>
        <w:spacing w:line="240" w:lineRule="auto" w:before="121" w:after="0"/>
        <w:ind w:left="1234" w:right="116" w:hanging="286"/>
        <w:jc w:val="both"/>
        <w:rPr>
          <w:sz w:val="20"/>
        </w:rPr>
      </w:pP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provedena</w:t>
      </w:r>
      <w:r>
        <w:rPr>
          <w:spacing w:val="-14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Fondem</w:t>
      </w:r>
      <w:r>
        <w:rPr>
          <w:spacing w:val="-14"/>
          <w:sz w:val="20"/>
        </w:rPr>
        <w:t> </w:t>
      </w:r>
      <w:r>
        <w:rPr>
          <w:sz w:val="20"/>
        </w:rPr>
        <w:t>odsouhlasené</w:t>
      </w:r>
      <w:r>
        <w:rPr>
          <w:spacing w:val="-14"/>
          <w:sz w:val="20"/>
        </w:rPr>
        <w:t> </w:t>
      </w:r>
      <w:r>
        <w:rPr>
          <w:sz w:val="20"/>
        </w:rPr>
        <w:t>projektové</w:t>
      </w:r>
      <w:r>
        <w:rPr>
          <w:spacing w:val="-13"/>
          <w:sz w:val="20"/>
        </w:rPr>
        <w:t> </w:t>
      </w:r>
      <w:r>
        <w:rPr>
          <w:sz w:val="20"/>
        </w:rPr>
        <w:t>dokumentace,</w:t>
      </w:r>
      <w:r>
        <w:rPr>
          <w:spacing w:val="-14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dokumentace žádosti,</w:t>
      </w:r>
      <w:r>
        <w:rPr>
          <w:spacing w:val="15"/>
          <w:sz w:val="20"/>
        </w:rPr>
        <w:t> </w:t>
      </w:r>
      <w:r>
        <w:rPr>
          <w:sz w:val="20"/>
        </w:rPr>
        <w:t>podle</w:t>
      </w:r>
      <w:r>
        <w:rPr>
          <w:spacing w:val="14"/>
          <w:sz w:val="20"/>
        </w:rPr>
        <w:t> </w:t>
      </w:r>
      <w:r>
        <w:rPr>
          <w:sz w:val="20"/>
        </w:rPr>
        <w:t>dokumentace</w:t>
      </w:r>
      <w:r>
        <w:rPr>
          <w:spacing w:val="14"/>
          <w:sz w:val="20"/>
        </w:rPr>
        <w:t> </w:t>
      </w:r>
      <w:r>
        <w:rPr>
          <w:sz w:val="20"/>
        </w:rPr>
        <w:t>výběrového</w:t>
      </w:r>
      <w:r>
        <w:rPr>
          <w:spacing w:val="16"/>
          <w:sz w:val="20"/>
        </w:rPr>
        <w:t> </w:t>
      </w:r>
      <w:r>
        <w:rPr>
          <w:sz w:val="20"/>
        </w:rPr>
        <w:t>řízení</w:t>
      </w:r>
      <w:r>
        <w:rPr>
          <w:spacing w:val="15"/>
          <w:sz w:val="20"/>
        </w:rPr>
        <w:t> </w:t>
      </w:r>
      <w:r>
        <w:rPr>
          <w:sz w:val="20"/>
        </w:rPr>
        <w:t>včetně</w:t>
      </w:r>
      <w:r>
        <w:rPr>
          <w:spacing w:val="16"/>
          <w:sz w:val="20"/>
        </w:rPr>
        <w:t> </w:t>
      </w:r>
      <w:r>
        <w:rPr>
          <w:sz w:val="20"/>
        </w:rPr>
        <w:t>smlouvy</w:t>
      </w:r>
      <w:r>
        <w:rPr>
          <w:spacing w:val="14"/>
          <w:sz w:val="20"/>
        </w:rPr>
        <w:t> </w:t>
      </w:r>
      <w:r>
        <w:rPr>
          <w:sz w:val="20"/>
        </w:rPr>
        <w:t>o</w:t>
      </w:r>
      <w:r>
        <w:rPr>
          <w:spacing w:val="15"/>
          <w:sz w:val="20"/>
        </w:rPr>
        <w:t> </w:t>
      </w:r>
      <w:r>
        <w:rPr>
          <w:sz w:val="20"/>
        </w:rPr>
        <w:t>dílo,</w:t>
      </w:r>
      <w:r>
        <w:rPr>
          <w:spacing w:val="15"/>
          <w:sz w:val="20"/>
        </w:rPr>
        <w:t> </w:t>
      </w:r>
      <w:r>
        <w:rPr>
          <w:sz w:val="20"/>
        </w:rPr>
        <w:t>včetně</w:t>
      </w:r>
      <w:r>
        <w:rPr>
          <w:spacing w:val="14"/>
          <w:sz w:val="20"/>
        </w:rPr>
        <w:t> </w:t>
      </w:r>
      <w:r>
        <w:rPr>
          <w:sz w:val="20"/>
        </w:rPr>
        <w:t>případných</w:t>
      </w:r>
      <w:r>
        <w:rPr>
          <w:spacing w:val="15"/>
          <w:sz w:val="20"/>
        </w:rPr>
        <w:t> </w:t>
      </w:r>
      <w:r>
        <w:rPr>
          <w:sz w:val="20"/>
        </w:rPr>
        <w:t>změn a doplňků těchto dokumentů odsouhlasených Fondem,</w:t>
      </w:r>
    </w:p>
    <w:p>
      <w:pPr>
        <w:pStyle w:val="ListParagraph"/>
        <w:numPr>
          <w:ilvl w:val="2"/>
          <w:numId w:val="4"/>
        </w:numPr>
        <w:tabs>
          <w:tab w:pos="1234" w:val="left" w:leader="none"/>
        </w:tabs>
        <w:spacing w:line="240" w:lineRule="auto" w:before="118" w:after="0"/>
        <w:ind w:left="1234" w:right="114" w:hanging="286"/>
        <w:jc w:val="both"/>
        <w:rPr>
          <w:sz w:val="20"/>
        </w:rPr>
      </w:pPr>
      <w:r>
        <w:rPr>
          <w:sz w:val="20"/>
        </w:rPr>
        <w:t>akce</w:t>
      </w:r>
      <w:r>
        <w:rPr>
          <w:spacing w:val="-1"/>
          <w:sz w:val="20"/>
        </w:rPr>
        <w:t> </w:t>
      </w:r>
      <w:r>
        <w:rPr>
          <w:sz w:val="20"/>
        </w:rPr>
        <w:t>bude</w:t>
      </w:r>
      <w:r>
        <w:rPr>
          <w:spacing w:val="-1"/>
          <w:sz w:val="20"/>
        </w:rPr>
        <w:t> </w:t>
      </w:r>
      <w:r>
        <w:rPr>
          <w:sz w:val="20"/>
        </w:rPr>
        <w:t>provedena v předpokládaném rozsahu, tj. dojde</w:t>
      </w:r>
      <w:r>
        <w:rPr>
          <w:spacing w:val="-1"/>
          <w:sz w:val="20"/>
        </w:rPr>
        <w:t> </w:t>
      </w:r>
      <w:r>
        <w:rPr>
          <w:sz w:val="20"/>
        </w:rPr>
        <w:t>k vybudování tří akumulačních nádrží ve</w:t>
      </w:r>
      <w:r>
        <w:rPr>
          <w:spacing w:val="-7"/>
          <w:sz w:val="20"/>
        </w:rPr>
        <w:t> </w:t>
      </w:r>
      <w:r>
        <w:rPr>
          <w:sz w:val="20"/>
        </w:rPr>
        <w:t>dvou</w:t>
      </w:r>
      <w:r>
        <w:rPr>
          <w:spacing w:val="-6"/>
          <w:sz w:val="20"/>
        </w:rPr>
        <w:t> </w:t>
      </w:r>
      <w:r>
        <w:rPr>
          <w:sz w:val="20"/>
        </w:rPr>
        <w:t>lokalitách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výměně</w:t>
      </w:r>
      <w:r>
        <w:rPr>
          <w:spacing w:val="-7"/>
          <w:sz w:val="20"/>
        </w:rPr>
        <w:t> </w:t>
      </w:r>
      <w:r>
        <w:rPr>
          <w:sz w:val="20"/>
        </w:rPr>
        <w:t>stávajících</w:t>
      </w:r>
      <w:r>
        <w:rPr>
          <w:spacing w:val="-6"/>
          <w:sz w:val="20"/>
        </w:rPr>
        <w:t> </w:t>
      </w:r>
      <w:r>
        <w:rPr>
          <w:sz w:val="20"/>
        </w:rPr>
        <w:t>zpevněných</w:t>
      </w:r>
      <w:r>
        <w:rPr>
          <w:spacing w:val="-6"/>
          <w:sz w:val="20"/>
        </w:rPr>
        <w:t> </w:t>
      </w:r>
      <w:r>
        <w:rPr>
          <w:sz w:val="20"/>
        </w:rPr>
        <w:t>ploch</w:t>
      </w:r>
      <w:r>
        <w:rPr>
          <w:spacing w:val="-6"/>
          <w:sz w:val="20"/>
        </w:rPr>
        <w:t> </w:t>
      </w:r>
      <w:r>
        <w:rPr>
          <w:sz w:val="20"/>
        </w:rPr>
        <w:t>za</w:t>
      </w:r>
      <w:r>
        <w:rPr>
          <w:spacing w:val="-7"/>
          <w:sz w:val="20"/>
        </w:rPr>
        <w:t> </w:t>
      </w:r>
      <w:r>
        <w:rPr>
          <w:sz w:val="20"/>
        </w:rPr>
        <w:t>propustnou</w:t>
      </w:r>
      <w:r>
        <w:rPr>
          <w:spacing w:val="-6"/>
          <w:sz w:val="20"/>
        </w:rPr>
        <w:t> </w:t>
      </w:r>
      <w:r>
        <w:rPr>
          <w:sz w:val="20"/>
        </w:rPr>
        <w:t>dlažbu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8"/>
          <w:sz w:val="20"/>
        </w:rPr>
        <w:t> </w:t>
      </w:r>
      <w:r>
        <w:rPr>
          <w:sz w:val="20"/>
        </w:rPr>
        <w:t>k.</w:t>
      </w:r>
      <w:r>
        <w:rPr>
          <w:spacing w:val="-6"/>
          <w:sz w:val="20"/>
        </w:rPr>
        <w:t> </w:t>
      </w:r>
      <w:r>
        <w:rPr>
          <w:sz w:val="20"/>
        </w:rPr>
        <w:t>ú.</w:t>
      </w:r>
      <w:r>
        <w:rPr>
          <w:spacing w:val="-6"/>
          <w:sz w:val="20"/>
        </w:rPr>
        <w:t> </w:t>
      </w:r>
      <w:r>
        <w:rPr>
          <w:sz w:val="20"/>
        </w:rPr>
        <w:t>Petrůvka</w:t>
      </w:r>
      <w:r>
        <w:rPr>
          <w:spacing w:val="-7"/>
          <w:sz w:val="20"/>
        </w:rPr>
        <w:t> </w:t>
      </w:r>
      <w:r>
        <w:rPr>
          <w:sz w:val="20"/>
        </w:rPr>
        <w:t>u </w:t>
      </w:r>
      <w:r>
        <w:rPr>
          <w:spacing w:val="-2"/>
          <w:sz w:val="20"/>
        </w:rPr>
        <w:t>Slavičína,</w:t>
      </w:r>
    </w:p>
    <w:p>
      <w:pPr>
        <w:pStyle w:val="ListParagraph"/>
        <w:numPr>
          <w:ilvl w:val="2"/>
          <w:numId w:val="4"/>
        </w:numPr>
        <w:tabs>
          <w:tab w:pos="1234" w:val="left" w:leader="none"/>
        </w:tabs>
        <w:spacing w:line="240" w:lineRule="auto" w:before="122" w:after="0"/>
        <w:ind w:left="1234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naplněn</w:t>
      </w:r>
      <w:r>
        <w:rPr>
          <w:spacing w:val="-6"/>
          <w:sz w:val="20"/>
        </w:rPr>
        <w:t> </w:t>
      </w:r>
      <w:r>
        <w:rPr>
          <w:sz w:val="20"/>
        </w:rPr>
        <w:t>indikátor</w:t>
      </w:r>
      <w:r>
        <w:rPr>
          <w:spacing w:val="-5"/>
          <w:sz w:val="20"/>
        </w:rPr>
        <w:t> </w:t>
      </w:r>
      <w:r>
        <w:rPr>
          <w:sz w:val="20"/>
        </w:rPr>
        <w:t>„Objem</w:t>
      </w:r>
      <w:r>
        <w:rPr>
          <w:spacing w:val="-5"/>
          <w:sz w:val="20"/>
        </w:rPr>
        <w:t> </w:t>
      </w:r>
      <w:r>
        <w:rPr>
          <w:sz w:val="20"/>
        </w:rPr>
        <w:t>zadržené</w:t>
      </w:r>
      <w:r>
        <w:rPr>
          <w:spacing w:val="-6"/>
          <w:sz w:val="20"/>
        </w:rPr>
        <w:t> </w:t>
      </w:r>
      <w:r>
        <w:rPr>
          <w:sz w:val="20"/>
        </w:rPr>
        <w:t>srážkové</w:t>
      </w:r>
      <w:r>
        <w:rPr>
          <w:spacing w:val="-7"/>
          <w:sz w:val="20"/>
        </w:rPr>
        <w:t> </w:t>
      </w:r>
      <w:r>
        <w:rPr>
          <w:sz w:val="20"/>
        </w:rPr>
        <w:t>vody“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rozsahu</w:t>
      </w:r>
      <w:r>
        <w:rPr>
          <w:spacing w:val="-6"/>
          <w:sz w:val="20"/>
        </w:rPr>
        <w:t> </w:t>
      </w:r>
      <w:r>
        <w:rPr>
          <w:sz w:val="20"/>
        </w:rPr>
        <w:t>45</w:t>
      </w:r>
      <w:r>
        <w:rPr>
          <w:spacing w:val="-5"/>
          <w:sz w:val="20"/>
        </w:rPr>
        <w:t> m</w:t>
      </w:r>
      <w:r>
        <w:rPr>
          <w:spacing w:val="-5"/>
          <w:position w:val="7"/>
          <w:sz w:val="13"/>
        </w:rPr>
        <w:t>3</w:t>
      </w:r>
      <w:r>
        <w:rPr>
          <w:spacing w:val="-5"/>
          <w:sz w:val="20"/>
        </w:rPr>
        <w:t>,</w:t>
      </w:r>
    </w:p>
    <w:p>
      <w:pPr>
        <w:pStyle w:val="ListParagraph"/>
        <w:numPr>
          <w:ilvl w:val="2"/>
          <w:numId w:val="4"/>
        </w:numPr>
        <w:tabs>
          <w:tab w:pos="1234" w:val="left" w:leader="none"/>
        </w:tabs>
        <w:spacing w:line="240" w:lineRule="auto" w:before="120" w:after="0"/>
        <w:ind w:left="1234" w:right="106" w:hanging="286"/>
        <w:jc w:val="both"/>
        <w:rPr>
          <w:sz w:val="20"/>
        </w:rPr>
      </w:pP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provedena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pozemcích,</w:t>
      </w:r>
      <w:r>
        <w:rPr>
          <w:spacing w:val="-14"/>
          <w:sz w:val="20"/>
        </w:rPr>
        <w:t> </w:t>
      </w:r>
      <w:r>
        <w:rPr>
          <w:sz w:val="20"/>
        </w:rPr>
        <w:t>jejichž</w:t>
      </w:r>
      <w:r>
        <w:rPr>
          <w:spacing w:val="-14"/>
          <w:sz w:val="20"/>
        </w:rPr>
        <w:t> </w:t>
      </w:r>
      <w:r>
        <w:rPr>
          <w:sz w:val="20"/>
        </w:rPr>
        <w:t>seznam</w:t>
      </w:r>
      <w:r>
        <w:rPr>
          <w:spacing w:val="-13"/>
          <w:sz w:val="20"/>
        </w:rPr>
        <w:t> </w:t>
      </w:r>
      <w:r>
        <w:rPr>
          <w:sz w:val="20"/>
        </w:rPr>
        <w:t>předložil</w:t>
      </w:r>
      <w:r>
        <w:rPr>
          <w:spacing w:val="-14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dotace</w:t>
      </w:r>
      <w:r>
        <w:rPr>
          <w:spacing w:val="-13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není-li</w:t>
      </w:r>
      <w:r>
        <w:rPr>
          <w:spacing w:val="-14"/>
          <w:sz w:val="20"/>
        </w:rPr>
        <w:t> </w:t>
      </w:r>
      <w:r>
        <w:rPr>
          <w:sz w:val="20"/>
        </w:rPr>
        <w:t>jejich vlastníkem</w:t>
      </w:r>
      <w:r>
        <w:rPr>
          <w:spacing w:val="-4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nájemcem,</w:t>
      </w:r>
      <w:r>
        <w:rPr>
          <w:spacing w:val="-6"/>
          <w:sz w:val="20"/>
        </w:rPr>
        <w:t> </w:t>
      </w:r>
      <w:r>
        <w:rPr>
          <w:sz w:val="20"/>
        </w:rPr>
        <w:t>tak</w:t>
      </w:r>
      <w:r>
        <w:rPr>
          <w:spacing w:val="-5"/>
          <w:sz w:val="20"/>
        </w:rPr>
        <w:t> </w:t>
      </w:r>
      <w:r>
        <w:rPr>
          <w:sz w:val="20"/>
        </w:rPr>
        <w:t>příjemce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disponuje</w:t>
      </w:r>
      <w:r>
        <w:rPr>
          <w:spacing w:val="-7"/>
          <w:sz w:val="20"/>
        </w:rPr>
        <w:t> </w:t>
      </w:r>
      <w:r>
        <w:rPr>
          <w:sz w:val="20"/>
        </w:rPr>
        <w:t>písemným</w:t>
      </w:r>
      <w:r>
        <w:rPr>
          <w:spacing w:val="-6"/>
          <w:sz w:val="20"/>
        </w:rPr>
        <w:t> </w:t>
      </w:r>
      <w:r>
        <w:rPr>
          <w:sz w:val="20"/>
        </w:rPr>
        <w:t>dokumentem,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1"/>
          <w:sz w:val="20"/>
        </w:rPr>
        <w:t> </w:t>
      </w:r>
      <w:r>
        <w:rPr>
          <w:sz w:val="20"/>
        </w:rPr>
        <w:t>vlastníci dotčených</w:t>
      </w:r>
      <w:r>
        <w:rPr>
          <w:spacing w:val="-1"/>
          <w:sz w:val="20"/>
        </w:rPr>
        <w:t> </w:t>
      </w:r>
      <w:r>
        <w:rPr>
          <w:sz w:val="20"/>
        </w:rPr>
        <w:t>pozemků vyslovili</w:t>
      </w:r>
      <w:r>
        <w:rPr>
          <w:spacing w:val="-2"/>
          <w:sz w:val="20"/>
        </w:rPr>
        <w:t> </w:t>
      </w:r>
      <w:r>
        <w:rPr>
          <w:sz w:val="20"/>
        </w:rPr>
        <w:t>souhlas</w:t>
      </w:r>
      <w:r>
        <w:rPr>
          <w:spacing w:val="-3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realizací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a zajištěním</w:t>
      </w:r>
      <w:r>
        <w:rPr>
          <w:spacing w:val="-1"/>
          <w:sz w:val="20"/>
        </w:rPr>
        <w:t> </w:t>
      </w:r>
      <w:r>
        <w:rPr>
          <w:sz w:val="20"/>
        </w:rPr>
        <w:t>udržitelnosti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po</w:t>
      </w:r>
      <w:r>
        <w:rPr>
          <w:spacing w:val="-1"/>
          <w:sz w:val="20"/>
        </w:rPr>
        <w:t> </w:t>
      </w:r>
      <w:r>
        <w:rPr>
          <w:sz w:val="20"/>
        </w:rPr>
        <w:t>dobu 5</w:t>
      </w:r>
      <w:r>
        <w:rPr>
          <w:spacing w:val="-3"/>
          <w:sz w:val="20"/>
        </w:rPr>
        <w:t> </w:t>
      </w:r>
      <w:r>
        <w:rPr>
          <w:sz w:val="20"/>
        </w:rPr>
        <w:t>let od ukončení realizace projektu (příslušné doklady byly příjemcem podpory Fondu předány),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234" w:val="left" w:leader="none"/>
        </w:tabs>
        <w:spacing w:line="240" w:lineRule="auto" w:before="120" w:after="0"/>
        <w:ind w:left="1234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234" w:val="left" w:leader="none"/>
        </w:tabs>
        <w:spacing w:line="240" w:lineRule="auto" w:before="120" w:after="0"/>
        <w:ind w:left="1234" w:right="0" w:hanging="286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34"/>
          <w:sz w:val="20"/>
        </w:rPr>
        <w:t> </w:t>
      </w:r>
      <w:r>
        <w:rPr>
          <w:sz w:val="20"/>
        </w:rPr>
        <w:t>že</w:t>
      </w:r>
      <w:r>
        <w:rPr>
          <w:spacing w:val="35"/>
          <w:sz w:val="20"/>
        </w:rPr>
        <w:t> </w:t>
      </w:r>
      <w:r>
        <w:rPr>
          <w:sz w:val="20"/>
        </w:rPr>
        <w:t>předmět</w:t>
      </w:r>
      <w:r>
        <w:rPr>
          <w:spacing w:val="34"/>
          <w:sz w:val="20"/>
        </w:rPr>
        <w:t> </w:t>
      </w:r>
      <w:r>
        <w:rPr>
          <w:sz w:val="20"/>
        </w:rPr>
        <w:t>podpory</w:t>
      </w:r>
      <w:r>
        <w:rPr>
          <w:spacing w:val="36"/>
          <w:sz w:val="20"/>
        </w:rPr>
        <w:t> </w:t>
      </w:r>
      <w:r>
        <w:rPr>
          <w:sz w:val="20"/>
        </w:rPr>
        <w:t>bude</w:t>
      </w:r>
      <w:r>
        <w:rPr>
          <w:spacing w:val="34"/>
          <w:sz w:val="20"/>
        </w:rPr>
        <w:t> </w:t>
      </w:r>
      <w:r>
        <w:rPr>
          <w:sz w:val="20"/>
        </w:rPr>
        <w:t>plnit</w:t>
      </w:r>
      <w:r>
        <w:rPr>
          <w:spacing w:val="35"/>
          <w:sz w:val="20"/>
        </w:rPr>
        <w:t> </w:t>
      </w:r>
      <w:r>
        <w:rPr>
          <w:sz w:val="20"/>
        </w:rPr>
        <w:t>svoji</w:t>
      </w:r>
      <w:r>
        <w:rPr>
          <w:spacing w:val="35"/>
          <w:sz w:val="20"/>
        </w:rPr>
        <w:t> </w:t>
      </w:r>
      <w:r>
        <w:rPr>
          <w:sz w:val="20"/>
        </w:rPr>
        <w:t>funkci</w:t>
      </w:r>
      <w:r>
        <w:rPr>
          <w:spacing w:val="34"/>
          <w:sz w:val="20"/>
        </w:rPr>
        <w:t> </w:t>
      </w:r>
      <w:r>
        <w:rPr>
          <w:sz w:val="20"/>
        </w:rPr>
        <w:t>po</w:t>
      </w:r>
      <w:r>
        <w:rPr>
          <w:spacing w:val="37"/>
          <w:sz w:val="20"/>
        </w:rPr>
        <w:t> </w:t>
      </w:r>
      <w:r>
        <w:rPr>
          <w:sz w:val="20"/>
        </w:rPr>
        <w:t>dobu</w:t>
      </w:r>
      <w:r>
        <w:rPr>
          <w:spacing w:val="41"/>
          <w:sz w:val="20"/>
        </w:rPr>
        <w:t> </w:t>
      </w:r>
      <w:r>
        <w:rPr>
          <w:sz w:val="20"/>
        </w:rPr>
        <w:t>5</w:t>
      </w:r>
      <w:r>
        <w:rPr>
          <w:spacing w:val="36"/>
          <w:sz w:val="20"/>
        </w:rPr>
        <w:t> </w:t>
      </w:r>
      <w:r>
        <w:rPr>
          <w:sz w:val="20"/>
        </w:rPr>
        <w:t>let</w:t>
      </w:r>
      <w:r>
        <w:rPr>
          <w:spacing w:val="35"/>
          <w:sz w:val="20"/>
        </w:rPr>
        <w:t> </w:t>
      </w:r>
      <w:r>
        <w:rPr>
          <w:sz w:val="20"/>
        </w:rPr>
        <w:t>od</w:t>
      </w:r>
      <w:r>
        <w:rPr>
          <w:spacing w:val="35"/>
          <w:sz w:val="20"/>
        </w:rPr>
        <w:t> </w:t>
      </w:r>
      <w:r>
        <w:rPr>
          <w:sz w:val="20"/>
        </w:rPr>
        <w:t>ukončení</w:t>
      </w:r>
      <w:r>
        <w:rPr>
          <w:spacing w:val="35"/>
          <w:sz w:val="20"/>
        </w:rPr>
        <w:t> </w:t>
      </w:r>
      <w:r>
        <w:rPr>
          <w:spacing w:val="-2"/>
          <w:sz w:val="20"/>
        </w:rPr>
        <w:t>realizace</w:t>
      </w:r>
    </w:p>
    <w:p>
      <w:pPr>
        <w:pStyle w:val="BodyText"/>
        <w:spacing w:before="1"/>
        <w:ind w:left="1234"/>
      </w:pPr>
      <w:r>
        <w:rPr/>
        <w:t>projektu,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to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/>
        <w:t>v</w:t>
      </w:r>
      <w:r>
        <w:rPr>
          <w:spacing w:val="-4"/>
        </w:rPr>
        <w:t> </w:t>
      </w:r>
      <w:r>
        <w:rPr/>
        <w:t>případě,</w:t>
      </w:r>
      <w:r>
        <w:rPr>
          <w:spacing w:val="-5"/>
        </w:rPr>
        <w:t> </w:t>
      </w:r>
      <w:r>
        <w:rPr/>
        <w:t>že</w:t>
      </w:r>
      <w:r>
        <w:rPr>
          <w:spacing w:val="-6"/>
        </w:rPr>
        <w:t> </w:t>
      </w:r>
      <w:r>
        <w:rPr/>
        <w:t>dojde</w:t>
      </w:r>
      <w:r>
        <w:rPr>
          <w:spacing w:val="-5"/>
        </w:rPr>
        <w:t> </w:t>
      </w:r>
      <w:r>
        <w:rPr/>
        <w:t>ke</w:t>
      </w:r>
      <w:r>
        <w:rPr>
          <w:spacing w:val="-6"/>
        </w:rPr>
        <w:t> </w:t>
      </w:r>
      <w:r>
        <w:rPr/>
        <w:t>změně</w:t>
      </w:r>
      <w:r>
        <w:rPr>
          <w:spacing w:val="-6"/>
        </w:rPr>
        <w:t> </w:t>
      </w:r>
      <w:r>
        <w:rPr/>
        <w:t>vlastníka</w:t>
      </w:r>
      <w:r>
        <w:rPr>
          <w:spacing w:val="-2"/>
        </w:rPr>
        <w:t> </w:t>
      </w:r>
      <w:r>
        <w:rPr/>
        <w:t>akcí</w:t>
      </w:r>
      <w:r>
        <w:rPr>
          <w:spacing w:val="-6"/>
        </w:rPr>
        <w:t> </w:t>
      </w:r>
      <w:r>
        <w:rPr/>
        <w:t>dotčených </w:t>
      </w:r>
      <w:r>
        <w:rPr>
          <w:spacing w:val="-2"/>
        </w:rPr>
        <w:t>pozemků,</w:t>
      </w:r>
    </w:p>
    <w:p>
      <w:pPr>
        <w:pStyle w:val="ListParagraph"/>
        <w:numPr>
          <w:ilvl w:val="2"/>
          <w:numId w:val="4"/>
        </w:numPr>
        <w:tabs>
          <w:tab w:pos="1234" w:val="left" w:leader="none"/>
        </w:tabs>
        <w:spacing w:line="240" w:lineRule="auto" w:before="118" w:after="0"/>
        <w:ind w:left="1234" w:right="0" w:hanging="286"/>
        <w:jc w:val="both"/>
        <w:rPr>
          <w:sz w:val="20"/>
        </w:rPr>
      </w:pP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průběhu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z w:val="20"/>
        </w:rPr>
        <w:t>projektu</w:t>
      </w:r>
      <w:r>
        <w:rPr>
          <w:spacing w:val="-5"/>
          <w:sz w:val="20"/>
        </w:rPr>
        <w:t> </w:t>
      </w:r>
      <w:r>
        <w:rPr>
          <w:sz w:val="20"/>
        </w:rPr>
        <w:t>zajistí</w:t>
      </w:r>
      <w:r>
        <w:rPr>
          <w:spacing w:val="-7"/>
          <w:sz w:val="20"/>
        </w:rPr>
        <w:t> </w:t>
      </w:r>
      <w:r>
        <w:rPr>
          <w:sz w:val="20"/>
        </w:rPr>
        <w:t>řádný</w:t>
      </w:r>
      <w:r>
        <w:rPr>
          <w:spacing w:val="-7"/>
          <w:sz w:val="20"/>
        </w:rPr>
        <w:t> </w:t>
      </w:r>
      <w:r>
        <w:rPr>
          <w:sz w:val="20"/>
        </w:rPr>
        <w:t>technický</w:t>
      </w:r>
      <w:r>
        <w:rPr>
          <w:spacing w:val="-6"/>
          <w:sz w:val="20"/>
        </w:rPr>
        <w:t> </w:t>
      </w:r>
      <w:r>
        <w:rPr>
          <w:sz w:val="20"/>
        </w:rPr>
        <w:t>dozor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stavebníka,</w:t>
      </w:r>
    </w:p>
    <w:p>
      <w:pPr>
        <w:pStyle w:val="ListParagraph"/>
        <w:numPr>
          <w:ilvl w:val="2"/>
          <w:numId w:val="4"/>
        </w:numPr>
        <w:tabs>
          <w:tab w:pos="1234" w:val="left" w:leader="none"/>
        </w:tabs>
        <w:spacing w:line="240" w:lineRule="auto" w:before="120" w:after="0"/>
        <w:ind w:left="1234" w:right="111" w:hanging="286"/>
        <w:jc w:val="both"/>
        <w:rPr>
          <w:sz w:val="20"/>
        </w:rPr>
      </w:pPr>
      <w:r>
        <w:rPr>
          <w:sz w:val="20"/>
        </w:rPr>
        <w:t>bude veškeré výdaje akce vést v</w:t>
      </w:r>
      <w:r>
        <w:rPr>
          <w:spacing w:val="-1"/>
          <w:sz w:val="20"/>
        </w:rPr>
        <w:t> </w:t>
      </w:r>
      <w:r>
        <w:rPr>
          <w:sz w:val="20"/>
        </w:rPr>
        <w:t>účetnictví (zákon č. 563/1991 Sb., o</w:t>
      </w:r>
      <w:r>
        <w:rPr>
          <w:spacing w:val="-3"/>
          <w:sz w:val="20"/>
        </w:rPr>
        <w:t> </w:t>
      </w:r>
      <w:r>
        <w:rPr>
          <w:sz w:val="20"/>
        </w:rPr>
        <w:t>účetnictví, v platném znění) či</w:t>
      </w:r>
      <w:r>
        <w:rPr>
          <w:spacing w:val="-2"/>
          <w:sz w:val="20"/>
        </w:rPr>
        <w:t> </w:t>
      </w:r>
      <w:r>
        <w:rPr>
          <w:sz w:val="20"/>
        </w:rPr>
        <w:t>daňové</w:t>
      </w:r>
      <w:r>
        <w:rPr>
          <w:spacing w:val="33"/>
          <w:sz w:val="20"/>
        </w:rPr>
        <w:t> </w:t>
      </w:r>
      <w:r>
        <w:rPr>
          <w:sz w:val="20"/>
        </w:rPr>
        <w:t>evidenci</w:t>
      </w:r>
      <w:r>
        <w:rPr>
          <w:spacing w:val="32"/>
          <w:sz w:val="20"/>
        </w:rPr>
        <w:t> </w:t>
      </w:r>
      <w:r>
        <w:rPr>
          <w:sz w:val="20"/>
        </w:rPr>
        <w:t>(zákon</w:t>
      </w:r>
      <w:r>
        <w:rPr>
          <w:spacing w:val="33"/>
          <w:sz w:val="20"/>
        </w:rPr>
        <w:t> </w:t>
      </w:r>
      <w:r>
        <w:rPr>
          <w:sz w:val="20"/>
        </w:rPr>
        <w:t>č.</w:t>
      </w:r>
      <w:r>
        <w:rPr>
          <w:spacing w:val="32"/>
          <w:sz w:val="20"/>
        </w:rPr>
        <w:t> </w:t>
      </w:r>
      <w:r>
        <w:rPr>
          <w:sz w:val="20"/>
        </w:rPr>
        <w:t>586/1992</w:t>
      </w:r>
      <w:r>
        <w:rPr>
          <w:spacing w:val="31"/>
          <w:sz w:val="20"/>
        </w:rPr>
        <w:t> </w:t>
      </w:r>
      <w:r>
        <w:rPr>
          <w:sz w:val="20"/>
        </w:rPr>
        <w:t>Sb.,</w:t>
      </w:r>
      <w:r>
        <w:rPr>
          <w:spacing w:val="32"/>
          <w:sz w:val="20"/>
        </w:rPr>
        <w:t> </w:t>
      </w:r>
      <w:r>
        <w:rPr>
          <w:sz w:val="20"/>
        </w:rPr>
        <w:t>o</w:t>
      </w:r>
      <w:r>
        <w:rPr>
          <w:spacing w:val="32"/>
          <w:sz w:val="20"/>
        </w:rPr>
        <w:t> </w:t>
      </w:r>
      <w:r>
        <w:rPr>
          <w:sz w:val="20"/>
        </w:rPr>
        <w:t>daních</w:t>
      </w:r>
      <w:r>
        <w:rPr>
          <w:spacing w:val="33"/>
          <w:sz w:val="20"/>
        </w:rPr>
        <w:t> </w:t>
      </w:r>
      <w:r>
        <w:rPr>
          <w:sz w:val="20"/>
        </w:rPr>
        <w:t>z příjmů,</w:t>
      </w:r>
      <w:r>
        <w:rPr>
          <w:spacing w:val="3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platném</w:t>
      </w:r>
      <w:r>
        <w:rPr>
          <w:spacing w:val="32"/>
          <w:sz w:val="20"/>
        </w:rPr>
        <w:t> </w:t>
      </w:r>
      <w:r>
        <w:rPr>
          <w:sz w:val="20"/>
        </w:rPr>
        <w:t>znění)</w:t>
      </w:r>
      <w:r>
        <w:rPr>
          <w:spacing w:val="32"/>
          <w:sz w:val="20"/>
        </w:rPr>
        <w:t> </w:t>
      </w:r>
      <w:r>
        <w:rPr>
          <w:sz w:val="20"/>
        </w:rPr>
        <w:t>podle</w:t>
      </w:r>
      <w:r>
        <w:rPr>
          <w:spacing w:val="31"/>
          <w:sz w:val="20"/>
        </w:rPr>
        <w:t> </w:t>
      </w:r>
      <w:r>
        <w:rPr>
          <w:sz w:val="20"/>
        </w:rPr>
        <w:t>pokynů v čl. 10 písm. l) Výzvy,</w:t>
      </w:r>
    </w:p>
    <w:p>
      <w:pPr>
        <w:pStyle w:val="ListParagraph"/>
        <w:numPr>
          <w:ilvl w:val="2"/>
          <w:numId w:val="4"/>
        </w:numPr>
        <w:tabs>
          <w:tab w:pos="1234" w:val="left" w:leader="none"/>
        </w:tabs>
        <w:spacing w:line="240" w:lineRule="auto" w:before="122" w:after="0"/>
        <w:ind w:left="1234" w:right="108" w:hanging="286"/>
        <w:jc w:val="both"/>
        <w:rPr>
          <w:sz w:val="20"/>
        </w:rPr>
      </w:pPr>
      <w:r>
        <w:rPr>
          <w:sz w:val="20"/>
        </w:rPr>
        <w:t>nebude čerpat na stejné způsobilé výdaje nebo jejich části jinou veřejnou podporu podle článku 107 odst. 1 Smlouvy o fungování Evropské unie, podporu z prostředků Unie, které centrálně spravují</w:t>
      </w:r>
      <w:r>
        <w:rPr>
          <w:spacing w:val="-11"/>
          <w:sz w:val="20"/>
        </w:rPr>
        <w:t> </w:t>
      </w:r>
      <w:r>
        <w:rPr>
          <w:sz w:val="20"/>
        </w:rPr>
        <w:t>orgány,</w:t>
      </w:r>
      <w:r>
        <w:rPr>
          <w:spacing w:val="-12"/>
          <w:sz w:val="20"/>
        </w:rPr>
        <w:t> </w:t>
      </w:r>
      <w:r>
        <w:rPr>
          <w:sz w:val="20"/>
        </w:rPr>
        <w:t>agentury,</w:t>
      </w:r>
      <w:r>
        <w:rPr>
          <w:spacing w:val="-12"/>
          <w:sz w:val="20"/>
        </w:rPr>
        <w:t> </w:t>
      </w:r>
      <w:r>
        <w:rPr>
          <w:sz w:val="20"/>
        </w:rPr>
        <w:t>společné</w:t>
      </w:r>
      <w:r>
        <w:rPr>
          <w:spacing w:val="-12"/>
          <w:sz w:val="20"/>
        </w:rPr>
        <w:t> </w:t>
      </w:r>
      <w:r>
        <w:rPr>
          <w:sz w:val="20"/>
        </w:rPr>
        <w:t>podniky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jiné</w:t>
      </w:r>
      <w:r>
        <w:rPr>
          <w:spacing w:val="-12"/>
          <w:sz w:val="20"/>
        </w:rPr>
        <w:t> </w:t>
      </w:r>
      <w:r>
        <w:rPr>
          <w:sz w:val="20"/>
        </w:rPr>
        <w:t>subjekty</w:t>
      </w:r>
      <w:r>
        <w:rPr>
          <w:spacing w:val="-8"/>
          <w:sz w:val="20"/>
        </w:rPr>
        <w:t> </w:t>
      </w:r>
      <w:r>
        <w:rPr>
          <w:sz w:val="20"/>
        </w:rPr>
        <w:t>EU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která</w:t>
      </w:r>
      <w:r>
        <w:rPr>
          <w:spacing w:val="-12"/>
          <w:sz w:val="20"/>
        </w:rPr>
        <w:t> </w:t>
      </w:r>
      <w:r>
        <w:rPr>
          <w:sz w:val="20"/>
        </w:rPr>
        <w:t>není</w:t>
      </w:r>
      <w:r>
        <w:rPr>
          <w:spacing w:val="-11"/>
          <w:sz w:val="20"/>
        </w:rPr>
        <w:t> </w:t>
      </w:r>
      <w:r>
        <w:rPr>
          <w:sz w:val="20"/>
        </w:rPr>
        <w:t>přímo</w:t>
      </w:r>
      <w:r>
        <w:rPr>
          <w:spacing w:val="-11"/>
          <w:sz w:val="20"/>
        </w:rPr>
        <w:t> </w:t>
      </w:r>
      <w:r>
        <w:rPr>
          <w:sz w:val="20"/>
        </w:rPr>
        <w:t>ani</w:t>
      </w:r>
      <w:r>
        <w:rPr>
          <w:spacing w:val="-12"/>
          <w:sz w:val="20"/>
        </w:rPr>
        <w:t> </w:t>
      </w:r>
      <w:r>
        <w:rPr>
          <w:sz w:val="20"/>
        </w:rPr>
        <w:t>nepřímo</w:t>
      </w:r>
      <w:r>
        <w:rPr>
          <w:spacing w:val="-11"/>
          <w:sz w:val="20"/>
        </w:rPr>
        <w:t> </w:t>
      </w:r>
      <w:r>
        <w:rPr>
          <w:sz w:val="20"/>
        </w:rPr>
        <w:t>pod kontrolou</w:t>
      </w:r>
      <w:r>
        <w:rPr>
          <w:spacing w:val="-8"/>
          <w:sz w:val="20"/>
        </w:rPr>
        <w:t> </w:t>
      </w:r>
      <w:r>
        <w:rPr>
          <w:sz w:val="20"/>
        </w:rPr>
        <w:t>členských</w:t>
      </w:r>
      <w:r>
        <w:rPr>
          <w:spacing w:val="-5"/>
          <w:sz w:val="20"/>
        </w:rPr>
        <w:t> </w:t>
      </w:r>
      <w:r>
        <w:rPr>
          <w:sz w:val="20"/>
        </w:rPr>
        <w:t>států,</w:t>
      </w:r>
      <w:r>
        <w:rPr>
          <w:spacing w:val="-6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státního</w:t>
      </w:r>
      <w:r>
        <w:rPr>
          <w:spacing w:val="-5"/>
          <w:sz w:val="20"/>
        </w:rPr>
        <w:t> </w:t>
      </w:r>
      <w:r>
        <w:rPr>
          <w:sz w:val="20"/>
        </w:rPr>
        <w:t>rozpočtu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dalších</w:t>
      </w:r>
      <w:r>
        <w:rPr>
          <w:spacing w:val="-6"/>
          <w:sz w:val="20"/>
        </w:rPr>
        <w:t> </w:t>
      </w:r>
      <w:r>
        <w:rPr>
          <w:sz w:val="20"/>
        </w:rPr>
        <w:t>veřejných</w:t>
      </w:r>
      <w:r>
        <w:rPr>
          <w:spacing w:val="-8"/>
          <w:sz w:val="20"/>
        </w:rPr>
        <w:t> </w:t>
      </w:r>
      <w:r>
        <w:rPr>
          <w:sz w:val="20"/>
        </w:rPr>
        <w:t>zdrojů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ani</w:t>
      </w:r>
      <w:r>
        <w:rPr>
          <w:spacing w:val="-9"/>
          <w:sz w:val="20"/>
        </w:rPr>
        <w:t> </w:t>
      </w:r>
      <w:r>
        <w:rPr>
          <w:sz w:val="20"/>
        </w:rPr>
        <w:t>podporu v režimu de minimis,</w:t>
      </w:r>
    </w:p>
    <w:p>
      <w:pPr>
        <w:pStyle w:val="ListParagraph"/>
        <w:numPr>
          <w:ilvl w:val="2"/>
          <w:numId w:val="4"/>
        </w:numPr>
        <w:tabs>
          <w:tab w:pos="1234" w:val="left" w:leader="none"/>
        </w:tabs>
        <w:spacing w:line="240" w:lineRule="auto" w:before="119" w:after="0"/>
        <w:ind w:left="1234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dvojího</w:t>
      </w:r>
      <w:r>
        <w:rPr>
          <w:spacing w:val="-5"/>
          <w:sz w:val="20"/>
        </w:rPr>
        <w:t> </w:t>
      </w:r>
      <w:r>
        <w:rPr>
          <w:sz w:val="20"/>
        </w:rPr>
        <w:t>financování</w:t>
      </w:r>
      <w:r>
        <w:rPr>
          <w:spacing w:val="-6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pokynů</w:t>
      </w:r>
      <w:r>
        <w:rPr>
          <w:spacing w:val="-4"/>
          <w:sz w:val="20"/>
        </w:rPr>
        <w:t> </w:t>
      </w:r>
      <w:r>
        <w:rPr>
          <w:sz w:val="20"/>
        </w:rPr>
        <w:t>v čl.</w:t>
      </w:r>
      <w:r>
        <w:rPr>
          <w:spacing w:val="-6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o)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234" w:val="left" w:leader="none"/>
        </w:tabs>
        <w:spacing w:line="240" w:lineRule="auto" w:before="121" w:after="0"/>
        <w:ind w:left="1234" w:right="111" w:hanging="286"/>
        <w:jc w:val="both"/>
        <w:rPr>
          <w:sz w:val="20"/>
        </w:rPr>
      </w:pPr>
      <w:r>
        <w:rPr>
          <w:sz w:val="20"/>
        </w:rPr>
        <w:t>poskytne informace o přidělených podporách vyplývajících z čl. 22 Nařízení 2021/241 vč. jména </w:t>
      </w:r>
      <w:r>
        <w:rPr>
          <w:spacing w:val="-2"/>
          <w:sz w:val="20"/>
        </w:rPr>
        <w:t>zhotovitele, dodavatele nebo poskytovatele a subdodavatele, je-li konečným příjemcem finančních </w:t>
      </w:r>
      <w:r>
        <w:rPr>
          <w:sz w:val="20"/>
        </w:rPr>
        <w:t>prostředků a jména, příjmení a data narození skutečného majitele nebo majitelů,</w:t>
      </w:r>
    </w:p>
    <w:p>
      <w:pPr>
        <w:pStyle w:val="ListParagraph"/>
        <w:numPr>
          <w:ilvl w:val="2"/>
          <w:numId w:val="4"/>
        </w:numPr>
        <w:tabs>
          <w:tab w:pos="1234" w:val="left" w:leader="none"/>
        </w:tabs>
        <w:spacing w:line="240" w:lineRule="auto" w:before="118" w:after="0"/>
        <w:ind w:left="1234" w:right="113" w:hanging="286"/>
        <w:jc w:val="both"/>
        <w:rPr>
          <w:sz w:val="20"/>
        </w:rPr>
      </w:pPr>
      <w:r>
        <w:rPr>
          <w:sz w:val="20"/>
        </w:rPr>
        <w:t>bude dodržen čl. 10 písm. m) Výzvy, tj. realizací projektu nedojde k významnému poškození environmentálních cílů v souladu s článkem 17, nařízení Evropského parlamentu a Rady (EU) 2020/852 ze dne 18. června 2020 o zřízení rámce pro usnadnění udržitelných investic a o změně nařízení (EU) 2019/2088,</w:t>
      </w:r>
    </w:p>
    <w:p>
      <w:pPr>
        <w:pStyle w:val="ListParagraph"/>
        <w:numPr>
          <w:ilvl w:val="2"/>
          <w:numId w:val="4"/>
        </w:numPr>
        <w:tabs>
          <w:tab w:pos="1234" w:val="left" w:leader="none"/>
        </w:tabs>
        <w:spacing w:line="240" w:lineRule="auto" w:before="123" w:after="0"/>
        <w:ind w:left="1234" w:right="113" w:hanging="286"/>
        <w:jc w:val="both"/>
        <w:rPr>
          <w:sz w:val="20"/>
        </w:rPr>
      </w:pPr>
      <w:r>
        <w:rPr>
          <w:sz w:val="20"/>
        </w:rPr>
        <w:t>bude dodržen čl. 10 písm. n) Výzvy, t. j. nejméně 70 % (hmotnostních) stavebního a demoličního odpadu neklasifikovaného jako nebezpečný (s výjimkou v přírodě se vyskytujících materiálů uvedených v kategorii 17 05 04 v Evropském seznamu odpadů stanoveném rozhodnutím 2000/532/ES) vzniklého na staveništi, je připraveno k opětovnému použití, recyklaci a k jiným druhům</w:t>
      </w:r>
      <w:r>
        <w:rPr>
          <w:spacing w:val="-1"/>
          <w:sz w:val="20"/>
        </w:rPr>
        <w:t> </w:t>
      </w:r>
      <w:r>
        <w:rPr>
          <w:sz w:val="20"/>
        </w:rPr>
        <w:t>materiálového</w:t>
      </w:r>
      <w:r>
        <w:rPr>
          <w:spacing w:val="-1"/>
          <w:sz w:val="20"/>
        </w:rPr>
        <w:t> </w:t>
      </w:r>
      <w:r>
        <w:rPr>
          <w:sz w:val="20"/>
        </w:rPr>
        <w:t>využití,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3"/>
          <w:sz w:val="20"/>
        </w:rPr>
        <w:t> </w:t>
      </w:r>
      <w:r>
        <w:rPr>
          <w:sz w:val="20"/>
        </w:rPr>
        <w:t>zásypů,</w:t>
      </w:r>
      <w:r>
        <w:rPr>
          <w:spacing w:val="-2"/>
          <w:sz w:val="20"/>
        </w:rPr>
        <w:t> </w:t>
      </w:r>
      <w:r>
        <w:rPr>
          <w:sz w:val="20"/>
        </w:rPr>
        <w:t>při</w:t>
      </w:r>
      <w:r>
        <w:rPr>
          <w:spacing w:val="-2"/>
          <w:sz w:val="20"/>
        </w:rPr>
        <w:t> </w:t>
      </w:r>
      <w:r>
        <w:rPr>
          <w:sz w:val="20"/>
        </w:rPr>
        <w:t>nichž jsou</w:t>
      </w:r>
      <w:r>
        <w:rPr>
          <w:spacing w:val="-2"/>
          <w:sz w:val="20"/>
        </w:rPr>
        <w:t> </w:t>
      </w:r>
      <w:r>
        <w:rPr>
          <w:sz w:val="20"/>
        </w:rPr>
        <w:t>jiné</w:t>
      </w:r>
      <w:r>
        <w:rPr>
          <w:spacing w:val="-3"/>
          <w:sz w:val="20"/>
        </w:rPr>
        <w:t> </w:t>
      </w:r>
      <w:r>
        <w:rPr>
          <w:sz w:val="20"/>
        </w:rPr>
        <w:t>materiály</w:t>
      </w:r>
      <w:r>
        <w:rPr>
          <w:spacing w:val="-2"/>
          <w:sz w:val="20"/>
        </w:rPr>
        <w:t> </w:t>
      </w:r>
      <w:r>
        <w:rPr>
          <w:sz w:val="20"/>
        </w:rPr>
        <w:t>nahrazeny</w:t>
      </w:r>
      <w:r>
        <w:rPr>
          <w:spacing w:val="-2"/>
          <w:sz w:val="20"/>
        </w:rPr>
        <w:t> </w:t>
      </w:r>
      <w:r>
        <w:rPr>
          <w:sz w:val="20"/>
        </w:rPr>
        <w:t>odpadem,</w:t>
      </w:r>
      <w:r>
        <w:rPr>
          <w:spacing w:val="-2"/>
          <w:sz w:val="20"/>
        </w:rPr>
        <w:t> </w:t>
      </w:r>
      <w:r>
        <w:rPr>
          <w:sz w:val="20"/>
        </w:rPr>
        <w:t>v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0" w:footer="1384" w:top="1060" w:bottom="1580" w:left="1320" w:right="1020"/>
        </w:sectPr>
      </w:pPr>
    </w:p>
    <w:p>
      <w:pPr>
        <w:pStyle w:val="BodyText"/>
        <w:spacing w:before="73"/>
        <w:ind w:left="1234" w:right="119"/>
      </w:pPr>
      <w:r>
        <w:rPr/>
        <w:t>souladu s hierarchií způsobů nakládání s odpady a protokolem EU pro nakládání se stavebním a demoličním odpadem,</w:t>
      </w:r>
    </w:p>
    <w:p>
      <w:pPr>
        <w:pStyle w:val="ListParagraph"/>
        <w:numPr>
          <w:ilvl w:val="2"/>
          <w:numId w:val="4"/>
        </w:numPr>
        <w:tabs>
          <w:tab w:pos="1234" w:val="left" w:leader="none"/>
        </w:tabs>
        <w:spacing w:line="240" w:lineRule="auto" w:before="121" w:after="0"/>
        <w:ind w:left="1234" w:right="0" w:hanging="286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7"/>
          <w:sz w:val="20"/>
        </w:rPr>
        <w:t> </w:t>
      </w:r>
      <w:r>
        <w:rPr>
          <w:sz w:val="20"/>
        </w:rPr>
        <w:t>provádět</w:t>
      </w:r>
      <w:r>
        <w:rPr>
          <w:spacing w:val="-6"/>
          <w:sz w:val="20"/>
        </w:rPr>
        <w:t> </w:t>
      </w:r>
      <w:r>
        <w:rPr>
          <w:sz w:val="20"/>
        </w:rPr>
        <w:t>kontrolu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7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w)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234" w:val="left" w:leader="none"/>
        </w:tabs>
        <w:spacing w:line="240" w:lineRule="auto" w:before="120" w:after="0"/>
        <w:ind w:left="1234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15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dodržet</w:t>
      </w:r>
      <w:r>
        <w:rPr>
          <w:spacing w:val="-6"/>
          <w:sz w:val="20"/>
        </w:rPr>
        <w:t> </w:t>
      </w:r>
      <w:r>
        <w:rPr>
          <w:sz w:val="20"/>
        </w:rPr>
        <w:t>lhůty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ListParagraph"/>
        <w:numPr>
          <w:ilvl w:val="2"/>
          <w:numId w:val="4"/>
        </w:numPr>
        <w:tabs>
          <w:tab w:pos="1234" w:val="left" w:leader="none"/>
        </w:tabs>
        <w:spacing w:line="240" w:lineRule="auto" w:before="120" w:after="0"/>
        <w:ind w:left="1234" w:right="113" w:hanging="286"/>
        <w:jc w:val="both"/>
        <w:rPr>
          <w:sz w:val="20"/>
        </w:rPr>
      </w:pPr>
      <w:r>
        <w:rPr>
          <w:sz w:val="20"/>
        </w:rPr>
        <w:t>termín dokončení akce do konce 12/2024 a o dodržení tohoto termínu Fond bez zbytečného odkladu informovat (za termín ukončení projektu se považuje datum protokolu o předání a převzetí díla u relevantních aktivit). Přitom se konstatuje, že akce byla zahájena v 6/2024,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zavazuje</w:t>
      </w:r>
      <w:r>
        <w:rPr>
          <w:spacing w:val="29"/>
          <w:sz w:val="20"/>
        </w:rPr>
        <w:t> </w:t>
      </w:r>
      <w:r>
        <w:rPr>
          <w:sz w:val="20"/>
        </w:rPr>
        <w:t>nejpozději</w:t>
      </w:r>
      <w:r>
        <w:rPr>
          <w:spacing w:val="30"/>
          <w:sz w:val="20"/>
        </w:rPr>
        <w:t> </w:t>
      </w:r>
      <w:r>
        <w:rPr>
          <w:sz w:val="20"/>
        </w:rPr>
        <w:t>do</w:t>
      </w:r>
      <w:r>
        <w:rPr>
          <w:spacing w:val="31"/>
          <w:sz w:val="20"/>
        </w:rPr>
        <w:t> </w:t>
      </w:r>
      <w:r>
        <w:rPr>
          <w:sz w:val="20"/>
        </w:rPr>
        <w:t>konce</w:t>
      </w:r>
      <w:r>
        <w:rPr>
          <w:spacing w:val="32"/>
          <w:sz w:val="20"/>
        </w:rPr>
        <w:t> </w:t>
      </w:r>
      <w:r>
        <w:rPr>
          <w:sz w:val="20"/>
        </w:rPr>
        <w:t>3/2025</w:t>
      </w:r>
      <w:r>
        <w:rPr>
          <w:spacing w:val="32"/>
          <w:sz w:val="20"/>
        </w:rPr>
        <w:t> </w:t>
      </w:r>
      <w:r>
        <w:rPr>
          <w:sz w:val="20"/>
        </w:rPr>
        <w:t>předložit</w:t>
      </w:r>
      <w:r>
        <w:rPr>
          <w:spacing w:val="30"/>
          <w:sz w:val="20"/>
        </w:rPr>
        <w:t> </w:t>
      </w:r>
      <w:r>
        <w:rPr>
          <w:sz w:val="20"/>
        </w:rPr>
        <w:t>prostřednictvím</w:t>
      </w:r>
      <w:r>
        <w:rPr>
          <w:spacing w:val="32"/>
          <w:sz w:val="20"/>
        </w:rPr>
        <w:t> </w:t>
      </w:r>
      <w:r>
        <w:rPr>
          <w:sz w:val="20"/>
        </w:rPr>
        <w:t>AIS</w:t>
      </w:r>
      <w:r>
        <w:rPr>
          <w:spacing w:val="30"/>
          <w:sz w:val="20"/>
        </w:rPr>
        <w:t> </w:t>
      </w:r>
      <w:r>
        <w:rPr>
          <w:sz w:val="20"/>
        </w:rPr>
        <w:t>SFŽP</w:t>
      </w:r>
      <w:r>
        <w:rPr>
          <w:spacing w:val="31"/>
          <w:sz w:val="20"/>
        </w:rPr>
        <w:t> </w:t>
      </w:r>
      <w:r>
        <w:rPr>
          <w:sz w:val="20"/>
        </w:rPr>
        <w:t>ČR</w:t>
      </w:r>
      <w:r>
        <w:rPr>
          <w:spacing w:val="31"/>
          <w:sz w:val="20"/>
        </w:rPr>
        <w:t> </w:t>
      </w:r>
      <w:r>
        <w:rPr>
          <w:sz w:val="20"/>
        </w:rPr>
        <w:t>Fondu</w:t>
      </w:r>
      <w:r>
        <w:rPr>
          <w:spacing w:val="31"/>
          <w:sz w:val="20"/>
        </w:rPr>
        <w:t> </w:t>
      </w:r>
      <w:r>
        <w:rPr>
          <w:spacing w:val="-2"/>
          <w:sz w:val="20"/>
        </w:rPr>
        <w:t>podklady</w:t>
      </w:r>
    </w:p>
    <w:p>
      <w:pPr>
        <w:pStyle w:val="BodyText"/>
        <w:ind w:left="948"/>
      </w:pPr>
      <w:r>
        <w:rPr/>
        <w:t>k</w:t>
      </w:r>
      <w:r>
        <w:rPr>
          <w:spacing w:val="-6"/>
        </w:rPr>
        <w:t> </w:t>
      </w:r>
      <w:r>
        <w:rPr/>
        <w:t>Závěrečnému</w:t>
      </w:r>
      <w:r>
        <w:rPr>
          <w:spacing w:val="-4"/>
        </w:rPr>
        <w:t> </w:t>
      </w:r>
      <w:r>
        <w:rPr/>
        <w:t>vyhodnocení</w:t>
      </w:r>
      <w:r>
        <w:rPr>
          <w:spacing w:val="-5"/>
        </w:rPr>
        <w:t> </w:t>
      </w:r>
      <w:r>
        <w:rPr/>
        <w:t>akce</w:t>
      </w:r>
      <w:r>
        <w:rPr>
          <w:spacing w:val="-6"/>
        </w:rPr>
        <w:t> </w:t>
      </w:r>
      <w:r>
        <w:rPr/>
        <w:t>(dále</w:t>
      </w:r>
      <w:r>
        <w:rPr>
          <w:spacing w:val="-5"/>
        </w:rPr>
        <w:t> </w:t>
      </w:r>
      <w:r>
        <w:rPr/>
        <w:t>jen</w:t>
      </w:r>
      <w:r>
        <w:rPr>
          <w:spacing w:val="-4"/>
        </w:rPr>
        <w:t> </w:t>
      </w:r>
      <w:r>
        <w:rPr/>
        <w:t>„ZVA“)</w:t>
      </w:r>
      <w:r>
        <w:rPr>
          <w:spacing w:val="-5"/>
        </w:rPr>
        <w:t> </w:t>
      </w:r>
      <w:r>
        <w:rPr/>
        <w:t>podle</w:t>
      </w:r>
      <w:r>
        <w:rPr>
          <w:spacing w:val="-6"/>
        </w:rPr>
        <w:t> </w:t>
      </w:r>
      <w:r>
        <w:rPr/>
        <w:t>čl.</w:t>
      </w:r>
      <w:r>
        <w:rPr>
          <w:spacing w:val="-5"/>
        </w:rPr>
        <w:t> </w:t>
      </w:r>
      <w:r>
        <w:rPr/>
        <w:t>12</w:t>
      </w:r>
      <w:r>
        <w:rPr>
          <w:spacing w:val="-4"/>
        </w:rPr>
        <w:t> </w:t>
      </w:r>
      <w:r>
        <w:rPr/>
        <w:t>písm.</w:t>
      </w:r>
      <w:r>
        <w:rPr>
          <w:spacing w:val="-6"/>
        </w:rPr>
        <w:t> </w:t>
      </w:r>
      <w:r>
        <w:rPr/>
        <w:t>d)</w:t>
      </w:r>
      <w:r>
        <w:rPr>
          <w:spacing w:val="-5"/>
        </w:rPr>
        <w:t> </w:t>
      </w:r>
      <w:r>
        <w:rPr>
          <w:spacing w:val="-2"/>
        </w:rPr>
        <w:t>Výzvy.</w:t>
      </w:r>
    </w:p>
    <w:p>
      <w:pPr>
        <w:pStyle w:val="BodyText"/>
        <w:spacing w:before="121"/>
        <w:ind w:left="809" w:right="109"/>
      </w:pPr>
      <w:r>
        <w:rPr/>
        <w:t>K ZVA může Fond vydat závazné pokyny (či požádat o informace), které mohou jeho obsah blíže specifikovat či rozšířit. Příjemce podpory je povinen tyto pokyny (žádost o informace) bez zbytečného odkladu (případně ve lhůtě</w:t>
      </w:r>
      <w:r>
        <w:rPr>
          <w:spacing w:val="-1"/>
        </w:rPr>
        <w:t> </w:t>
      </w:r>
      <w:r>
        <w:rPr/>
        <w:t>stanovené Fondem) splnit. Fond není povinen vydat protokol o ZVA dříve, než obdrží veškeré požadované podklady a informace, na základě kterých bude moci jednoznačně rozhodnout</w:t>
      </w:r>
      <w:r>
        <w:rPr>
          <w:spacing w:val="16"/>
        </w:rPr>
        <w:t> </w:t>
      </w:r>
      <w:r>
        <w:rPr/>
        <w:t>o</w:t>
      </w:r>
      <w:r>
        <w:rPr>
          <w:spacing w:val="16"/>
        </w:rPr>
        <w:t> </w:t>
      </w:r>
      <w:r>
        <w:rPr/>
        <w:t>plnění</w:t>
      </w:r>
      <w:r>
        <w:rPr>
          <w:spacing w:val="16"/>
        </w:rPr>
        <w:t> </w:t>
      </w:r>
      <w:r>
        <w:rPr/>
        <w:t>podmínek</w:t>
      </w:r>
      <w:r>
        <w:rPr>
          <w:spacing w:val="17"/>
        </w:rPr>
        <w:t> </w:t>
      </w:r>
      <w:r>
        <w:rPr/>
        <w:t>této</w:t>
      </w:r>
      <w:r>
        <w:rPr>
          <w:spacing w:val="16"/>
        </w:rPr>
        <w:t> </w:t>
      </w:r>
      <w:r>
        <w:rPr/>
        <w:t>Smlouvy</w:t>
      </w:r>
      <w:r>
        <w:rPr>
          <w:spacing w:val="18"/>
        </w:rPr>
        <w:t> </w:t>
      </w:r>
      <w:r>
        <w:rPr/>
        <w:t>a rovněž</w:t>
      </w:r>
      <w:r>
        <w:rPr>
          <w:spacing w:val="19"/>
        </w:rPr>
        <w:t> </w:t>
      </w:r>
      <w:r>
        <w:rPr/>
        <w:t>v</w:t>
      </w:r>
      <w:r>
        <w:rPr>
          <w:spacing w:val="16"/>
        </w:rPr>
        <w:t> </w:t>
      </w:r>
      <w:r>
        <w:rPr/>
        <w:t>případě,</w:t>
      </w:r>
      <w:r>
        <w:rPr>
          <w:spacing w:val="18"/>
        </w:rPr>
        <w:t> </w:t>
      </w:r>
      <w:r>
        <w:rPr/>
        <w:t>že</w:t>
      </w:r>
      <w:r>
        <w:rPr>
          <w:spacing w:val="15"/>
        </w:rPr>
        <w:t> </w:t>
      </w:r>
      <w:r>
        <w:rPr/>
        <w:t>příjemce</w:t>
      </w:r>
      <w:r>
        <w:rPr>
          <w:spacing w:val="15"/>
        </w:rPr>
        <w:t> </w:t>
      </w:r>
      <w:r>
        <w:rPr/>
        <w:t>podpory</w:t>
      </w:r>
      <w:r>
        <w:rPr>
          <w:spacing w:val="16"/>
        </w:rPr>
        <w:t> </w:t>
      </w:r>
      <w:r>
        <w:rPr/>
        <w:t>je</w:t>
      </w:r>
      <w:r>
        <w:rPr>
          <w:spacing w:val="15"/>
        </w:rPr>
        <w:t> </w:t>
      </w:r>
      <w:r>
        <w:rPr/>
        <w:t>v prodlení s</w:t>
      </w:r>
      <w:r>
        <w:rPr>
          <w:spacing w:val="-3"/>
        </w:rPr>
        <w:t> </w:t>
      </w:r>
      <w:r>
        <w:rPr/>
        <w:t>plněním finančních závazků vůči Fondu. Protokol o ZVA bude obsahovat vypořádání čerpaných prostředků a vyhodnocení plnění smluvních podmínek.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5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4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30 dnů</w:t>
      </w:r>
      <w:r>
        <w:rPr>
          <w:spacing w:val="-3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8"/>
          <w:sz w:val="20"/>
        </w:rPr>
        <w:t> </w:t>
      </w:r>
      <w:r>
        <w:rPr>
          <w:sz w:val="20"/>
        </w:rPr>
        <w:t>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ČR</w:t>
      </w:r>
      <w:r>
        <w:rPr>
          <w:spacing w:val="-8"/>
          <w:sz w:val="20"/>
        </w:rPr>
        <w:t> </w:t>
      </w:r>
      <w:r>
        <w:rPr>
          <w:sz w:val="20"/>
        </w:rPr>
        <w:t>roční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vypořádání</w:t>
      </w:r>
      <w:r>
        <w:rPr>
          <w:spacing w:val="-10"/>
          <w:sz w:val="20"/>
        </w:rPr>
        <w:t> </w:t>
      </w:r>
      <w:r>
        <w:rPr>
          <w:sz w:val="20"/>
        </w:rPr>
        <w:t>vztahů</w:t>
      </w:r>
      <w:r>
        <w:rPr>
          <w:spacing w:val="-9"/>
          <w:sz w:val="20"/>
        </w:rPr>
        <w:t> </w:t>
      </w:r>
      <w:r>
        <w:rPr>
          <w:sz w:val="20"/>
        </w:rPr>
        <w:t>vzniklých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 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10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8"/>
          <w:sz w:val="20"/>
        </w:rPr>
        <w:t> </w:t>
      </w:r>
      <w:r>
        <w:rPr>
          <w:sz w:val="20"/>
        </w:rPr>
        <w:t>dokončení,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takovém</w:t>
      </w:r>
      <w:r>
        <w:rPr>
          <w:spacing w:val="-8"/>
          <w:sz w:val="20"/>
        </w:rPr>
        <w:t> </w:t>
      </w:r>
      <w:r>
        <w:rPr>
          <w:sz w:val="20"/>
        </w:rPr>
        <w:t>rozsahu</w:t>
      </w:r>
      <w:r>
        <w:rPr>
          <w:spacing w:val="-9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9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9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w w:val="95"/>
          <w:sz w:val="20"/>
        </w:rPr>
        <w:t>uvádět</w:t>
      </w:r>
      <w:r>
        <w:rPr>
          <w:spacing w:val="12"/>
          <w:sz w:val="20"/>
        </w:rPr>
        <w:t> </w:t>
      </w:r>
      <w:r>
        <w:rPr>
          <w:w w:val="95"/>
          <w:sz w:val="20"/>
        </w:rPr>
        <w:t>pouze</w:t>
      </w:r>
      <w:r>
        <w:rPr>
          <w:spacing w:val="10"/>
          <w:sz w:val="20"/>
        </w:rPr>
        <w:t> </w:t>
      </w:r>
      <w:r>
        <w:rPr>
          <w:w w:val="95"/>
          <w:sz w:val="20"/>
        </w:rPr>
        <w:t>pravdivé,</w:t>
      </w:r>
      <w:r>
        <w:rPr>
          <w:spacing w:val="13"/>
          <w:sz w:val="20"/>
        </w:rPr>
        <w:t> </w:t>
      </w:r>
      <w:r>
        <w:rPr>
          <w:w w:val="95"/>
          <w:sz w:val="20"/>
        </w:rPr>
        <w:t>nezkreslené</w:t>
      </w:r>
      <w:r>
        <w:rPr>
          <w:spacing w:val="10"/>
          <w:sz w:val="20"/>
        </w:rPr>
        <w:t> </w:t>
      </w:r>
      <w:r>
        <w:rPr>
          <w:w w:val="95"/>
          <w:sz w:val="20"/>
        </w:rPr>
        <w:t>a</w:t>
      </w:r>
      <w:r>
        <w:rPr>
          <w:spacing w:val="13"/>
          <w:sz w:val="20"/>
        </w:rPr>
        <w:t> </w:t>
      </w:r>
      <w:r>
        <w:rPr>
          <w:w w:val="95"/>
          <w:sz w:val="20"/>
        </w:rPr>
        <w:t>úplné</w:t>
      </w:r>
      <w:r>
        <w:rPr>
          <w:spacing w:val="13"/>
          <w:sz w:val="20"/>
        </w:rPr>
        <w:t> </w:t>
      </w:r>
      <w:r>
        <w:rPr>
          <w:w w:val="95"/>
          <w:sz w:val="20"/>
        </w:rPr>
        <w:t>informace</w:t>
      </w:r>
      <w:r>
        <w:rPr>
          <w:spacing w:val="15"/>
          <w:sz w:val="20"/>
        </w:rPr>
        <w:t> </w:t>
      </w:r>
      <w:r>
        <w:rPr>
          <w:w w:val="95"/>
          <w:sz w:val="20"/>
        </w:rPr>
        <w:t>týkající</w:t>
      </w:r>
      <w:r>
        <w:rPr>
          <w:spacing w:val="16"/>
          <w:sz w:val="20"/>
        </w:rPr>
        <w:t> </w:t>
      </w:r>
      <w:r>
        <w:rPr>
          <w:w w:val="95"/>
          <w:sz w:val="20"/>
        </w:rPr>
        <w:t>se</w:t>
      </w:r>
      <w:r>
        <w:rPr>
          <w:spacing w:val="13"/>
          <w:sz w:val="20"/>
        </w:rPr>
        <w:t> </w:t>
      </w:r>
      <w:r>
        <w:rPr>
          <w:w w:val="95"/>
          <w:sz w:val="20"/>
        </w:rPr>
        <w:t>skutečností,</w:t>
      </w:r>
      <w:r>
        <w:rPr>
          <w:spacing w:val="12"/>
          <w:sz w:val="20"/>
        </w:rPr>
        <w:t> </w:t>
      </w:r>
      <w:r>
        <w:rPr>
          <w:w w:val="95"/>
          <w:sz w:val="20"/>
        </w:rPr>
        <w:t>kterými</w:t>
      </w:r>
      <w:r>
        <w:rPr>
          <w:spacing w:val="13"/>
          <w:sz w:val="20"/>
        </w:rPr>
        <w:t> </w:t>
      </w:r>
      <w:r>
        <w:rPr>
          <w:w w:val="95"/>
          <w:sz w:val="20"/>
        </w:rPr>
        <w:t>se</w:t>
      </w:r>
      <w:r>
        <w:rPr>
          <w:spacing w:val="10"/>
          <w:sz w:val="20"/>
        </w:rPr>
        <w:t> </w:t>
      </w:r>
      <w:r>
        <w:rPr>
          <w:w w:val="95"/>
          <w:sz w:val="20"/>
        </w:rPr>
        <w:t>tato</w:t>
      </w:r>
      <w:r>
        <w:rPr>
          <w:spacing w:val="14"/>
          <w:sz w:val="20"/>
        </w:rPr>
        <w:t> </w:t>
      </w:r>
      <w:r>
        <w:rPr>
          <w:spacing w:val="-2"/>
          <w:w w:val="95"/>
          <w:sz w:val="20"/>
        </w:rPr>
        <w:t>Smlouva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320" w:right="1020"/>
        </w:sectPr>
      </w:pPr>
    </w:p>
    <w:p>
      <w:pPr>
        <w:pStyle w:val="BodyText"/>
        <w:spacing w:before="73"/>
        <w:ind w:left="948" w:right="111"/>
      </w:pPr>
      <w:r>
        <w:rPr/>
        <w:t>zabývá.</w:t>
      </w:r>
      <w:r>
        <w:rPr>
          <w:spacing w:val="-14"/>
        </w:rPr>
        <w:t> </w:t>
      </w:r>
      <w:r>
        <w:rPr/>
        <w:t>V</w:t>
      </w:r>
      <w:r>
        <w:rPr>
          <w:spacing w:val="-14"/>
        </w:rPr>
        <w:t> </w:t>
      </w:r>
      <w:r>
        <w:rPr/>
        <w:t>této</w:t>
      </w:r>
      <w:r>
        <w:rPr>
          <w:spacing w:val="-14"/>
        </w:rPr>
        <w:t> </w:t>
      </w:r>
      <w:r>
        <w:rPr/>
        <w:t>souvislosti</w:t>
      </w:r>
      <w:r>
        <w:rPr>
          <w:spacing w:val="-13"/>
        </w:rPr>
        <w:t> </w:t>
      </w:r>
      <w:r>
        <w:rPr/>
        <w:t>příjemce</w:t>
      </w:r>
      <w:r>
        <w:rPr>
          <w:spacing w:val="-14"/>
        </w:rPr>
        <w:t> </w:t>
      </w:r>
      <w:r>
        <w:rPr/>
        <w:t>podpory</w:t>
      </w:r>
      <w:r>
        <w:rPr>
          <w:spacing w:val="-14"/>
        </w:rPr>
        <w:t> </w:t>
      </w:r>
      <w:r>
        <w:rPr/>
        <w:t>prohlašuje,</w:t>
      </w:r>
      <w:r>
        <w:rPr>
          <w:spacing w:val="-13"/>
        </w:rPr>
        <w:t> </w:t>
      </w:r>
      <w:r>
        <w:rPr/>
        <w:t>že</w:t>
      </w:r>
      <w:r>
        <w:rPr>
          <w:spacing w:val="-14"/>
        </w:rPr>
        <w:t> </w:t>
      </w:r>
      <w:r>
        <w:rPr/>
        <w:t>rovněž</w:t>
      </w:r>
      <w:r>
        <w:rPr>
          <w:spacing w:val="-14"/>
        </w:rPr>
        <w:t> </w:t>
      </w:r>
      <w:r>
        <w:rPr/>
        <w:t>veškeré</w:t>
      </w:r>
      <w:r>
        <w:rPr>
          <w:spacing w:val="-13"/>
        </w:rPr>
        <w:t> </w:t>
      </w:r>
      <w:r>
        <w:rPr/>
        <w:t>podklady</w:t>
      </w:r>
      <w:r>
        <w:rPr>
          <w:spacing w:val="-12"/>
        </w:rPr>
        <w:t> </w:t>
      </w:r>
      <w:r>
        <w:rPr/>
        <w:t>a</w:t>
      </w:r>
      <w:r>
        <w:rPr>
          <w:spacing w:val="-2"/>
        </w:rPr>
        <w:t> </w:t>
      </w:r>
      <w:r>
        <w:rPr/>
        <w:t>informace,</w:t>
      </w:r>
      <w:r>
        <w:rPr>
          <w:spacing w:val="-14"/>
        </w:rPr>
        <w:t> </w:t>
      </w:r>
      <w:r>
        <w:rPr/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06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8"/>
          <w:sz w:val="20"/>
        </w:rPr>
        <w:t> </w:t>
      </w:r>
      <w:r>
        <w:rPr>
          <w:sz w:val="20"/>
        </w:rPr>
        <w:t>pravidla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zadávání</w:t>
      </w:r>
      <w:r>
        <w:rPr>
          <w:spacing w:val="-8"/>
          <w:sz w:val="20"/>
        </w:rPr>
        <w:t> </w:t>
      </w:r>
      <w:r>
        <w:rPr>
          <w:sz w:val="20"/>
        </w:rPr>
        <w:t>veřejných</w:t>
      </w:r>
      <w:r>
        <w:rPr>
          <w:spacing w:val="-8"/>
          <w:sz w:val="20"/>
        </w:rPr>
        <w:t> </w:t>
      </w:r>
      <w:r>
        <w:rPr>
          <w:sz w:val="20"/>
        </w:rPr>
        <w:t>zakázek,</w:t>
      </w:r>
      <w:r>
        <w:rPr>
          <w:spacing w:val="-8"/>
          <w:sz w:val="20"/>
        </w:rPr>
        <w:t> </w:t>
      </w:r>
      <w:r>
        <w:rPr>
          <w:sz w:val="20"/>
        </w:rPr>
        <w:t>stanovená</w:t>
      </w:r>
      <w:r>
        <w:rPr>
          <w:spacing w:val="-9"/>
          <w:sz w:val="20"/>
        </w:rPr>
        <w:t> </w:t>
      </w:r>
      <w:r>
        <w:rPr>
          <w:sz w:val="20"/>
        </w:rPr>
        <w:t>v čl.</w:t>
      </w:r>
      <w:r>
        <w:rPr>
          <w:spacing w:val="-8"/>
          <w:sz w:val="20"/>
        </w:rPr>
        <w:t> </w:t>
      </w:r>
      <w:r>
        <w:rPr>
          <w:sz w:val="20"/>
        </w:rPr>
        <w:t>10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8"/>
          <w:sz w:val="20"/>
        </w:rPr>
        <w:t> </w:t>
      </w:r>
      <w:r>
        <w:rPr>
          <w:sz w:val="20"/>
        </w:rPr>
        <w:t>k)</w:t>
      </w:r>
      <w:r>
        <w:rPr>
          <w:spacing w:val="-8"/>
          <w:sz w:val="20"/>
        </w:rPr>
        <w:t> </w:t>
      </w:r>
      <w:r>
        <w:rPr>
          <w:sz w:val="20"/>
        </w:rPr>
        <w:t>Výzvy,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pStyle w:val="BodyText"/>
        <w:spacing w:before="13"/>
        <w:ind w:left="0"/>
        <w:jc w:val="left"/>
        <w:rPr>
          <w:sz w:val="35"/>
        </w:rPr>
      </w:pPr>
    </w:p>
    <w:p>
      <w:pPr>
        <w:pStyle w:val="Heading1"/>
        <w:ind w:right="1059"/>
      </w:pPr>
      <w:r>
        <w:rPr>
          <w:spacing w:val="-5"/>
        </w:rPr>
        <w:t>V.</w:t>
      </w:r>
    </w:p>
    <w:p>
      <w:pPr>
        <w:pStyle w:val="Heading2"/>
        <w:ind w:right="1060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0" w:after="0"/>
        <w:ind w:left="665" w:right="119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Porušení povinností podle článku II bodů 5 nebo 6, podle článku IV bodu</w:t>
      </w:r>
      <w:r>
        <w:rPr>
          <w:spacing w:val="-2"/>
          <w:sz w:val="20"/>
        </w:rPr>
        <w:t> </w:t>
      </w:r>
      <w:r>
        <w:rPr>
          <w:sz w:val="20"/>
        </w:rPr>
        <w:t>1 písm.</w:t>
      </w:r>
      <w:r>
        <w:rPr>
          <w:spacing w:val="-1"/>
          <w:sz w:val="20"/>
        </w:rPr>
        <w:t> </w:t>
      </w:r>
      <w:r>
        <w:rPr>
          <w:sz w:val="20"/>
        </w:rPr>
        <w:t>b) za první, druhou, třetí, pátou, šestou, sedmou, osmou nebo odrážkou devátou nebo podle článku IV bodu 2 písm. a), c) nebo d) bude postiženo odvodem ve výši odpovídající neoprávněně použitým prostředkům.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 článku IV bodu 1 písm. a) za první nebo čtvrtou odrážkou, bude toto porušení postiženo odvodem ve výši 100 % z poskytnuté podpory. Dojde-li k</w:t>
      </w:r>
      <w:r>
        <w:rPr>
          <w:spacing w:val="-2"/>
          <w:sz w:val="20"/>
        </w:rPr>
        <w:t> </w:t>
      </w:r>
      <w:r>
        <w:rPr>
          <w:sz w:val="20"/>
        </w:rPr>
        <w:t>porušení povinností uvedených v článku IV bodu 1 písm. a) za druhou nebo třetí odrážkou, bude toto porušení postiženo odvodem ve výši 100 % z poskytnuté podpory, byl-li naplněn účel akce podle citovaného ustanovení na méně než 50 % stanovených indikátorů. V případě plnění účelu akce podle v předchozí větě citovaného ustanovení v rozmezí 51 - 95 % stanovených indikátorů, bude toto porušení postiženo odvodem v</w:t>
      </w:r>
      <w:r>
        <w:rPr>
          <w:spacing w:val="-1"/>
          <w:sz w:val="20"/>
        </w:rPr>
        <w:t> </w:t>
      </w:r>
      <w:r>
        <w:rPr>
          <w:sz w:val="20"/>
        </w:rPr>
        <w:t>rozmezí 0,1 – 49 % z poskytnuté podpory, v závislosti na míře porušení stanovených indikátorů účelu akce.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0" w:after="0"/>
        <w:ind w:left="665" w:right="115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6"/>
          <w:sz w:val="20"/>
        </w:rPr>
        <w:t> </w:t>
      </w:r>
      <w:r>
        <w:rPr>
          <w:sz w:val="20"/>
        </w:rPr>
        <w:t>povinností</w:t>
      </w:r>
      <w:r>
        <w:rPr>
          <w:spacing w:val="16"/>
          <w:sz w:val="20"/>
        </w:rPr>
        <w:t> </w:t>
      </w:r>
      <w:r>
        <w:rPr>
          <w:sz w:val="20"/>
        </w:rPr>
        <w:t>podle</w:t>
      </w:r>
      <w:r>
        <w:rPr>
          <w:spacing w:val="17"/>
          <w:sz w:val="20"/>
        </w:rPr>
        <w:t> </w:t>
      </w:r>
      <w:r>
        <w:rPr>
          <w:sz w:val="20"/>
        </w:rPr>
        <w:t>článku</w:t>
      </w:r>
      <w:r>
        <w:rPr>
          <w:spacing w:val="16"/>
          <w:sz w:val="20"/>
        </w:rPr>
        <w:t> </w:t>
      </w:r>
      <w:r>
        <w:rPr>
          <w:sz w:val="20"/>
        </w:rPr>
        <w:t>IV</w:t>
      </w:r>
      <w:r>
        <w:rPr>
          <w:spacing w:val="17"/>
          <w:sz w:val="20"/>
        </w:rPr>
        <w:t> </w:t>
      </w:r>
      <w:r>
        <w:rPr>
          <w:sz w:val="20"/>
        </w:rPr>
        <w:t>bodu</w:t>
      </w:r>
      <w:r>
        <w:rPr>
          <w:spacing w:val="16"/>
          <w:sz w:val="20"/>
        </w:rPr>
        <w:t> </w:t>
      </w:r>
      <w:r>
        <w:rPr>
          <w:sz w:val="20"/>
        </w:rPr>
        <w:t>1</w:t>
      </w:r>
      <w:r>
        <w:rPr>
          <w:spacing w:val="16"/>
          <w:sz w:val="20"/>
        </w:rPr>
        <w:t> </w:t>
      </w:r>
      <w:r>
        <w:rPr>
          <w:sz w:val="20"/>
        </w:rPr>
        <w:t>písm.</w:t>
      </w:r>
      <w:r>
        <w:rPr>
          <w:spacing w:val="16"/>
          <w:sz w:val="20"/>
        </w:rPr>
        <w:t> </w:t>
      </w:r>
      <w:r>
        <w:rPr>
          <w:sz w:val="20"/>
        </w:rPr>
        <w:t>c)</w:t>
      </w:r>
      <w:r>
        <w:rPr>
          <w:spacing w:val="19"/>
          <w:sz w:val="20"/>
        </w:rPr>
        <w:t> </w:t>
      </w:r>
      <w:r>
        <w:rPr>
          <w:sz w:val="20"/>
        </w:rPr>
        <w:t>nebo</w:t>
      </w:r>
      <w:r>
        <w:rPr>
          <w:spacing w:val="17"/>
          <w:sz w:val="20"/>
        </w:rPr>
        <w:t> </w:t>
      </w:r>
      <w:r>
        <w:rPr>
          <w:sz w:val="20"/>
        </w:rPr>
        <w:t>d)</w:t>
      </w:r>
      <w:r>
        <w:rPr>
          <w:spacing w:val="17"/>
          <w:sz w:val="20"/>
        </w:rPr>
        <w:t> </w:t>
      </w:r>
      <w:r>
        <w:rPr>
          <w:sz w:val="20"/>
        </w:rPr>
        <w:t>bude</w:t>
      </w:r>
      <w:r>
        <w:rPr>
          <w:spacing w:val="15"/>
          <w:sz w:val="20"/>
        </w:rPr>
        <w:t> </w:t>
      </w:r>
      <w:r>
        <w:rPr>
          <w:sz w:val="20"/>
        </w:rPr>
        <w:t>postiženo</w:t>
      </w:r>
      <w:r>
        <w:rPr>
          <w:spacing w:val="17"/>
          <w:sz w:val="20"/>
        </w:rPr>
        <w:t> </w:t>
      </w:r>
      <w:r>
        <w:rPr>
          <w:sz w:val="20"/>
        </w:rPr>
        <w:t>odvodem</w:t>
      </w:r>
      <w:r>
        <w:rPr>
          <w:spacing w:val="17"/>
          <w:sz w:val="20"/>
        </w:rPr>
        <w:t> </w:t>
      </w:r>
      <w:r>
        <w:rPr>
          <w:sz w:val="20"/>
        </w:rPr>
        <w:t>ve</w:t>
      </w:r>
      <w:r>
        <w:rPr>
          <w:spacing w:val="15"/>
          <w:sz w:val="20"/>
        </w:rPr>
        <w:t> </w:t>
      </w:r>
      <w:r>
        <w:rPr>
          <w:sz w:val="20"/>
        </w:rPr>
        <w:t>výši</w:t>
      </w:r>
      <w:r>
        <w:rPr>
          <w:spacing w:val="15"/>
          <w:sz w:val="20"/>
        </w:rPr>
        <w:t> </w:t>
      </w:r>
      <w:r>
        <w:rPr>
          <w:sz w:val="20"/>
        </w:rPr>
        <w:t>0,5</w:t>
      </w:r>
      <w:r>
        <w:rPr>
          <w:spacing w:val="16"/>
          <w:sz w:val="20"/>
        </w:rPr>
        <w:t> </w:t>
      </w:r>
      <w:r>
        <w:rPr>
          <w:sz w:val="20"/>
        </w:rPr>
        <w:t>% 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každý</w:t>
      </w:r>
      <w:r>
        <w:rPr>
          <w:spacing w:val="-4"/>
          <w:sz w:val="20"/>
        </w:rPr>
        <w:t> </w:t>
      </w:r>
      <w:r>
        <w:rPr>
          <w:sz w:val="20"/>
        </w:rPr>
        <w:t>započatý</w:t>
      </w:r>
      <w:r>
        <w:rPr>
          <w:spacing w:val="-1"/>
          <w:sz w:val="20"/>
        </w:rPr>
        <w:t> </w:t>
      </w:r>
      <w:r>
        <w:rPr>
          <w:sz w:val="20"/>
        </w:rPr>
        <w:t>měsíc</w:t>
      </w:r>
      <w:r>
        <w:rPr>
          <w:spacing w:val="-4"/>
          <w:sz w:val="20"/>
        </w:rPr>
        <w:t> </w:t>
      </w:r>
      <w:r>
        <w:rPr>
          <w:sz w:val="20"/>
        </w:rPr>
        <w:t>prodlení.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4"/>
          <w:sz w:val="20"/>
        </w:rPr>
        <w:t> </w:t>
      </w:r>
      <w:r>
        <w:rPr>
          <w:sz w:val="20"/>
        </w:rPr>
        <w:t>těchto</w:t>
      </w:r>
      <w:r>
        <w:rPr>
          <w:spacing w:val="-3"/>
          <w:sz w:val="20"/>
        </w:rPr>
        <w:t> </w:t>
      </w:r>
      <w:r>
        <w:rPr>
          <w:sz w:val="20"/>
        </w:rPr>
        <w:t>povinností</w:t>
      </w:r>
      <w:r>
        <w:rPr>
          <w:spacing w:val="-4"/>
          <w:sz w:val="20"/>
        </w:rPr>
        <w:t> </w:t>
      </w:r>
      <w:r>
        <w:rPr>
          <w:sz w:val="20"/>
        </w:rPr>
        <w:t>nepřesahující</w:t>
      </w:r>
      <w:r>
        <w:rPr>
          <w:spacing w:val="-4"/>
          <w:sz w:val="20"/>
        </w:rPr>
        <w:t> </w:t>
      </w:r>
      <w:r>
        <w:rPr>
          <w:sz w:val="20"/>
        </w:rPr>
        <w:t>lhůtu 10 kalendářních dnů nebude postiženo a nebude tak považováno za porušení podmínek poskytnutí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-2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dojde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povinností</w:t>
      </w:r>
      <w:r>
        <w:rPr>
          <w:spacing w:val="-3"/>
          <w:sz w:val="20"/>
        </w:rPr>
        <w:t> </w:t>
      </w:r>
      <w:r>
        <w:rPr>
          <w:sz w:val="20"/>
        </w:rPr>
        <w:t>uvedených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písm. j),</w:t>
      </w:r>
      <w:r>
        <w:rPr>
          <w:spacing w:val="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stanoven</w:t>
      </w:r>
      <w:r>
        <w:rPr>
          <w:spacing w:val="-2"/>
          <w:sz w:val="20"/>
        </w:rPr>
        <w:t> odvod</w:t>
      </w:r>
    </w:p>
    <w:p>
      <w:pPr>
        <w:pStyle w:val="BodyText"/>
      </w:pPr>
      <w:r>
        <w:rPr/>
        <w:t>podle</w:t>
      </w:r>
      <w:r>
        <w:rPr>
          <w:spacing w:val="-6"/>
        </w:rPr>
        <w:t> </w:t>
      </w:r>
      <w:r>
        <w:rPr/>
        <w:t>přílohy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/>
        <w:t>1</w:t>
      </w:r>
      <w:r>
        <w:rPr>
          <w:spacing w:val="-3"/>
        </w:rPr>
        <w:t> </w:t>
      </w:r>
      <w:r>
        <w:rPr/>
        <w:t>této</w:t>
      </w:r>
      <w:r>
        <w:rPr>
          <w:spacing w:val="-5"/>
        </w:rPr>
        <w:t> </w:t>
      </w:r>
      <w:r>
        <w:rPr>
          <w:spacing w:val="-2"/>
        </w:rPr>
        <w:t>Smlouvy.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1"/>
          <w:sz w:val="20"/>
        </w:rPr>
        <w:t> </w:t>
      </w:r>
      <w:r>
        <w:rPr>
          <w:sz w:val="20"/>
        </w:rPr>
        <w:t>ostatních</w:t>
      </w:r>
      <w:r>
        <w:rPr>
          <w:spacing w:val="12"/>
          <w:sz w:val="20"/>
        </w:rPr>
        <w:t> </w:t>
      </w:r>
      <w:r>
        <w:rPr>
          <w:sz w:val="20"/>
        </w:rPr>
        <w:t>povinností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0"/>
          <w:sz w:val="20"/>
        </w:rPr>
        <w:t> </w:t>
      </w:r>
      <w:r>
        <w:rPr>
          <w:sz w:val="20"/>
        </w:rPr>
        <w:t>této</w:t>
      </w:r>
      <w:r>
        <w:rPr>
          <w:spacing w:val="12"/>
          <w:sz w:val="20"/>
        </w:rPr>
        <w:t> </w:t>
      </w:r>
      <w:r>
        <w:rPr>
          <w:sz w:val="20"/>
        </w:rPr>
        <w:t>Smlouvy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postiženo</w:t>
      </w:r>
      <w:r>
        <w:rPr>
          <w:spacing w:val="12"/>
          <w:sz w:val="20"/>
        </w:rPr>
        <w:t> </w:t>
      </w:r>
      <w:r>
        <w:rPr>
          <w:sz w:val="20"/>
        </w:rPr>
        <w:t>odvodem</w:t>
      </w:r>
      <w:r>
        <w:rPr>
          <w:spacing w:val="12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1</w:t>
      </w:r>
      <w:r>
        <w:rPr>
          <w:spacing w:val="12"/>
          <w:sz w:val="20"/>
        </w:rPr>
        <w:t> </w:t>
      </w:r>
      <w:r>
        <w:rPr>
          <w:sz w:val="20"/>
        </w:rPr>
        <w:t>%</w:t>
      </w:r>
      <w:r>
        <w:rPr>
          <w:spacing w:val="12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jc w:val="left"/>
      </w:pPr>
      <w:r>
        <w:rPr>
          <w:spacing w:val="-2"/>
        </w:rPr>
        <w:t>podpory.</w:t>
      </w:r>
    </w:p>
    <w:p>
      <w:pPr>
        <w:pStyle w:val="BodyText"/>
        <w:spacing w:before="12"/>
        <w:ind w:left="0"/>
        <w:jc w:val="left"/>
        <w:rPr>
          <w:sz w:val="35"/>
        </w:rPr>
      </w:pPr>
    </w:p>
    <w:p>
      <w:pPr>
        <w:pStyle w:val="Heading1"/>
        <w:spacing w:before="1"/>
        <w:ind w:right="1059"/>
      </w:pPr>
      <w:r>
        <w:rPr>
          <w:spacing w:val="-5"/>
        </w:rPr>
        <w:t>VI.</w:t>
      </w:r>
    </w:p>
    <w:p>
      <w:pPr>
        <w:pStyle w:val="Heading2"/>
        <w:ind w:right="1059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2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-1"/>
          <w:sz w:val="20"/>
        </w:rPr>
        <w:t> </w:t>
      </w:r>
      <w:r>
        <w:rPr>
          <w:sz w:val="20"/>
        </w:rPr>
        <w:t>Smlouva</w:t>
      </w:r>
      <w:r>
        <w:rPr>
          <w:spacing w:val="-2"/>
          <w:sz w:val="20"/>
        </w:rPr>
        <w:t> </w:t>
      </w:r>
      <w:r>
        <w:rPr>
          <w:sz w:val="20"/>
        </w:rPr>
        <w:t>může</w:t>
      </w:r>
      <w:r>
        <w:rPr>
          <w:spacing w:val="-3"/>
          <w:sz w:val="20"/>
        </w:rPr>
        <w:t> </w:t>
      </w:r>
      <w:r>
        <w:rPr>
          <w:sz w:val="20"/>
        </w:rPr>
        <w:t>být</w:t>
      </w:r>
      <w:r>
        <w:rPr>
          <w:spacing w:val="-2"/>
          <w:sz w:val="20"/>
        </w:rPr>
        <w:t> </w:t>
      </w:r>
      <w:r>
        <w:rPr>
          <w:sz w:val="20"/>
        </w:rPr>
        <w:t>měněna</w:t>
      </w:r>
      <w:r>
        <w:rPr>
          <w:spacing w:val="-2"/>
          <w:sz w:val="20"/>
        </w:rPr>
        <w:t> </w:t>
      </w:r>
      <w:r>
        <w:rPr>
          <w:sz w:val="20"/>
        </w:rPr>
        <w:t>nebo</w:t>
      </w:r>
      <w:r>
        <w:rPr>
          <w:spacing w:val="-1"/>
          <w:sz w:val="20"/>
        </w:rPr>
        <w:t> </w:t>
      </w:r>
      <w:r>
        <w:rPr>
          <w:sz w:val="20"/>
        </w:rPr>
        <w:t>zrušena</w:t>
      </w:r>
      <w:r>
        <w:rPr>
          <w:spacing w:val="-2"/>
          <w:sz w:val="20"/>
        </w:rPr>
        <w:t> </w:t>
      </w:r>
      <w:r>
        <w:rPr>
          <w:sz w:val="20"/>
        </w:rPr>
        <w:t>pouze</w:t>
      </w:r>
      <w:r>
        <w:rPr>
          <w:spacing w:val="-3"/>
          <w:sz w:val="20"/>
        </w:rPr>
        <w:t> </w:t>
      </w:r>
      <w:r>
        <w:rPr>
          <w:sz w:val="20"/>
        </w:rPr>
        <w:t>dohodou</w:t>
      </w:r>
      <w:r>
        <w:rPr>
          <w:spacing w:val="-1"/>
          <w:sz w:val="20"/>
        </w:rPr>
        <w:t> </w:t>
      </w:r>
      <w:r>
        <w:rPr>
          <w:sz w:val="20"/>
        </w:rPr>
        <w:t>obou</w:t>
      </w:r>
      <w:r>
        <w:rPr>
          <w:spacing w:val="-1"/>
          <w:sz w:val="20"/>
        </w:rPr>
        <w:t> </w:t>
      </w:r>
      <w:r>
        <w:rPr>
          <w:sz w:val="20"/>
        </w:rPr>
        <w:t>smluvních</w:t>
      </w:r>
      <w:r>
        <w:rPr>
          <w:spacing w:val="-2"/>
          <w:sz w:val="20"/>
        </w:rPr>
        <w:t> </w:t>
      </w:r>
      <w:r>
        <w:rPr>
          <w:sz w:val="20"/>
        </w:rPr>
        <w:t>stran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písemné</w:t>
      </w:r>
      <w:r>
        <w:rPr>
          <w:spacing w:val="-2"/>
          <w:sz w:val="20"/>
        </w:rPr>
        <w:t> formě.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580" w:left="1320" w:right="1020"/>
        </w:sectPr>
      </w:pPr>
    </w:p>
    <w:p>
      <w:pPr>
        <w:pStyle w:val="BodyText"/>
        <w:spacing w:before="73"/>
        <w:ind w:right="119"/>
      </w:pPr>
      <w:r>
        <w:rPr/>
        <w:t>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možno</w:t>
      </w:r>
      <w:r>
        <w:rPr>
          <w:spacing w:val="20"/>
          <w:sz w:val="20"/>
        </w:rPr>
        <w:t> </w:t>
      </w:r>
      <w:r>
        <w:rPr>
          <w:sz w:val="20"/>
        </w:rPr>
        <w:t>tuto</w:t>
      </w:r>
      <w:r>
        <w:rPr>
          <w:spacing w:val="21"/>
          <w:sz w:val="20"/>
        </w:rPr>
        <w:t> </w:t>
      </w:r>
      <w:r>
        <w:rPr>
          <w:sz w:val="20"/>
        </w:rPr>
        <w:t>Smlouvu</w:t>
      </w:r>
      <w:r>
        <w:rPr>
          <w:spacing w:val="20"/>
          <w:sz w:val="20"/>
        </w:rPr>
        <w:t> </w:t>
      </w:r>
      <w:r>
        <w:rPr>
          <w:sz w:val="20"/>
        </w:rPr>
        <w:t>vypovědět</w:t>
      </w:r>
      <w:r>
        <w:rPr>
          <w:spacing w:val="19"/>
          <w:sz w:val="20"/>
        </w:rPr>
        <w:t> </w:t>
      </w:r>
      <w:r>
        <w:rPr>
          <w:sz w:val="20"/>
        </w:rPr>
        <w:t>pouze</w:t>
      </w:r>
      <w:r>
        <w:rPr>
          <w:spacing w:val="19"/>
          <w:sz w:val="20"/>
        </w:rPr>
        <w:t> </w:t>
      </w:r>
      <w:r>
        <w:rPr>
          <w:sz w:val="20"/>
        </w:rPr>
        <w:t>za</w:t>
      </w:r>
      <w:r>
        <w:rPr>
          <w:spacing w:val="20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stanovených</w:t>
      </w:r>
      <w:r>
        <w:rPr>
          <w:spacing w:val="19"/>
          <w:sz w:val="20"/>
        </w:rPr>
        <w:t> </w:t>
      </w:r>
      <w:r>
        <w:rPr>
          <w:sz w:val="20"/>
        </w:rPr>
        <w:t>zákonem</w:t>
      </w:r>
      <w:r>
        <w:rPr>
          <w:spacing w:val="20"/>
          <w:sz w:val="20"/>
        </w:rPr>
        <w:t> </w:t>
      </w:r>
      <w:r>
        <w:rPr>
          <w:sz w:val="20"/>
        </w:rPr>
        <w:t>či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touto</w:t>
      </w:r>
    </w:p>
    <w:p>
      <w:pPr>
        <w:pStyle w:val="BodyText"/>
        <w:spacing w:before="1"/>
        <w:jc w:val="left"/>
      </w:pPr>
      <w:r>
        <w:rPr>
          <w:spacing w:val="-2"/>
        </w:rPr>
        <w:t>Smlouvou.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  <w:jc w:val="left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8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4"/>
        </w:rPr>
        <w:t> </w:t>
      </w:r>
      <w:r>
        <w:rPr>
          <w:spacing w:val="-2"/>
        </w:rPr>
        <w:t>čtvrté.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0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30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registru</w:t>
      </w:r>
      <w:r>
        <w:rPr>
          <w:spacing w:val="-7"/>
          <w:sz w:val="20"/>
        </w:rPr>
        <w:t> </w:t>
      </w:r>
      <w:r>
        <w:rPr>
          <w:sz w:val="20"/>
        </w:rPr>
        <w:t>smluv</w:t>
      </w:r>
      <w:r>
        <w:rPr>
          <w:spacing w:val="-10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jc w:val="left"/>
        <w:rPr>
          <w:sz w:val="36"/>
        </w:rPr>
      </w:pPr>
    </w:p>
    <w:p>
      <w:pPr>
        <w:pStyle w:val="BodyText"/>
        <w:tabs>
          <w:tab w:pos="6831" w:val="left" w:leader="none"/>
        </w:tabs>
        <w:spacing w:before="1"/>
        <w:ind w:left="382"/>
        <w:jc w:val="left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ind w:left="0"/>
        <w:jc w:val="left"/>
        <w:rPr>
          <w:sz w:val="18"/>
        </w:rPr>
      </w:pPr>
    </w:p>
    <w:p>
      <w:pPr>
        <w:pStyle w:val="BodyText"/>
        <w:spacing w:before="1"/>
        <w:ind w:left="382"/>
        <w:jc w:val="left"/>
      </w:pPr>
      <w:r>
        <w:rPr>
          <w:spacing w:val="-4"/>
        </w:rPr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"/>
        <w:ind w:left="0"/>
        <w:jc w:val="left"/>
        <w:rPr>
          <w:sz w:val="28"/>
        </w:rPr>
      </w:pPr>
    </w:p>
    <w:p>
      <w:pPr>
        <w:tabs>
          <w:tab w:pos="6862" w:val="left" w:leader="none"/>
        </w:tabs>
        <w:spacing w:before="1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ind w:left="382"/>
        <w:jc w:val="left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37"/>
        </w:rPr>
      </w:pPr>
    </w:p>
    <w:p>
      <w:pPr>
        <w:pStyle w:val="BodyText"/>
        <w:spacing w:line="264" w:lineRule="auto" w:before="1"/>
        <w:ind w:left="382"/>
        <w:jc w:val="left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80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jc w:val="left"/>
        <w:sectPr>
          <w:pgSz w:w="12240" w:h="15840"/>
          <w:pgMar w:header="0" w:footer="1384" w:top="1060" w:bottom="1660" w:left="1320" w:right="1020"/>
        </w:sectPr>
      </w:pPr>
    </w:p>
    <w:p>
      <w:pPr>
        <w:pStyle w:val="BodyText"/>
        <w:spacing w:before="73"/>
        <w:ind w:left="382"/>
        <w:jc w:val="left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6"/>
        </w:rPr>
        <w:t> </w:t>
      </w:r>
      <w:r>
        <w:rPr/>
        <w:t>podpory</w:t>
      </w:r>
      <w:r>
        <w:rPr>
          <w:spacing w:val="-7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1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32"/>
        </w:rPr>
      </w:pPr>
    </w:p>
    <w:p>
      <w:pPr>
        <w:pStyle w:val="Heading2"/>
        <w:spacing w:line="264" w:lineRule="auto"/>
        <w:ind w:left="382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1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j)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1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80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</w:t>
      </w:r>
      <w:r>
        <w:rPr>
          <w:spacing w:val="-3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4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2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1" w:after="0"/>
        <w:ind w:left="665" w:right="0"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případě,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9"/>
          <w:sz w:val="20"/>
        </w:rPr>
        <w:t> </w:t>
      </w:r>
      <w:r>
        <w:rPr>
          <w:sz w:val="20"/>
        </w:rPr>
        <w:t>bude</w:t>
      </w:r>
      <w:r>
        <w:rPr>
          <w:spacing w:val="9"/>
          <w:sz w:val="20"/>
        </w:rPr>
        <w:t> </w:t>
      </w:r>
      <w:r>
        <w:rPr>
          <w:sz w:val="20"/>
        </w:rPr>
        <w:t>identifikováno</w:t>
      </w:r>
      <w:r>
        <w:rPr>
          <w:spacing w:val="11"/>
          <w:sz w:val="20"/>
        </w:rPr>
        <w:t> </w:t>
      </w:r>
      <w:r>
        <w:rPr>
          <w:sz w:val="20"/>
        </w:rPr>
        <w:t>porušení,</w:t>
      </w:r>
      <w:r>
        <w:rPr>
          <w:spacing w:val="10"/>
          <w:sz w:val="20"/>
        </w:rPr>
        <w:t> </w:t>
      </w:r>
      <w:r>
        <w:rPr>
          <w:sz w:val="20"/>
        </w:rPr>
        <w:t>které</w:t>
      </w:r>
      <w:r>
        <w:rPr>
          <w:spacing w:val="10"/>
          <w:sz w:val="20"/>
        </w:rPr>
        <w:t> </w:t>
      </w:r>
      <w:r>
        <w:rPr>
          <w:sz w:val="20"/>
        </w:rPr>
        <w:t>nelze</w:t>
      </w:r>
      <w:r>
        <w:rPr>
          <w:spacing w:val="9"/>
          <w:sz w:val="20"/>
        </w:rPr>
        <w:t> </w:t>
      </w:r>
      <w:r>
        <w:rPr>
          <w:sz w:val="20"/>
        </w:rPr>
        <w:t>podřadit</w:t>
      </w:r>
      <w:r>
        <w:rPr>
          <w:spacing w:val="10"/>
          <w:sz w:val="20"/>
        </w:rPr>
        <w:t> </w:t>
      </w:r>
      <w:r>
        <w:rPr>
          <w:sz w:val="20"/>
        </w:rPr>
        <w:t>pod</w:t>
      </w:r>
      <w:r>
        <w:rPr>
          <w:spacing w:val="11"/>
          <w:sz w:val="20"/>
        </w:rPr>
        <w:t> </w:t>
      </w:r>
      <w:r>
        <w:rPr>
          <w:sz w:val="20"/>
        </w:rPr>
        <w:t>konkrétní</w:t>
      </w:r>
      <w:r>
        <w:rPr>
          <w:spacing w:val="12"/>
          <w:sz w:val="20"/>
        </w:rPr>
        <w:t> </w:t>
      </w:r>
      <w:r>
        <w:rPr>
          <w:sz w:val="20"/>
        </w:rPr>
        <w:t>typ</w:t>
      </w:r>
      <w:r>
        <w:rPr>
          <w:spacing w:val="11"/>
          <w:sz w:val="20"/>
        </w:rPr>
        <w:t> </w:t>
      </w:r>
      <w:r>
        <w:rPr>
          <w:sz w:val="20"/>
        </w:rPr>
        <w:t>porušení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uvedený</w:t>
      </w:r>
    </w:p>
    <w:p>
      <w:pPr>
        <w:pStyle w:val="BodyText"/>
        <w:spacing w:before="79"/>
      </w:pPr>
      <w:r>
        <w:rPr>
          <w:w w:val="95"/>
        </w:rPr>
        <w:t>v</w:t>
      </w:r>
      <w:r>
        <w:rPr>
          <w:spacing w:val="22"/>
        </w:rPr>
        <w:t> </w:t>
      </w:r>
      <w:r>
        <w:rPr>
          <w:w w:val="95"/>
        </w:rPr>
        <w:t>kapitole</w:t>
      </w:r>
      <w:r>
        <w:rPr>
          <w:spacing w:val="4"/>
        </w:rPr>
        <w:t> </w:t>
      </w:r>
      <w:r>
        <w:rPr>
          <w:w w:val="95"/>
        </w:rPr>
        <w:t>B.</w:t>
      </w:r>
      <w:r>
        <w:rPr>
          <w:spacing w:val="5"/>
        </w:rPr>
        <w:t> </w:t>
      </w:r>
      <w:r>
        <w:rPr>
          <w:w w:val="95"/>
        </w:rPr>
        <w:t>–</w:t>
      </w:r>
      <w:r>
        <w:rPr>
          <w:spacing w:val="4"/>
        </w:rPr>
        <w:t> </w:t>
      </w:r>
      <w:r>
        <w:rPr>
          <w:w w:val="95"/>
        </w:rPr>
        <w:t>Typy</w:t>
      </w:r>
      <w:r>
        <w:rPr>
          <w:spacing w:val="5"/>
        </w:rPr>
        <w:t> </w:t>
      </w:r>
      <w:r>
        <w:rPr>
          <w:w w:val="95"/>
        </w:rPr>
        <w:t>porušení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sazby</w:t>
      </w:r>
      <w:r>
        <w:rPr>
          <w:spacing w:val="5"/>
        </w:rPr>
        <w:t> </w:t>
      </w:r>
      <w:r>
        <w:rPr>
          <w:w w:val="95"/>
        </w:rPr>
        <w:t>odvodů,</w:t>
      </w:r>
      <w:r>
        <w:rPr>
          <w:spacing w:val="6"/>
        </w:rPr>
        <w:t> </w:t>
      </w:r>
      <w:r>
        <w:rPr>
          <w:w w:val="95"/>
        </w:rPr>
        <w:t>bude</w:t>
      </w:r>
      <w:r>
        <w:rPr>
          <w:spacing w:val="4"/>
        </w:rPr>
        <w:t> </w:t>
      </w:r>
      <w:r>
        <w:rPr>
          <w:w w:val="95"/>
        </w:rPr>
        <w:t>stanoven</w:t>
      </w:r>
      <w:r>
        <w:rPr>
          <w:spacing w:val="5"/>
        </w:rPr>
        <w:t> </w:t>
      </w:r>
      <w:r>
        <w:rPr>
          <w:w w:val="95"/>
        </w:rPr>
        <w:t>odvod</w:t>
      </w:r>
      <w:r>
        <w:rPr>
          <w:spacing w:val="5"/>
        </w:rPr>
        <w:t> </w:t>
      </w:r>
      <w:r>
        <w:rPr>
          <w:w w:val="95"/>
        </w:rPr>
        <w:t>analogicky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dle</w:t>
      </w:r>
      <w:r>
        <w:rPr>
          <w:spacing w:val="4"/>
        </w:rPr>
        <w:t> </w:t>
      </w:r>
      <w:r>
        <w:rPr>
          <w:w w:val="95"/>
        </w:rPr>
        <w:t>zásady</w:t>
      </w:r>
      <w:r>
        <w:rPr>
          <w:spacing w:val="4"/>
        </w:rPr>
        <w:t> </w:t>
      </w:r>
      <w:r>
        <w:rPr>
          <w:spacing w:val="-2"/>
          <w:w w:val="95"/>
        </w:rPr>
        <w:t>přiměřenosti.</w:t>
      </w:r>
    </w:p>
    <w:p>
      <w:pPr>
        <w:spacing w:after="0"/>
        <w:sectPr>
          <w:pgSz w:w="12240" w:h="15840"/>
          <w:pgMar w:header="0" w:footer="1384" w:top="1060" w:bottom="1660" w:left="1320" w:right="1020"/>
        </w:sectPr>
      </w:pPr>
    </w:p>
    <w:p>
      <w:pPr>
        <w:pStyle w:val="Heading1"/>
        <w:numPr>
          <w:ilvl w:val="0"/>
          <w:numId w:val="7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Pokynech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84" w:top="1060" w:bottom="321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917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zadávací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postup,</w:t>
            </w:r>
          </w:p>
          <w:p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 řízení s uveřejněním nebo v soutěžním dialogu</w:t>
            </w:r>
          </w:p>
          <w:p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65" w:lineRule="exact"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spacing w:before="1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hyperlink w:history="true" w:anchor="_bookmark0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13"/>
        <w:ind w:left="0"/>
        <w:jc w:val="left"/>
        <w:rPr>
          <w:b/>
          <w:sz w:val="19"/>
        </w:rPr>
      </w:pPr>
      <w:r>
        <w:rPr/>
        <w:pict>
          <v:rect style="position:absolute;margin-left:85.103996pt;margin-top:14.49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12"/>
        <w:ind w:left="0"/>
        <w:jc w:val="left"/>
        <w:rPr>
          <w:b/>
          <w:sz w:val="13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pochybení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realizace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14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užitné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prostřednictvím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line="237" w:lineRule="auto" w:before="4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225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line="237" w:lineRule="auto" w:before="3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spacing w:before="1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51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4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</w:tc>
      </w:tr>
    </w:tbl>
    <w:p>
      <w:pPr>
        <w:pStyle w:val="BodyText"/>
        <w:spacing w:before="7"/>
        <w:ind w:left="0"/>
        <w:jc w:val="left"/>
        <w:rPr>
          <w:sz w:val="27"/>
        </w:rPr>
      </w:pPr>
      <w:r>
        <w:rPr/>
        <w:pict>
          <v:rect style="position:absolute;margin-left:85.103996pt;margin-top:19.550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</w:pPr>
    </w:p>
    <w:p>
      <w:pPr>
        <w:pStyle w:val="BodyText"/>
        <w:spacing w:before="12"/>
        <w:ind w:left="0"/>
        <w:jc w:val="left"/>
        <w:rPr>
          <w:sz w:val="13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nepodíleli jiní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5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p>
      <w:pPr>
        <w:spacing w:after="0" w:line="265" w:lineRule="exact"/>
        <w:rPr>
          <w:sz w:val="20"/>
        </w:rPr>
        <w:sectPr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3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47"/>
              <w:rPr>
                <w:sz w:val="20"/>
              </w:rPr>
            </w:pPr>
            <w:r>
              <w:rPr>
                <w:sz w:val="20"/>
              </w:rPr>
              <w:t>souladu jeho postupu podle článku IV bodu 2 písm. j), včetně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základních</w:t>
            </w:r>
          </w:p>
          <w:p>
            <w:pPr>
              <w:pStyle w:val="TableParagraph"/>
              <w:spacing w:line="237" w:lineRule="auto" w:before="4"/>
              <w:ind w:right="131"/>
              <w:rPr>
                <w:sz w:val="20"/>
              </w:rPr>
            </w:pPr>
            <w:r>
              <w:rPr>
                <w:sz w:val="20"/>
              </w:rPr>
              <w:t>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2240" w:h="15840"/>
      <w:pgMar w:header="0" w:footer="1384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54976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2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37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4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55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6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3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82" w:hanging="380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1234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368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496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624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752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880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2009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25" w:right="1057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32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2024-06-25T12:07:52Z</dcterms:created>
  <dcterms:modified xsi:type="dcterms:W3CDTF">2024-06-25T12:07:52Z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2024-06-25T00:00:00Z</vt:filetime>
  </property>
</Properties>
</file>