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NPU1002353902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641C4A7D" w:rsidR="00A92ACE" w:rsidRPr="00F767BB" w:rsidRDefault="00F767BB" w:rsidP="00A92AC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133920884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94114" w:rsidRPr="00F767BB">
                              <w:rPr>
                                <w:rStyle w:val="Drobnpsmo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NPU-420/53134/2024</w:t>
                            </w:r>
                            <w:bookmarkEnd w:id="0"/>
                          </w:p>
                          <w:p w14:paraId="028806BE" w14:textId="4733E65D" w:rsidR="00AA4877" w:rsidRPr="00F767BB" w:rsidRDefault="00F767BB" w:rsidP="00F767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2ACE" w:rsidRPr="00F767B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WAM</w:t>
                            </w:r>
                            <w:r w:rsidRPr="00F767B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2026H1230007 - 3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NPU1002353902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641C4A7D" w:rsidR="00A92ACE" w:rsidRPr="00F767BB" w:rsidRDefault="00F767BB" w:rsidP="00A92ACE">
                      <w:pP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bookmarkStart w:id="1" w:name="_Hlk133920884"/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      </w:t>
                      </w:r>
                      <w:r w:rsidR="00694114" w:rsidRPr="00F767BB">
                        <w:rPr>
                          <w:rStyle w:val="Drobnpsmo"/>
                          <w:rFonts w:asciiTheme="minorHAnsi" w:hAnsiTheme="minorHAnsi" w:cstheme="minorHAnsi"/>
                          <w:sz w:val="22"/>
                          <w:szCs w:val="22"/>
                        </w:rPr>
                        <w:t>NPU-420/53134/2024</w:t>
                      </w:r>
                      <w:bookmarkEnd w:id="1"/>
                    </w:p>
                    <w:p w14:paraId="028806BE" w14:textId="4733E65D" w:rsidR="00AA4877" w:rsidRPr="00F767BB" w:rsidRDefault="00F767BB" w:rsidP="00F767B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 </w:t>
                      </w:r>
                      <w:r w:rsidR="00A92ACE" w:rsidRPr="00F767BB">
                        <w:rPr>
                          <w:rFonts w:ascii="Calibri" w:hAnsi="Calibri" w:cs="Calibri"/>
                          <w:sz w:val="22"/>
                          <w:szCs w:val="22"/>
                        </w:rPr>
                        <w:t>WAM</w:t>
                      </w:r>
                      <w:r w:rsidRPr="00F767B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2026H1230007 - 3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B37A3BA" w14:textId="77777777" w:rsidR="00F767BB" w:rsidRPr="00F767BB" w:rsidRDefault="00F767BB" w:rsidP="00F767BB">
      <w:pPr>
        <w:pStyle w:val="Nadpis1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</w:p>
    <w:p w14:paraId="34E4EC7D" w14:textId="77777777" w:rsidR="00F767BB" w:rsidRPr="00F767BB" w:rsidRDefault="00F767BB" w:rsidP="00F767BB">
      <w:pPr>
        <w:pStyle w:val="Nadpis1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</w:p>
    <w:p w14:paraId="11B4A5F5" w14:textId="6090FA73" w:rsidR="00F767BB" w:rsidRPr="0031466C" w:rsidRDefault="00F767BB" w:rsidP="00F767BB">
      <w:pPr>
        <w:pStyle w:val="Nadpis1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31466C">
        <w:rPr>
          <w:b/>
          <w:bCs/>
          <w:sz w:val="22"/>
          <w:szCs w:val="22"/>
          <w:lang w:val="cs-CZ"/>
        </w:rPr>
        <w:t xml:space="preserve">Dodatek č. </w:t>
      </w:r>
      <w:r>
        <w:rPr>
          <w:b/>
          <w:bCs/>
          <w:sz w:val="22"/>
          <w:szCs w:val="22"/>
          <w:lang w:val="cs-CZ"/>
        </w:rPr>
        <w:t>3</w:t>
      </w:r>
      <w:r w:rsidRPr="0031466C">
        <w:rPr>
          <w:b/>
          <w:bCs/>
          <w:sz w:val="22"/>
          <w:szCs w:val="22"/>
          <w:lang w:val="cs-CZ"/>
        </w:rPr>
        <w:t xml:space="preserve"> ke </w:t>
      </w:r>
      <w:r>
        <w:rPr>
          <w:b/>
          <w:bCs/>
          <w:sz w:val="22"/>
          <w:szCs w:val="22"/>
          <w:lang w:val="cs-CZ"/>
        </w:rPr>
        <w:t>s</w:t>
      </w:r>
      <w:proofErr w:type="spellStart"/>
      <w:r w:rsidRPr="0031466C">
        <w:rPr>
          <w:b/>
          <w:bCs/>
          <w:sz w:val="22"/>
          <w:szCs w:val="22"/>
        </w:rPr>
        <w:t>mlouv</w:t>
      </w:r>
      <w:r w:rsidRPr="0031466C">
        <w:rPr>
          <w:b/>
          <w:bCs/>
          <w:sz w:val="22"/>
          <w:szCs w:val="22"/>
          <w:lang w:val="cs-CZ"/>
        </w:rPr>
        <w:t>ě</w:t>
      </w:r>
      <w:proofErr w:type="spellEnd"/>
      <w:r w:rsidRPr="0031466C">
        <w:rPr>
          <w:b/>
          <w:bCs/>
          <w:sz w:val="22"/>
          <w:szCs w:val="22"/>
        </w:rPr>
        <w:t xml:space="preserve"> o </w:t>
      </w:r>
      <w:r w:rsidRPr="0031466C">
        <w:rPr>
          <w:b/>
          <w:bCs/>
          <w:sz w:val="22"/>
          <w:szCs w:val="22"/>
          <w:lang w:val="cs-CZ"/>
        </w:rPr>
        <w:t>dílo</w:t>
      </w:r>
    </w:p>
    <w:p w14:paraId="5A4F6299" w14:textId="77777777" w:rsidR="00F767BB" w:rsidRPr="0031466C" w:rsidRDefault="00F767BB" w:rsidP="00F767BB">
      <w:pPr>
        <w:pStyle w:val="Nadpis1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31466C">
        <w:rPr>
          <w:b/>
          <w:bCs/>
          <w:sz w:val="22"/>
          <w:szCs w:val="22"/>
          <w:lang w:val="cs-CZ"/>
        </w:rPr>
        <w:t xml:space="preserve">NPÚ, SHZ Bečov nad Teplou – rekonstrukce, obnova a restaurování Horního hradu </w:t>
      </w:r>
    </w:p>
    <w:p w14:paraId="32866312" w14:textId="77777777" w:rsidR="00F767BB" w:rsidRPr="0031466C" w:rsidRDefault="00F767BB" w:rsidP="00F767BB">
      <w:pPr>
        <w:contextualSpacing/>
        <w:jc w:val="center"/>
        <w:rPr>
          <w:sz w:val="22"/>
          <w:szCs w:val="22"/>
        </w:rPr>
      </w:pPr>
    </w:p>
    <w:p w14:paraId="68937B0F" w14:textId="77777777" w:rsidR="00F767BB" w:rsidRPr="00A93B97" w:rsidRDefault="00F767BB" w:rsidP="00F767BB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uzavřený níže uvedeného dne, měsíce a roku podle ustanovení § 1901 zákona č. 89/2012Sb., občanského zákoníku, v platném a účinném znění</w:t>
      </w:r>
    </w:p>
    <w:p w14:paraId="7CE4E043" w14:textId="77777777" w:rsidR="00F767BB" w:rsidRPr="00A93B97" w:rsidRDefault="00F767BB" w:rsidP="00F767BB">
      <w:pPr>
        <w:pStyle w:val="Nadpi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</w:p>
    <w:p w14:paraId="737C672B" w14:textId="77777777" w:rsidR="00F767BB" w:rsidRPr="00A93B97" w:rsidRDefault="00F767BB" w:rsidP="00F767BB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14:paraId="068ECE24" w14:textId="77777777" w:rsidR="00F767BB" w:rsidRPr="00A93B97" w:rsidRDefault="00F767BB" w:rsidP="00F767BB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2F86F5C0" w14:textId="77777777" w:rsidR="00F767BB" w:rsidRPr="00A93B97" w:rsidRDefault="00F767BB" w:rsidP="00F767BB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se sídlem Valdštejnské náměstí 162/3, 118 01 Praha 1 - Malá Strana</w:t>
      </w:r>
    </w:p>
    <w:p w14:paraId="678E82D7" w14:textId="77777777" w:rsidR="00F767BB" w:rsidRPr="00A93B97" w:rsidRDefault="00F767BB" w:rsidP="00F767BB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bCs/>
          <w:sz w:val="22"/>
          <w:szCs w:val="22"/>
        </w:rPr>
        <w:t xml:space="preserve">zastoupen: Mgr. et Mgr. Petrem </w:t>
      </w:r>
      <w:proofErr w:type="spellStart"/>
      <w:r w:rsidRPr="00A93B97">
        <w:rPr>
          <w:rFonts w:asciiTheme="minorHAnsi" w:hAnsiTheme="minorHAnsi" w:cstheme="minorHAnsi"/>
          <w:bCs/>
          <w:sz w:val="22"/>
          <w:szCs w:val="22"/>
        </w:rPr>
        <w:t>Spejchalem</w:t>
      </w:r>
      <w:proofErr w:type="spellEnd"/>
      <w:r w:rsidRPr="00A93B97">
        <w:rPr>
          <w:rFonts w:asciiTheme="minorHAnsi" w:hAnsiTheme="minorHAnsi" w:cstheme="minorHAnsi"/>
          <w:bCs/>
          <w:sz w:val="22"/>
          <w:szCs w:val="22"/>
        </w:rPr>
        <w:t>, ředitelem územní památkové správy NPÚ v Praze</w:t>
      </w:r>
    </w:p>
    <w:p w14:paraId="613E65DE" w14:textId="70C3CB61" w:rsidR="00F767BB" w:rsidRPr="00A93B97" w:rsidRDefault="00F767BB" w:rsidP="00F767BB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4A1DA9">
        <w:rPr>
          <w:rFonts w:asciiTheme="minorHAnsi" w:hAnsiTheme="minorHAnsi" w:cstheme="minorHAnsi"/>
          <w:sz w:val="22"/>
          <w:szCs w:val="22"/>
        </w:rPr>
        <w:t>XXXX</w:t>
      </w:r>
      <w:r w:rsidRPr="00A93B9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D6E7D7" w14:textId="77777777" w:rsidR="00F767BB" w:rsidRPr="00A93B97" w:rsidRDefault="00F767BB" w:rsidP="00F767BB">
      <w:pPr>
        <w:pStyle w:val="Zkladntext21"/>
        <w:ind w:left="0" w:firstLine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1C88F60E" w14:textId="77777777" w:rsidR="00F767BB" w:rsidRPr="00A93B97" w:rsidRDefault="00F767BB" w:rsidP="00F767BB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b/>
          <w:i/>
          <w:sz w:val="22"/>
          <w:szCs w:val="22"/>
        </w:rPr>
        <w:t>Adresa pro doručování</w:t>
      </w:r>
      <w:r w:rsidRPr="00A93B97">
        <w:rPr>
          <w:rFonts w:asciiTheme="minorHAnsi" w:hAnsiTheme="minorHAnsi" w:cstheme="minorHAnsi"/>
          <w:sz w:val="22"/>
          <w:szCs w:val="22"/>
        </w:rPr>
        <w:t>:</w:t>
      </w:r>
    </w:p>
    <w:p w14:paraId="4D542D7C" w14:textId="77777777" w:rsidR="00F767BB" w:rsidRPr="00A93B97" w:rsidRDefault="00F767BB" w:rsidP="00F767BB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Národní památkový ústav, územní památková správa v Praze</w:t>
      </w:r>
    </w:p>
    <w:p w14:paraId="3161C2F1" w14:textId="77777777" w:rsidR="00F767BB" w:rsidRPr="00A93B97" w:rsidRDefault="00F767BB" w:rsidP="00F767BB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Adresa: Sabinova 373/5, 130 11 Praha 3 </w:t>
      </w:r>
    </w:p>
    <w:p w14:paraId="0E8069AD" w14:textId="525C42F2" w:rsidR="00F767BB" w:rsidRPr="00A93B97" w:rsidRDefault="00F767BB" w:rsidP="00F767BB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Datová schránka: </w:t>
      </w:r>
      <w:r w:rsidR="004A1DA9">
        <w:rPr>
          <w:rFonts w:asciiTheme="minorHAnsi" w:hAnsiTheme="minorHAnsi" w:cstheme="minorHAnsi"/>
          <w:sz w:val="22"/>
          <w:szCs w:val="22"/>
        </w:rPr>
        <w:t>XXXX</w:t>
      </w:r>
    </w:p>
    <w:p w14:paraId="6F62C851" w14:textId="77777777" w:rsidR="00F767BB" w:rsidRPr="00A93B97" w:rsidRDefault="00F767BB" w:rsidP="00F767BB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eastAsia="MS Mincho" w:hAnsiTheme="minorHAnsi" w:cstheme="minorHAnsi"/>
          <w:sz w:val="22"/>
          <w:szCs w:val="22"/>
        </w:rPr>
        <w:t xml:space="preserve">(dále jen </w:t>
      </w:r>
      <w:r w:rsidRPr="00A93B97">
        <w:rPr>
          <w:rFonts w:asciiTheme="minorHAnsi" w:eastAsia="MS Mincho" w:hAnsiTheme="minorHAnsi" w:cstheme="minorHAnsi"/>
          <w:b/>
          <w:bCs/>
          <w:sz w:val="22"/>
          <w:szCs w:val="22"/>
        </w:rPr>
        <w:t>„objednatel“)</w:t>
      </w:r>
    </w:p>
    <w:p w14:paraId="3BABCDA7" w14:textId="77777777" w:rsidR="00F767BB" w:rsidRPr="00A93B97" w:rsidRDefault="00F767BB" w:rsidP="00F767BB">
      <w:p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8FD4DD1" w14:textId="77777777" w:rsidR="00F767BB" w:rsidRPr="00A93B97" w:rsidRDefault="00F767BB" w:rsidP="00F767BB">
      <w:pPr>
        <w:jc w:val="both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eastAsia="MS Mincho" w:hAnsiTheme="minorHAnsi" w:cstheme="minorHAnsi"/>
          <w:sz w:val="22"/>
          <w:szCs w:val="22"/>
        </w:rPr>
        <w:t>a</w:t>
      </w:r>
    </w:p>
    <w:p w14:paraId="389F3613" w14:textId="77777777" w:rsidR="00F767BB" w:rsidRPr="00A93B97" w:rsidRDefault="00F767BB" w:rsidP="00F767BB">
      <w:pPr>
        <w:tabs>
          <w:tab w:val="left" w:pos="1985"/>
        </w:tabs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EEA4700" w14:textId="77777777" w:rsidR="00F767BB" w:rsidRPr="00A93B97" w:rsidRDefault="00F767BB" w:rsidP="00F767B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A93B97">
        <w:rPr>
          <w:rFonts w:asciiTheme="minorHAnsi" w:hAnsiTheme="minorHAnsi" w:cstheme="minorHAnsi"/>
          <w:b/>
          <w:sz w:val="22"/>
          <w:szCs w:val="22"/>
        </w:rPr>
        <w:t>BOLID M s.r.o.</w:t>
      </w:r>
    </w:p>
    <w:p w14:paraId="0CB2AB83" w14:textId="77777777" w:rsidR="00F767BB" w:rsidRPr="00A93B97" w:rsidRDefault="00F767BB" w:rsidP="00F767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se sídlem Voršilská 2085/3, 110 00 Praha</w:t>
      </w:r>
    </w:p>
    <w:p w14:paraId="3D6A7245" w14:textId="77777777" w:rsidR="00F767BB" w:rsidRPr="00A93B97" w:rsidRDefault="00F767BB" w:rsidP="00F767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IČO: 26347741, DIČ: CZ26347741</w:t>
      </w:r>
    </w:p>
    <w:p w14:paraId="37AE84F4" w14:textId="77777777" w:rsidR="00F767BB" w:rsidRPr="00A93B97" w:rsidRDefault="00F767BB" w:rsidP="00F767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zapsána v obchodním vedeném u soudu v Praze, oddíl C, vložka 116537</w:t>
      </w:r>
    </w:p>
    <w:p w14:paraId="3D2F4DD9" w14:textId="1E5686E3" w:rsidR="00F767BB" w:rsidRPr="00A93B97" w:rsidRDefault="00F767BB" w:rsidP="00F767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Zastoupena: </w:t>
      </w:r>
      <w:r w:rsidR="004A1DA9">
        <w:rPr>
          <w:rFonts w:asciiTheme="minorHAnsi" w:hAnsiTheme="minorHAnsi" w:cstheme="minorHAnsi"/>
          <w:sz w:val="22"/>
          <w:szCs w:val="22"/>
        </w:rPr>
        <w:t>XXXX</w:t>
      </w:r>
    </w:p>
    <w:p w14:paraId="5ACA4311" w14:textId="5B66F64C" w:rsidR="00F767BB" w:rsidRPr="00A93B97" w:rsidRDefault="00F767BB" w:rsidP="00F767B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4A1DA9">
        <w:rPr>
          <w:rFonts w:asciiTheme="minorHAnsi" w:hAnsiTheme="minorHAnsi" w:cstheme="minorHAnsi"/>
          <w:sz w:val="22"/>
          <w:szCs w:val="22"/>
        </w:rPr>
        <w:t>XXXX</w:t>
      </w:r>
    </w:p>
    <w:p w14:paraId="1C7BB6B9" w14:textId="746BA0FA" w:rsidR="00F767BB" w:rsidRPr="004A1DA9" w:rsidRDefault="00F767BB" w:rsidP="00F767BB">
      <w:pPr>
        <w:pStyle w:val="Prosttext1"/>
        <w:tabs>
          <w:tab w:val="left" w:pos="0"/>
        </w:tabs>
        <w:ind w:left="0" w:firstLine="0"/>
        <w:jc w:val="both"/>
        <w:rPr>
          <w:rFonts w:asciiTheme="minorHAnsi" w:eastAsia="MS Mincho" w:hAnsiTheme="minorHAnsi" w:cstheme="minorHAnsi"/>
          <w:sz w:val="22"/>
          <w:szCs w:val="22"/>
          <w:lang w:val="cs-CZ"/>
        </w:rPr>
      </w:pPr>
      <w:r w:rsidRPr="00A93B9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zástupce pro jednání: </w:t>
      </w:r>
      <w:r w:rsidR="004A1DA9">
        <w:rPr>
          <w:rFonts w:asciiTheme="minorHAnsi" w:eastAsia="Times New Roman" w:hAnsiTheme="minorHAnsi" w:cstheme="minorHAnsi"/>
          <w:sz w:val="22"/>
          <w:szCs w:val="22"/>
          <w:lang w:val="cs-CZ" w:eastAsia="cs-CZ"/>
        </w:rPr>
        <w:t>XXXX</w:t>
      </w:r>
      <w:bookmarkStart w:id="2" w:name="_GoBack"/>
      <w:bookmarkEnd w:id="2"/>
    </w:p>
    <w:p w14:paraId="511D9EFD" w14:textId="77777777" w:rsidR="00F767BB" w:rsidRPr="00A93B97" w:rsidRDefault="00F767BB" w:rsidP="00F767BB">
      <w:pPr>
        <w:tabs>
          <w:tab w:val="left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(dále jen „</w:t>
      </w:r>
      <w:r w:rsidRPr="00A93B97">
        <w:rPr>
          <w:rFonts w:asciiTheme="minorHAnsi" w:hAnsiTheme="minorHAnsi" w:cstheme="minorHAnsi"/>
          <w:b/>
          <w:bCs/>
          <w:sz w:val="22"/>
          <w:szCs w:val="22"/>
        </w:rPr>
        <w:t>zhotovitel“)</w:t>
      </w:r>
    </w:p>
    <w:p w14:paraId="78692A32" w14:textId="705F5C86" w:rsidR="00F767BB" w:rsidRDefault="00F767BB" w:rsidP="00F767BB">
      <w:pPr>
        <w:pStyle w:val="Nadpis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none"/>
          <w:lang w:val="cs-CZ"/>
        </w:rPr>
      </w:pPr>
    </w:p>
    <w:p w14:paraId="156D7785" w14:textId="77777777" w:rsidR="00F767BB" w:rsidRPr="00F767BB" w:rsidRDefault="00F767BB" w:rsidP="00F767BB">
      <w:pPr>
        <w:pStyle w:val="Zkladntext"/>
      </w:pPr>
    </w:p>
    <w:p w14:paraId="7584BBA5" w14:textId="77777777" w:rsidR="00F767BB" w:rsidRPr="00A93B97" w:rsidRDefault="00F767BB" w:rsidP="00F767BB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01F8FF9" w14:textId="77777777" w:rsidR="00F767BB" w:rsidRPr="00A93B97" w:rsidRDefault="00F767BB" w:rsidP="00F767BB">
      <w:pPr>
        <w:pStyle w:val="Zkladntext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3B97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55E2EDA4" w14:textId="77777777" w:rsidR="00F767BB" w:rsidRPr="00A93B97" w:rsidRDefault="00F767BB" w:rsidP="00F767BB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DC39088" w14:textId="77777777" w:rsidR="00F767BB" w:rsidRPr="00A93B97" w:rsidRDefault="00F767BB" w:rsidP="00F767BB">
      <w:pPr>
        <w:pStyle w:val="Zkladntext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Smluvní strany uzavřely dne 7. 3. 2023 smlouvu o dílo na základě výsledku zadávacího řízení k veřejné zakázce zadávané dle zákona č. 134/2016 Sb., o zadávání veřejných zakázkách, ve znění pozdějších předpisů (dále jen „ZZVZ“), ev. č. NEN: N006/20/V00022720 a pod názvem: NKP SHZ Bečov nad Teplou – rekonstrukce, obnova a restaurování Horního hradu (dále jen „</w:t>
      </w:r>
      <w:r w:rsidRPr="00A93B97">
        <w:rPr>
          <w:rFonts w:asciiTheme="minorHAnsi" w:hAnsiTheme="minorHAnsi" w:cstheme="minorHAnsi"/>
          <w:b/>
          <w:i/>
          <w:sz w:val="22"/>
          <w:szCs w:val="22"/>
        </w:rPr>
        <w:t>Veřejná zakázka</w:t>
      </w:r>
      <w:r w:rsidRPr="00A93B97">
        <w:rPr>
          <w:rFonts w:asciiTheme="minorHAnsi" w:hAnsiTheme="minorHAnsi" w:cstheme="minorHAnsi"/>
          <w:sz w:val="22"/>
          <w:szCs w:val="22"/>
        </w:rPr>
        <w:t>“), jejímž předmětem je provedení stavebního díla s názvem NKP SHZ Bečov nad Teplou – rekonstrukce, obnova a restaurování Horního hradu (dále jen „</w:t>
      </w:r>
      <w:r w:rsidRPr="00A93B97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A93B97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528CA578" w14:textId="77777777" w:rsidR="00F767BB" w:rsidRPr="00A93B97" w:rsidRDefault="00F767BB" w:rsidP="00F767BB">
      <w:pPr>
        <w:pStyle w:val="Zkladntext"/>
        <w:ind w:left="567"/>
        <w:rPr>
          <w:rFonts w:asciiTheme="minorHAnsi" w:hAnsiTheme="minorHAnsi" w:cstheme="minorHAnsi"/>
          <w:sz w:val="22"/>
          <w:szCs w:val="22"/>
        </w:rPr>
      </w:pPr>
    </w:p>
    <w:p w14:paraId="78B4D45E" w14:textId="77777777" w:rsidR="00F767BB" w:rsidRPr="00A93B97" w:rsidRDefault="00F767BB" w:rsidP="00F767BB">
      <w:pPr>
        <w:pStyle w:val="Zkladntext"/>
        <w:numPr>
          <w:ilvl w:val="0"/>
          <w:numId w:val="4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Smluvní strany se tímto dohodly na změně Smlouvy tak, jak se stanoveno níže v tomto dodatku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93B97">
        <w:rPr>
          <w:rFonts w:asciiTheme="minorHAnsi" w:hAnsiTheme="minorHAnsi" w:cstheme="minorHAnsi"/>
          <w:sz w:val="22"/>
          <w:szCs w:val="22"/>
        </w:rPr>
        <w:t xml:space="preserve"> ke Smlouvě (dále jen „</w:t>
      </w:r>
      <w:r w:rsidRPr="00A93B97">
        <w:rPr>
          <w:rFonts w:asciiTheme="minorHAnsi" w:hAnsiTheme="minorHAnsi" w:cstheme="minorHAnsi"/>
          <w:b/>
          <w:i/>
          <w:sz w:val="22"/>
          <w:szCs w:val="22"/>
        </w:rPr>
        <w:t>Dodatek</w:t>
      </w:r>
      <w:r w:rsidRPr="00A93B97">
        <w:rPr>
          <w:rFonts w:asciiTheme="minorHAnsi" w:hAnsiTheme="minorHAnsi" w:cstheme="minorHAnsi"/>
          <w:sz w:val="22"/>
          <w:szCs w:val="22"/>
        </w:rPr>
        <w:t>“).</w:t>
      </w:r>
    </w:p>
    <w:p w14:paraId="4C4409F1" w14:textId="77777777" w:rsidR="00F767BB" w:rsidRPr="00A93B97" w:rsidRDefault="00F767BB" w:rsidP="00F767BB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93E3CB0" w14:textId="77777777" w:rsidR="00F767BB" w:rsidRPr="00A93B97" w:rsidRDefault="00F767BB" w:rsidP="00F767BB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3AB197C" w14:textId="77777777" w:rsidR="00F767BB" w:rsidRPr="00A93B97" w:rsidRDefault="00F767BB" w:rsidP="00F767BB">
      <w:pPr>
        <w:pStyle w:val="Zkladntext"/>
        <w:keepNext/>
        <w:numPr>
          <w:ilvl w:val="0"/>
          <w:numId w:val="3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3B97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25FD72F4" w14:textId="77777777" w:rsidR="00F767BB" w:rsidRPr="00A93B97" w:rsidRDefault="00F767BB" w:rsidP="00F767BB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72FCA5E" w14:textId="4D5141AA" w:rsidR="00F767BB" w:rsidRDefault="00F767BB" w:rsidP="00F767BB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Smluvní strany si potvrzují, že po zahájení stavebních prací na objektu a celkovém rozkrytí konstrukcí zakrytých, nepřístupných či jinak nedostupných, byly zhotovitelem zjištěny, kontrolními orgány potvrzeny a Zástupcem objednatele vzaty na vědomí nálezové situace, jejichž vyřešení je nezbytné pro řádné dokončení Díla. Vzhledem k těmto situacím a vzhledem k navazujícím pokynům orgánů památkové péče se obě strany dohodly na dílčích změnách provádění Díla blíže specifikovaných ve změnových listech ZL č.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A93B97">
        <w:rPr>
          <w:rFonts w:asciiTheme="minorHAnsi" w:hAnsiTheme="minorHAnsi" w:cstheme="minorHAnsi"/>
          <w:sz w:val="22"/>
          <w:szCs w:val="22"/>
        </w:rPr>
        <w:t xml:space="preserve">, ZL č.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A93B97">
        <w:rPr>
          <w:rFonts w:asciiTheme="minorHAnsi" w:hAnsiTheme="minorHAnsi" w:cstheme="minorHAnsi"/>
          <w:sz w:val="22"/>
          <w:szCs w:val="22"/>
        </w:rPr>
        <w:t xml:space="preserve">, ZL č.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A93B97">
        <w:rPr>
          <w:rFonts w:asciiTheme="minorHAnsi" w:hAnsiTheme="minorHAnsi" w:cstheme="minorHAnsi"/>
          <w:sz w:val="22"/>
          <w:szCs w:val="22"/>
        </w:rPr>
        <w:t xml:space="preserve">, ZL č.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A93B97">
        <w:rPr>
          <w:rFonts w:asciiTheme="minorHAnsi" w:hAnsiTheme="minorHAnsi" w:cstheme="minorHAnsi"/>
          <w:sz w:val="22"/>
          <w:szCs w:val="22"/>
        </w:rPr>
        <w:t xml:space="preserve">, ZL č. 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A93B97">
        <w:rPr>
          <w:rFonts w:asciiTheme="minorHAnsi" w:hAnsiTheme="minorHAnsi" w:cstheme="minorHAnsi"/>
          <w:sz w:val="22"/>
          <w:szCs w:val="22"/>
        </w:rPr>
        <w:t xml:space="preserve"> a ZL č. 1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A93B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50F0D2" w14:textId="77777777" w:rsidR="00F767BB" w:rsidRPr="002A3F8C" w:rsidRDefault="00F767BB" w:rsidP="00F767BB">
      <w:pPr>
        <w:pStyle w:val="Zkladntext"/>
        <w:tabs>
          <w:tab w:val="left" w:pos="567"/>
        </w:tabs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4F7335D0" w14:textId="77777777" w:rsidR="00F767BB" w:rsidRPr="00A93B97" w:rsidRDefault="00F767BB" w:rsidP="00F767BB">
      <w:pPr>
        <w:pStyle w:val="Zkladntext"/>
        <w:tabs>
          <w:tab w:val="left" w:pos="567"/>
        </w:tabs>
        <w:ind w:left="567" w:firstLine="0"/>
        <w:rPr>
          <w:rFonts w:asciiTheme="minorHAnsi" w:hAnsiTheme="minorHAnsi" w:cstheme="minorHAnsi"/>
          <w:b/>
          <w:sz w:val="22"/>
          <w:szCs w:val="22"/>
        </w:rPr>
      </w:pPr>
      <w:r w:rsidRPr="00A93B97">
        <w:rPr>
          <w:rFonts w:asciiTheme="minorHAnsi" w:hAnsiTheme="minorHAnsi" w:cstheme="minorHAnsi"/>
          <w:b/>
          <w:sz w:val="22"/>
          <w:szCs w:val="22"/>
        </w:rPr>
        <w:t xml:space="preserve">Smluvní strany si i nadále potvrzují, že tato změna Díla nemá vliv na výši Smluvní ceny v čl. 5.1. Smlouvy ani na Dobu pro dokončení Díla dle čl. 4 Smlouvy, které zůstávají beze změn. </w:t>
      </w:r>
    </w:p>
    <w:p w14:paraId="11E45936" w14:textId="77777777" w:rsidR="00F767BB" w:rsidRPr="00A93B97" w:rsidRDefault="00F767BB" w:rsidP="00F767BB">
      <w:pPr>
        <w:pStyle w:val="Zkladntext"/>
        <w:tabs>
          <w:tab w:val="left" w:pos="567"/>
        </w:tabs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03F2EA2" w14:textId="46AAADCA" w:rsidR="00F767BB" w:rsidRDefault="00F767BB" w:rsidP="00F767BB">
      <w:pPr>
        <w:pStyle w:val="Zkladntext"/>
        <w:tabs>
          <w:tab w:val="left" w:pos="56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9F381" w14:textId="77777777" w:rsidR="00F767BB" w:rsidRPr="00A93B97" w:rsidRDefault="00F767BB" w:rsidP="00F767BB">
      <w:pPr>
        <w:pStyle w:val="Zkladntext"/>
        <w:tabs>
          <w:tab w:val="left" w:pos="56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2ECB14E" w14:textId="77777777" w:rsidR="00F767BB" w:rsidRPr="00A93B97" w:rsidRDefault="00F767BB" w:rsidP="00F767BB">
      <w:pPr>
        <w:pStyle w:val="Zkladntext"/>
        <w:numPr>
          <w:ilvl w:val="0"/>
          <w:numId w:val="3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3B9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D5AB683" w14:textId="77777777" w:rsidR="00F767BB" w:rsidRPr="00A93B97" w:rsidRDefault="00F767BB" w:rsidP="00F767B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C1871C6" w14:textId="77777777" w:rsidR="00F767BB" w:rsidRPr="00A93B97" w:rsidRDefault="00F767BB" w:rsidP="00F767BB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Ostatní části Smlouvy o dílo „</w:t>
      </w:r>
      <w:r w:rsidRPr="00A93B97">
        <w:rPr>
          <w:rFonts w:asciiTheme="minorHAnsi" w:hAnsiTheme="minorHAnsi" w:cstheme="minorHAnsi"/>
          <w:b/>
          <w:bCs/>
          <w:sz w:val="22"/>
          <w:szCs w:val="22"/>
        </w:rPr>
        <w:t>NPÚ, SHZ Bečov nad Teplou – rekonstrukce, obnova a restaurování Horního hradu</w:t>
      </w:r>
      <w:r w:rsidRPr="00A93B97">
        <w:rPr>
          <w:rFonts w:asciiTheme="minorHAnsi" w:hAnsiTheme="minorHAnsi" w:cstheme="minorHAnsi"/>
          <w:sz w:val="22"/>
          <w:szCs w:val="22"/>
        </w:rPr>
        <w:t xml:space="preserve">“ zůstávají nezměněny.  </w:t>
      </w:r>
    </w:p>
    <w:p w14:paraId="10D18F1A" w14:textId="77777777" w:rsidR="00F767BB" w:rsidRPr="00A93B97" w:rsidRDefault="00F767BB" w:rsidP="00F767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B8793" w14:textId="77777777" w:rsidR="00F767BB" w:rsidRPr="00A93B97" w:rsidRDefault="00F767BB" w:rsidP="00F767BB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Tento Dodatek nabývá platnosti dnem jeho podpisu oprávněnými zástupci obou smluvních stran a účinnosti dnem jeho uveřejnění v registru smluv ve smyslu § 5 zákona č. 340/2015 Sb., o zvláštních podmínkách účinnosti některých smluv, uveřejňování těchto smluv a o registru smluv (zákon o registru smluv). Tento Dodatek v registru smluv zveřejní objednatel.</w:t>
      </w:r>
    </w:p>
    <w:p w14:paraId="023CF5E9" w14:textId="77777777" w:rsidR="00F767BB" w:rsidRPr="00A93B97" w:rsidRDefault="00F767BB" w:rsidP="00F767BB">
      <w:pPr>
        <w:pStyle w:val="Zkladntext"/>
        <w:tabs>
          <w:tab w:val="left" w:pos="567"/>
        </w:tabs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77B2A782" w14:textId="77777777" w:rsidR="00F767BB" w:rsidRPr="00A93B97" w:rsidRDefault="00F767BB" w:rsidP="00F767BB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 xml:space="preserve">Tento Dodatek je vyhotoven v elektronické podobě s připojenými elektronickými podpisy smluvních stran. Každá ze smluvních stran prohlašuje, že tento Dodatek podepsala osoba, která jedná jeho jménem a která má právo připojit uznávaný, resp. v případě objednatele kvalifikovaný, elektronický podpis, který splňuje požadavky </w:t>
      </w:r>
      <w:proofErr w:type="spellStart"/>
      <w:r w:rsidRPr="00A93B9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93B97">
        <w:rPr>
          <w:rFonts w:asciiTheme="minorHAnsi" w:hAnsiTheme="minorHAnsi" w:cstheme="minorHAnsi"/>
          <w:sz w:val="22"/>
          <w:szCs w:val="22"/>
        </w:rPr>
        <w:t xml:space="preserve">. § 6 odst. 2 zákona č. 279/2016 Sb., o službách vytvářejících důvěru pro elektronické transakce, v platném znění, a že v případě, kdy byl elektronický dokument podepsán způsobem podle </w:t>
      </w:r>
      <w:proofErr w:type="spellStart"/>
      <w:r w:rsidRPr="00A93B9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93B97">
        <w:rPr>
          <w:rFonts w:asciiTheme="minorHAnsi" w:hAnsiTheme="minorHAnsi" w:cstheme="minorHAnsi"/>
          <w:sz w:val="22"/>
          <w:szCs w:val="22"/>
        </w:rPr>
        <w:t xml:space="preserve">. § 5 téhož zákona, byl tento dokument opatřen elektronickým časovým razítkem podle </w:t>
      </w:r>
      <w:proofErr w:type="spellStart"/>
      <w:r w:rsidRPr="00A93B9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93B97">
        <w:rPr>
          <w:rFonts w:asciiTheme="minorHAnsi" w:hAnsiTheme="minorHAnsi" w:cstheme="minorHAnsi"/>
          <w:sz w:val="22"/>
          <w:szCs w:val="22"/>
        </w:rPr>
        <w:t>. § 11 zákona.</w:t>
      </w:r>
    </w:p>
    <w:p w14:paraId="1BD12B74" w14:textId="77777777" w:rsidR="00F767BB" w:rsidRPr="00A93B97" w:rsidRDefault="00F767BB" w:rsidP="00F767B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27CCA0C" w14:textId="77777777" w:rsidR="00F767BB" w:rsidRPr="00A93B97" w:rsidRDefault="00F767BB" w:rsidP="00F767BB">
      <w:pPr>
        <w:pStyle w:val="Zkladntext"/>
        <w:numPr>
          <w:ilvl w:val="1"/>
          <w:numId w:val="3"/>
        </w:num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Nedílnou součástí tohoto Dodatku jsou tyto přílohy:</w:t>
      </w:r>
    </w:p>
    <w:p w14:paraId="189837E9" w14:textId="4F5F4F36" w:rsidR="00F767BB" w:rsidRDefault="00F767BB" w:rsidP="00F767BB">
      <w:pPr>
        <w:pStyle w:val="Zkladntext"/>
        <w:numPr>
          <w:ilvl w:val="0"/>
          <w:numId w:val="5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A93B97">
        <w:rPr>
          <w:rFonts w:asciiTheme="minorHAnsi" w:hAnsiTheme="minorHAnsi" w:cstheme="minorHAnsi"/>
          <w:sz w:val="22"/>
          <w:szCs w:val="22"/>
        </w:rPr>
        <w:t>Příloha č. 1 - Změnov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A93B97">
        <w:rPr>
          <w:rFonts w:asciiTheme="minorHAnsi" w:hAnsiTheme="minorHAnsi" w:cstheme="minorHAnsi"/>
          <w:sz w:val="22"/>
          <w:szCs w:val="22"/>
        </w:rPr>
        <w:t xml:space="preserve"> list ZL č.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A93B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1CA2AD" w14:textId="77777777" w:rsidR="00F767BB" w:rsidRDefault="00F767BB" w:rsidP="00F767BB">
      <w:pPr>
        <w:pStyle w:val="Zkladntext"/>
        <w:numPr>
          <w:ilvl w:val="0"/>
          <w:numId w:val="5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– Změnový list </w:t>
      </w:r>
      <w:r w:rsidRPr="00A93B97">
        <w:rPr>
          <w:rFonts w:asciiTheme="minorHAnsi" w:hAnsiTheme="minorHAnsi" w:cstheme="minorHAnsi"/>
          <w:sz w:val="22"/>
          <w:szCs w:val="22"/>
        </w:rPr>
        <w:t xml:space="preserve">ZL č. </w:t>
      </w:r>
      <w:r>
        <w:rPr>
          <w:rFonts w:asciiTheme="minorHAnsi" w:hAnsiTheme="minorHAnsi" w:cstheme="minorHAnsi"/>
          <w:sz w:val="22"/>
          <w:szCs w:val="22"/>
        </w:rPr>
        <w:t>12</w:t>
      </w:r>
    </w:p>
    <w:p w14:paraId="4A4572B3" w14:textId="22253E7E" w:rsidR="00F767BB" w:rsidRDefault="00F767BB" w:rsidP="00F767BB">
      <w:pPr>
        <w:pStyle w:val="Zkladntext"/>
        <w:numPr>
          <w:ilvl w:val="0"/>
          <w:numId w:val="5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3 – Změnový list </w:t>
      </w:r>
      <w:r w:rsidRPr="00A93B97">
        <w:rPr>
          <w:rFonts w:asciiTheme="minorHAnsi" w:hAnsiTheme="minorHAnsi" w:cstheme="minorHAnsi"/>
          <w:sz w:val="22"/>
          <w:szCs w:val="22"/>
        </w:rPr>
        <w:t xml:space="preserve">ZL č. </w:t>
      </w:r>
      <w:r>
        <w:rPr>
          <w:rFonts w:asciiTheme="minorHAnsi" w:hAnsiTheme="minorHAnsi" w:cstheme="minorHAnsi"/>
          <w:sz w:val="22"/>
          <w:szCs w:val="22"/>
        </w:rPr>
        <w:t>13</w:t>
      </w:r>
    </w:p>
    <w:p w14:paraId="3C341786" w14:textId="356C3B07" w:rsidR="00F767BB" w:rsidRDefault="00F767BB" w:rsidP="00F767BB">
      <w:pPr>
        <w:pStyle w:val="Zkladntext"/>
        <w:numPr>
          <w:ilvl w:val="0"/>
          <w:numId w:val="5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4 – Změnový list</w:t>
      </w:r>
      <w:r w:rsidRPr="00A93B97">
        <w:rPr>
          <w:rFonts w:asciiTheme="minorHAnsi" w:hAnsiTheme="minorHAnsi" w:cstheme="minorHAnsi"/>
          <w:sz w:val="22"/>
          <w:szCs w:val="22"/>
        </w:rPr>
        <w:t xml:space="preserve"> ZL č. </w:t>
      </w:r>
      <w:r>
        <w:rPr>
          <w:rFonts w:asciiTheme="minorHAnsi" w:hAnsiTheme="minorHAnsi" w:cstheme="minorHAnsi"/>
          <w:sz w:val="22"/>
          <w:szCs w:val="22"/>
        </w:rPr>
        <w:t>14</w:t>
      </w:r>
    </w:p>
    <w:p w14:paraId="5691AAE8" w14:textId="5B573EFB" w:rsidR="00F767BB" w:rsidRDefault="00F767BB" w:rsidP="00F767BB">
      <w:pPr>
        <w:pStyle w:val="Zkladntext"/>
        <w:numPr>
          <w:ilvl w:val="0"/>
          <w:numId w:val="5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5 – Změnový list </w:t>
      </w:r>
      <w:r w:rsidRPr="00A93B97">
        <w:rPr>
          <w:rFonts w:asciiTheme="minorHAnsi" w:hAnsiTheme="minorHAnsi" w:cstheme="minorHAnsi"/>
          <w:sz w:val="22"/>
          <w:szCs w:val="22"/>
        </w:rPr>
        <w:t xml:space="preserve">ZL č. </w:t>
      </w:r>
      <w:r>
        <w:rPr>
          <w:rFonts w:asciiTheme="minorHAnsi" w:hAnsiTheme="minorHAnsi" w:cstheme="minorHAnsi"/>
          <w:sz w:val="22"/>
          <w:szCs w:val="22"/>
        </w:rPr>
        <w:t>15</w:t>
      </w:r>
    </w:p>
    <w:p w14:paraId="485FFE15" w14:textId="6120E980" w:rsidR="00F767BB" w:rsidRPr="00F67F0B" w:rsidRDefault="00F767BB" w:rsidP="00F767BB">
      <w:pPr>
        <w:pStyle w:val="Zkladntext"/>
        <w:numPr>
          <w:ilvl w:val="0"/>
          <w:numId w:val="5"/>
        </w:num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6 – Změnový list </w:t>
      </w:r>
      <w:r w:rsidRPr="00A93B97">
        <w:rPr>
          <w:rFonts w:asciiTheme="minorHAnsi" w:hAnsiTheme="minorHAnsi" w:cstheme="minorHAnsi"/>
          <w:sz w:val="22"/>
          <w:szCs w:val="22"/>
        </w:rPr>
        <w:t>ZL č. 1</w:t>
      </w:r>
      <w:r>
        <w:rPr>
          <w:rFonts w:asciiTheme="minorHAnsi" w:hAnsiTheme="minorHAnsi" w:cstheme="minorHAnsi"/>
          <w:sz w:val="22"/>
          <w:szCs w:val="22"/>
        </w:rPr>
        <w:t>6</w:t>
      </w:r>
    </w:p>
    <w:tbl>
      <w:tblPr>
        <w:tblW w:w="10026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5013"/>
        <w:gridCol w:w="5013"/>
      </w:tblGrid>
      <w:tr w:rsidR="00F767BB" w:rsidRPr="00A93B97" w14:paraId="11622F7C" w14:textId="77777777" w:rsidTr="00B46EED">
        <w:trPr>
          <w:cantSplit/>
          <w:trHeight w:val="2346"/>
        </w:trPr>
        <w:tc>
          <w:tcPr>
            <w:tcW w:w="5013" w:type="dxa"/>
            <w:shd w:val="clear" w:color="auto" w:fill="auto"/>
          </w:tcPr>
          <w:p w14:paraId="25A34FA9" w14:textId="77777777" w:rsidR="00F767BB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0533CCAE" w14:textId="77777777" w:rsidR="00F767BB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2F3FF139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objednatel</w:t>
            </w:r>
          </w:p>
          <w:p w14:paraId="4315F285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5B7DA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Fonts w:asciiTheme="minorHAnsi" w:hAnsiTheme="minorHAnsi" w:cstheme="minorHAnsi"/>
                <w:sz w:val="22"/>
                <w:szCs w:val="22"/>
              </w:rPr>
              <w:t>%PODPIS%</w:t>
            </w:r>
          </w:p>
          <w:p w14:paraId="426AF060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465F9" w14:textId="77777777" w:rsidR="00F767BB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8C5CB" w14:textId="77777777" w:rsidR="00F767BB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8C965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320ED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2212FA0B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Národní památkový ústav</w:t>
            </w:r>
          </w:p>
          <w:p w14:paraId="4D0F3895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Mgr. et Mgr. Petr Spejchal,</w:t>
            </w:r>
          </w:p>
          <w:p w14:paraId="5BFA9BFF" w14:textId="77777777" w:rsidR="00F767BB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ředitel NPÚ ÚPS v Praze</w:t>
            </w:r>
          </w:p>
          <w:p w14:paraId="383F66BF" w14:textId="77777777" w:rsidR="00F767BB" w:rsidRPr="002A3F8C" w:rsidRDefault="00F767BB" w:rsidP="00B46EED">
            <w:pPr>
              <w:rPr>
                <w:lang w:val="en-US" w:eastAsia="zh-CN"/>
              </w:rPr>
            </w:pPr>
          </w:p>
          <w:p w14:paraId="73557072" w14:textId="77777777" w:rsidR="00F767BB" w:rsidRPr="002A3F8C" w:rsidRDefault="00F767BB" w:rsidP="00B46EED">
            <w:pPr>
              <w:rPr>
                <w:lang w:val="en-US" w:eastAsia="zh-CN"/>
              </w:rPr>
            </w:pPr>
          </w:p>
        </w:tc>
        <w:tc>
          <w:tcPr>
            <w:tcW w:w="5013" w:type="dxa"/>
            <w:shd w:val="clear" w:color="auto" w:fill="auto"/>
          </w:tcPr>
          <w:p w14:paraId="2FC7B50F" w14:textId="77777777" w:rsidR="00F767BB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1B79CCCE" w14:textId="77777777" w:rsidR="00F767BB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</w:p>
          <w:p w14:paraId="2AB2B1D6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zhotovitel</w:t>
            </w:r>
          </w:p>
          <w:p w14:paraId="245D1EA8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DEA8D" w14:textId="77777777" w:rsidR="00F767BB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CBDCB1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E585B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05DAC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65551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3E95B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Style w:val="dn"/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4E5C154F" w14:textId="77777777" w:rsidR="00F767BB" w:rsidRPr="00A93B97" w:rsidRDefault="00F767BB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3B9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 xml:space="preserve">BOLID M </w:t>
            </w:r>
            <w:proofErr w:type="spellStart"/>
            <w:r w:rsidRPr="00A93B9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s.r.o.</w:t>
            </w:r>
            <w:proofErr w:type="spellEnd"/>
          </w:p>
          <w:p w14:paraId="3DAA5BF4" w14:textId="795B825F" w:rsidR="00F767BB" w:rsidRPr="00A93B97" w:rsidRDefault="00263172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Lukáš Havlík</w:t>
            </w:r>
          </w:p>
          <w:p w14:paraId="4B967AD4" w14:textId="175B6D94" w:rsidR="00F767BB" w:rsidRDefault="00263172" w:rsidP="00B46EED">
            <w:pPr>
              <w:pStyle w:val="Normln2"/>
              <w:widowControl w:val="0"/>
              <w:spacing w:line="276" w:lineRule="auto"/>
              <w:ind w:right="6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prokurista</w:t>
            </w:r>
          </w:p>
          <w:p w14:paraId="66F2F307" w14:textId="77777777" w:rsidR="00F767BB" w:rsidRPr="002A3F8C" w:rsidRDefault="00F767BB" w:rsidP="00B46EED">
            <w:pPr>
              <w:rPr>
                <w:lang w:val="en-US" w:eastAsia="zh-CN"/>
              </w:rPr>
            </w:pPr>
          </w:p>
        </w:tc>
      </w:tr>
    </w:tbl>
    <w:p w14:paraId="29B707F5" w14:textId="6C71B88F" w:rsidR="000C5936" w:rsidRP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0C5936" w:rsidRPr="000C5936" w:rsidSect="004035F6">
      <w:footerReference w:type="defaul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2EAC" w14:textId="77777777" w:rsidR="00D762CA" w:rsidRDefault="00D762CA">
      <w:r>
        <w:separator/>
      </w:r>
    </w:p>
  </w:endnote>
  <w:endnote w:type="continuationSeparator" w:id="0">
    <w:p w14:paraId="41A5A0FD" w14:textId="77777777" w:rsidR="00D762CA" w:rsidRDefault="00D7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77777777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+420 274 008 111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77777777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+420 274 008 111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BCB92" w14:textId="77777777" w:rsidR="00D762CA" w:rsidRDefault="00D762CA">
      <w:r>
        <w:separator/>
      </w:r>
    </w:p>
  </w:footnote>
  <w:footnote w:type="continuationSeparator" w:id="0">
    <w:p w14:paraId="05CA36DB" w14:textId="77777777" w:rsidR="00D762CA" w:rsidRDefault="00D7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6C617E"/>
    <w:multiLevelType w:val="multilevel"/>
    <w:tmpl w:val="3882460A"/>
    <w:lvl w:ilvl="0">
      <w:start w:val="1"/>
      <w:numFmt w:val="decimal"/>
      <w:pStyle w:val="Nadpi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4D3FDE"/>
    <w:multiLevelType w:val="hybridMultilevel"/>
    <w:tmpl w:val="2800FDB8"/>
    <w:lvl w:ilvl="0" w:tplc="23E09406">
      <w:start w:val="5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F3A19A7"/>
    <w:multiLevelType w:val="hybridMultilevel"/>
    <w:tmpl w:val="7DFC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11DEB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696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63172"/>
    <w:rsid w:val="00273569"/>
    <w:rsid w:val="0027452B"/>
    <w:rsid w:val="00276CDF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1DA9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61F7F"/>
    <w:rsid w:val="00773689"/>
    <w:rsid w:val="00774087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0ED6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2ED"/>
    <w:rsid w:val="00B15409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762C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338AC"/>
    <w:rsid w:val="00E44865"/>
    <w:rsid w:val="00E4698A"/>
    <w:rsid w:val="00E62B40"/>
    <w:rsid w:val="00E71F9D"/>
    <w:rsid w:val="00E76044"/>
    <w:rsid w:val="00EB684A"/>
    <w:rsid w:val="00ED56A1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67BB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767BB"/>
    <w:pPr>
      <w:keepNext/>
      <w:suppressAutoHyphens/>
      <w:ind w:left="1065" w:hanging="360"/>
      <w:outlineLvl w:val="0"/>
    </w:pPr>
    <w:rPr>
      <w:rFonts w:ascii="Calibri" w:eastAsia="Calibri" w:hAnsi="Calibri" w:cs="Calibri"/>
      <w:sz w:val="20"/>
      <w:szCs w:val="20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F767BB"/>
    <w:rPr>
      <w:rFonts w:ascii="Calibri" w:eastAsia="Calibri" w:hAnsi="Calibri" w:cs="Calibri"/>
      <w:sz w:val="20"/>
      <w:szCs w:val="20"/>
      <w:lang w:val="x-none" w:eastAsia="zh-CN"/>
    </w:rPr>
  </w:style>
  <w:style w:type="character" w:customStyle="1" w:styleId="dn">
    <w:name w:val="Žádný"/>
    <w:rsid w:val="00F767BB"/>
  </w:style>
  <w:style w:type="paragraph" w:customStyle="1" w:styleId="Nadpis">
    <w:name w:val="Nadpis"/>
    <w:basedOn w:val="Normln"/>
    <w:next w:val="Zkladntext"/>
    <w:rsid w:val="00F767BB"/>
    <w:pPr>
      <w:numPr>
        <w:numId w:val="3"/>
      </w:numPr>
      <w:suppressAutoHyphens/>
      <w:ind w:left="0" w:firstLine="0"/>
      <w:jc w:val="center"/>
    </w:pPr>
    <w:rPr>
      <w:rFonts w:ascii="Calibri" w:eastAsia="Calibri" w:hAnsi="Calibri" w:cs="Calibri"/>
      <w:sz w:val="20"/>
      <w:szCs w:val="20"/>
      <w:u w:val="single"/>
      <w:lang w:val="x-none" w:eastAsia="zh-CN"/>
    </w:rPr>
  </w:style>
  <w:style w:type="paragraph" w:styleId="Zkladntext">
    <w:name w:val="Body Text"/>
    <w:basedOn w:val="Normln"/>
    <w:link w:val="ZkladntextChar"/>
    <w:rsid w:val="00F767BB"/>
    <w:pPr>
      <w:suppressAutoHyphens/>
      <w:ind w:left="703" w:right="-142" w:hanging="567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767BB"/>
    <w:rPr>
      <w:rFonts w:ascii="Arial" w:eastAsia="Calibri" w:hAnsi="Arial" w:cs="Arial"/>
      <w:sz w:val="20"/>
      <w:szCs w:val="20"/>
      <w:lang w:eastAsia="zh-CN"/>
    </w:rPr>
  </w:style>
  <w:style w:type="paragraph" w:customStyle="1" w:styleId="Prosttext1">
    <w:name w:val="Prostý text1"/>
    <w:basedOn w:val="Normln"/>
    <w:rsid w:val="00F767BB"/>
    <w:pPr>
      <w:suppressAutoHyphens/>
      <w:ind w:left="703" w:hanging="567"/>
    </w:pPr>
    <w:rPr>
      <w:rFonts w:ascii="Courier New" w:eastAsia="Calibri" w:hAnsi="Courier New" w:cs="Courier New"/>
      <w:sz w:val="20"/>
      <w:szCs w:val="20"/>
      <w:lang w:val="x-none" w:eastAsia="zh-CN"/>
    </w:rPr>
  </w:style>
  <w:style w:type="paragraph" w:styleId="Odstavecseseznamem">
    <w:name w:val="List Paragraph"/>
    <w:basedOn w:val="Normln"/>
    <w:qFormat/>
    <w:rsid w:val="00F767BB"/>
    <w:pPr>
      <w:suppressAutoHyphens/>
      <w:ind w:left="708" w:hanging="567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Zkladntext21">
    <w:name w:val="Základní text 21"/>
    <w:basedOn w:val="Normln"/>
    <w:rsid w:val="00F767BB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Normln2">
    <w:name w:val="Normální2"/>
    <w:rsid w:val="00F767BB"/>
    <w:pPr>
      <w:suppressAutoHyphens/>
      <w:spacing w:after="0" w:line="240" w:lineRule="auto"/>
    </w:pPr>
    <w:rPr>
      <w:rFonts w:eastAsia="Arial Unicode MS" w:cs="Arial Unicode MS"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337A-A27E-44F8-88C3-89FAF66D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3392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2024-06-25T08:31:00Z</dcterms:created>
  <dcterms:modified xsi:type="dcterms:W3CDTF">2024-06-25T08:32:00Z</dcterms:modified>
</cp:coreProperties>
</file>