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23" w:rsidRDefault="00AB4B35">
      <w:pPr>
        <w:pStyle w:val="Nadpis20"/>
        <w:keepNext/>
        <w:keepLines/>
        <w:shd w:val="clear" w:color="auto" w:fill="auto"/>
      </w:pPr>
      <w:bookmarkStart w:id="0" w:name="bookmark2"/>
      <w:bookmarkStart w:id="1" w:name="bookmark3"/>
      <w:r>
        <w:t>ROCHE / DIGITAL PRODUCTS AND SERVICES / MASTER AGREEMENT</w:t>
      </w:r>
      <w:bookmarkEnd w:id="0"/>
      <w:bookmarkEnd w:id="1"/>
    </w:p>
    <w:p w:rsidR="00855A23" w:rsidRDefault="00AB4B35">
      <w:pPr>
        <w:pStyle w:val="Nadpis50"/>
        <w:keepNext/>
        <w:keepLines/>
        <w:shd w:val="clear" w:color="auto" w:fill="auto"/>
        <w:spacing w:after="180"/>
        <w:ind w:firstLine="640"/>
      </w:pPr>
      <w:bookmarkStart w:id="2" w:name="bookmark4"/>
      <w:bookmarkStart w:id="3" w:name="bookmark5"/>
      <w:r>
        <w:rPr>
          <w:u w:val="single"/>
        </w:rPr>
        <w:t>OBSAH:</w:t>
      </w:r>
      <w:bookmarkEnd w:id="2"/>
      <w:bookmarkEnd w:id="3"/>
    </w:p>
    <w:p w:rsidR="00855A23" w:rsidRDefault="00AB4B35">
      <w:pPr>
        <w:pStyle w:val="Zkladntext1"/>
        <w:shd w:val="clear" w:color="auto" w:fill="auto"/>
        <w:spacing w:after="180"/>
        <w:ind w:firstLine="640"/>
      </w:pPr>
      <w:r>
        <w:t>OBCHODNÍ PODMÍNKY PRO DIGITÁLNÍ PRODUKTY A SLUŽBY (EU) 2</w:t>
      </w:r>
    </w:p>
    <w:p w:rsidR="00855A23" w:rsidRDefault="00AB4B35">
      <w:pPr>
        <w:pStyle w:val="Zkladntext1"/>
        <w:shd w:val="clear" w:color="auto" w:fill="auto"/>
        <w:spacing w:after="0"/>
        <w:ind w:firstLine="640"/>
      </w:pPr>
      <w:r>
        <w:t>PŘÍLOHA 1 [Smlouvy]</w:t>
      </w:r>
    </w:p>
    <w:p w:rsidR="00855A23" w:rsidRDefault="00AB4B35">
      <w:pPr>
        <w:pStyle w:val="Zkladntext1"/>
        <w:shd w:val="clear" w:color="auto" w:fill="auto"/>
        <w:spacing w:after="180"/>
        <w:ind w:firstLine="640"/>
      </w:pPr>
      <w:r>
        <w:t>RÁMCOVÉ PODMÍNKY ZPRACOVÁNÍ OSOBNÍCH ÚDAJŮ 26</w:t>
      </w:r>
    </w:p>
    <w:p w:rsidR="00855A23" w:rsidRDefault="00AB4B35">
      <w:pPr>
        <w:pStyle w:val="Zkladntext1"/>
        <w:shd w:val="clear" w:color="auto" w:fill="auto"/>
        <w:spacing w:after="0"/>
        <w:ind w:firstLine="640"/>
      </w:pPr>
      <w:r>
        <w:t>PŘÍLOHA 2 [Smlouvy]</w:t>
      </w:r>
    </w:p>
    <w:p w:rsidR="00855A23" w:rsidRDefault="00AB4B35">
      <w:pPr>
        <w:pStyle w:val="Zkladntext1"/>
        <w:shd w:val="clear" w:color="auto" w:fill="auto"/>
        <w:spacing w:after="180"/>
        <w:ind w:firstLine="640"/>
      </w:pPr>
      <w:r>
        <w:t>OBJEDNÁVKA DIGITÁLNÍCH PRODUKTŮ NEBO SLUŽEB 33</w:t>
      </w:r>
    </w:p>
    <w:p w:rsidR="00855A23" w:rsidRDefault="00AB4B35">
      <w:pPr>
        <w:pStyle w:val="Zkladntext1"/>
        <w:shd w:val="clear" w:color="auto" w:fill="auto"/>
        <w:spacing w:after="0"/>
        <w:ind w:firstLine="640"/>
      </w:pPr>
      <w:r>
        <w:rPr>
          <w:i/>
          <w:iCs/>
        </w:rPr>
        <w:t>— Příloha č. 1 [Objednávky]</w:t>
      </w:r>
    </w:p>
    <w:p w:rsidR="00855A23" w:rsidRDefault="00AB4B35">
      <w:pPr>
        <w:pStyle w:val="Zkladntext1"/>
        <w:shd w:val="clear" w:color="auto" w:fill="auto"/>
        <w:spacing w:after="180"/>
        <w:ind w:firstLine="640"/>
      </w:pPr>
      <w:r>
        <w:rPr>
          <w:i/>
          <w:iCs/>
        </w:rPr>
        <w:t>— Smlouva o zpracování osobních údajů</w:t>
      </w:r>
      <w:r>
        <w:t xml:space="preserve"> 37</w:t>
      </w:r>
    </w:p>
    <w:p w:rsidR="00855A23" w:rsidRDefault="00AB4B35">
      <w:pPr>
        <w:pStyle w:val="Zkladntext1"/>
        <w:shd w:val="clear" w:color="auto" w:fill="auto"/>
        <w:spacing w:after="0"/>
        <w:ind w:firstLine="640"/>
      </w:pPr>
      <w:r>
        <w:rPr>
          <w:i/>
          <w:iCs/>
        </w:rPr>
        <w:t>— — Příloha A [k Příloze č. 1 Objednávky]</w:t>
      </w:r>
    </w:p>
    <w:p w:rsidR="00855A23" w:rsidRDefault="00AB4B35">
      <w:pPr>
        <w:pStyle w:val="Zkladntext1"/>
        <w:shd w:val="clear" w:color="auto" w:fill="auto"/>
        <w:spacing w:after="180"/>
        <w:ind w:firstLine="640"/>
      </w:pPr>
      <w:r>
        <w:rPr>
          <w:i/>
          <w:iCs/>
        </w:rPr>
        <w:t>— — Technická a organizační opatření</w:t>
      </w:r>
      <w:r>
        <w:t xml:space="preserve"> 39</w:t>
      </w:r>
    </w:p>
    <w:p w:rsidR="00855A23" w:rsidRDefault="00AB4B35">
      <w:pPr>
        <w:pStyle w:val="Zkladntext1"/>
        <w:shd w:val="clear" w:color="auto" w:fill="auto"/>
        <w:spacing w:after="0"/>
        <w:ind w:firstLine="640"/>
      </w:pPr>
      <w:r>
        <w:rPr>
          <w:i/>
          <w:iCs/>
        </w:rPr>
        <w:t>— Příloha 2 [Objednávky]</w:t>
      </w:r>
    </w:p>
    <w:p w:rsidR="00855A23" w:rsidRDefault="00AB4B35">
      <w:pPr>
        <w:pStyle w:val="Zkladntext1"/>
        <w:shd w:val="clear" w:color="auto" w:fill="auto"/>
        <w:spacing w:after="9280"/>
        <w:ind w:firstLine="64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851535</wp:posOffset>
                </wp:positionH>
                <wp:positionV relativeFrom="paragraph">
                  <wp:posOffset>5956300</wp:posOffset>
                </wp:positionV>
                <wp:extent cx="618490" cy="3289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18490" cy="328930"/>
                        </a:xfrm>
                        <a:prstGeom prst="rect">
                          <a:avLst/>
                        </a:prstGeom>
                        <a:noFill/>
                      </wps:spPr>
                      <wps:txbx>
                        <w:txbxContent>
                          <w:p w:rsidR="00AB4B35" w:rsidRPr="00AB4B35" w:rsidRDefault="00AB4B35">
                            <w:pPr>
                              <w:pStyle w:val="Zkladntext40"/>
                              <w:shd w:val="clear" w:color="auto" w:fill="auto"/>
                              <w:rPr>
                                <w:lang w:val="cs-CZ"/>
                              </w:rPr>
                            </w:pPr>
                            <w:r w:rsidRPr="00791F7F">
                              <w:rPr>
                                <w:lang w:val="cs-CZ"/>
                              </w:rPr>
                              <w:t>XXXX</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7.05pt;margin-top:469pt;width:48.7pt;height:25.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" filled="f" stroked="f">
                <v:textbox inset="0,0,0,0">
                  <w:txbxContent>
                    <w:p w:rsidR="00AB4B35" w:rsidRPr="00AB4B35" w:rsidRDefault="00AB4B35">
                      <w:pPr>
                        <w:pStyle w:val="Zkladntext40"/>
                        <w:shd w:val="clear" w:color="auto" w:fill="auto"/>
                        <w:rPr>
                          <w:lang w:val="cs-CZ"/>
                        </w:rPr>
                      </w:pPr>
                      <w:r w:rsidRPr="00791F7F">
                        <w:rPr>
                          <w:lang w:val="cs-CZ"/>
                        </w:rPr>
                        <w:t>XXXX</w:t>
                      </w:r>
                    </w:p>
                  </w:txbxContent>
                </v:textbox>
                <w10:wrap type="square" side="right" anchorx="page"/>
              </v:shape>
            </w:pict>
          </mc:Fallback>
        </mc:AlternateContent>
      </w:r>
      <w:r>
        <w:rPr>
          <w:i/>
          <w:iCs/>
        </w:rPr>
        <w:t xml:space="preserve">— Smlouva s koncovým uživatelem softwaru </w:t>
      </w:r>
      <w:proofErr w:type="spellStart"/>
      <w:r>
        <w:rPr>
          <w:i/>
          <w:iCs/>
        </w:rPr>
        <w:t>Tableau</w:t>
      </w:r>
      <w:proofErr w:type="spellEnd"/>
      <w:r>
        <w:t xml:space="preserve"> 40</w:t>
      </w:r>
    </w:p>
    <w:p w:rsidR="00855A23" w:rsidRDefault="00855A23">
      <w:pPr>
        <w:spacing w:line="1" w:lineRule="exact"/>
      </w:pPr>
    </w:p>
    <w:p w:rsidR="00AB4B35" w:rsidRDefault="00AB4B35">
      <w:pPr>
        <w:pStyle w:val="Zkladntext1"/>
        <w:shd w:val="clear" w:color="auto" w:fill="auto"/>
        <w:spacing w:after="240"/>
        <w:rPr>
          <w:i/>
          <w:iCs/>
        </w:rPr>
      </w:pPr>
    </w:p>
    <w:p w:rsidR="00AB4B35" w:rsidRDefault="00AB4B35">
      <w:pPr>
        <w:pStyle w:val="Zkladntext1"/>
        <w:shd w:val="clear" w:color="auto" w:fill="auto"/>
        <w:spacing w:after="240"/>
        <w:rPr>
          <w:i/>
          <w:iCs/>
        </w:rPr>
      </w:pPr>
    </w:p>
    <w:p w:rsidR="00855A23" w:rsidRDefault="00AB4B35">
      <w:pPr>
        <w:pStyle w:val="Zkladntext1"/>
        <w:shd w:val="clear" w:color="auto" w:fill="auto"/>
        <w:spacing w:after="240"/>
      </w:pPr>
      <w:r>
        <w:rPr>
          <w:i/>
          <w:iCs/>
        </w:rPr>
        <w:lastRenderedPageBreak/>
        <w:t>31. května 2022</w:t>
      </w:r>
    </w:p>
    <w:p w:rsidR="00855A23" w:rsidRDefault="00AB4B35">
      <w:pPr>
        <w:pStyle w:val="Zkladntext30"/>
        <w:shd w:val="clear" w:color="auto" w:fill="auto"/>
      </w:pPr>
      <w:r>
        <w:t>OBCHODNÍ PODMÍNKY PRO DIGITÁLNÍ PRODUKTY A SLUŽBY (EU)</w:t>
      </w:r>
    </w:p>
    <w:p w:rsidR="00855A23" w:rsidRDefault="00AB4B35">
      <w:pPr>
        <w:pStyle w:val="Zkladntext1"/>
        <w:shd w:val="clear" w:color="auto" w:fill="auto"/>
        <w:spacing w:after="180"/>
        <w:jc w:val="both"/>
      </w:pPr>
      <w:r>
        <w:t>Tyto Obchodní podmínky pro digitální produkty a služby (dále jen "</w:t>
      </w:r>
      <w:r>
        <w:rPr>
          <w:b/>
          <w:bCs/>
        </w:rPr>
        <w:t>Smlouva</w:t>
      </w:r>
      <w:r>
        <w:t>") obsahují podmínky pro všechna IT řešení a služby poskytované společností ROCHE.</w:t>
      </w:r>
    </w:p>
    <w:p w:rsidR="00855A23" w:rsidRDefault="00AB4B35">
      <w:pPr>
        <w:pStyle w:val="Zkladntext1"/>
        <w:shd w:val="clear" w:color="auto" w:fill="auto"/>
        <w:spacing w:after="180"/>
      </w:pPr>
      <w:r>
        <w:t>Tato Smlouva se skládá z těchto podmínek a všech příloh včetně všech Objednávek.</w:t>
      </w:r>
    </w:p>
    <w:p w:rsidR="00855A23" w:rsidRDefault="00AB4B35">
      <w:pPr>
        <w:pStyle w:val="Zkladntext20"/>
        <w:shd w:val="clear" w:color="auto" w:fill="auto"/>
        <w:spacing w:after="240"/>
        <w:rPr>
          <w:sz w:val="18"/>
          <w:szCs w:val="18"/>
        </w:rPr>
      </w:pPr>
      <w:r>
        <w:rPr>
          <w:b/>
          <w:bCs/>
          <w:sz w:val="18"/>
          <w:szCs w:val="18"/>
        </w:rPr>
        <w:t>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46"/>
        <w:gridCol w:w="4291"/>
      </w:tblGrid>
      <w:tr w:rsidR="00855A23">
        <w:trPr>
          <w:trHeight w:hRule="exact" w:val="197"/>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Název subjektu:</w:t>
            </w:r>
          </w:p>
        </w:tc>
        <w:tc>
          <w:tcPr>
            <w:tcW w:w="4291" w:type="dxa"/>
            <w:shd w:val="clear" w:color="auto" w:fill="FFFFFF"/>
            <w:vAlign w:val="bottom"/>
          </w:tcPr>
          <w:p w:rsidR="00855A23" w:rsidRDefault="00AB4B35">
            <w:pPr>
              <w:pStyle w:val="Jin0"/>
              <w:shd w:val="clear" w:color="auto" w:fill="auto"/>
              <w:spacing w:after="0"/>
              <w:rPr>
                <w:sz w:val="15"/>
                <w:szCs w:val="15"/>
              </w:rPr>
            </w:pPr>
            <w:r>
              <w:rPr>
                <w:sz w:val="15"/>
                <w:szCs w:val="15"/>
              </w:rPr>
              <w:t>ROCHE s. r. o.</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Sídlo:</w:t>
            </w:r>
          </w:p>
        </w:tc>
        <w:tc>
          <w:tcPr>
            <w:tcW w:w="4291" w:type="dxa"/>
            <w:shd w:val="clear" w:color="auto" w:fill="FFFFFF"/>
            <w:vAlign w:val="bottom"/>
          </w:tcPr>
          <w:p w:rsidR="00855A23" w:rsidRDefault="00AB4B35">
            <w:pPr>
              <w:pStyle w:val="Jin0"/>
              <w:shd w:val="clear" w:color="auto" w:fill="auto"/>
              <w:spacing w:after="0"/>
              <w:rPr>
                <w:sz w:val="15"/>
                <w:szCs w:val="15"/>
              </w:rPr>
            </w:pPr>
            <w:r>
              <w:rPr>
                <w:sz w:val="15"/>
                <w:szCs w:val="15"/>
              </w:rPr>
              <w:t>Sokolovská 685/136f, Karlín, 186 00 Praha 8</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IČO:</w:t>
            </w:r>
          </w:p>
        </w:tc>
        <w:tc>
          <w:tcPr>
            <w:tcW w:w="4291" w:type="dxa"/>
            <w:shd w:val="clear" w:color="auto" w:fill="FFFFFF"/>
            <w:vAlign w:val="bottom"/>
          </w:tcPr>
          <w:p w:rsidR="00855A23" w:rsidRDefault="00AB4B35">
            <w:pPr>
              <w:pStyle w:val="Jin0"/>
              <w:shd w:val="clear" w:color="auto" w:fill="auto"/>
              <w:spacing w:after="0"/>
              <w:rPr>
                <w:sz w:val="15"/>
                <w:szCs w:val="15"/>
              </w:rPr>
            </w:pPr>
            <w:r>
              <w:rPr>
                <w:sz w:val="15"/>
                <w:szCs w:val="15"/>
              </w:rPr>
              <w:t>49617052</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DIČ:</w:t>
            </w:r>
          </w:p>
        </w:tc>
        <w:tc>
          <w:tcPr>
            <w:tcW w:w="4291" w:type="dxa"/>
            <w:shd w:val="clear" w:color="auto" w:fill="FFFFFF"/>
            <w:vAlign w:val="bottom"/>
          </w:tcPr>
          <w:p w:rsidR="00855A23" w:rsidRDefault="00AB4B35">
            <w:pPr>
              <w:pStyle w:val="Jin0"/>
              <w:shd w:val="clear" w:color="auto" w:fill="auto"/>
              <w:spacing w:after="0"/>
              <w:rPr>
                <w:sz w:val="15"/>
                <w:szCs w:val="15"/>
              </w:rPr>
            </w:pPr>
            <w:r>
              <w:rPr>
                <w:sz w:val="15"/>
                <w:szCs w:val="15"/>
              </w:rPr>
              <w:t>CZ49617052</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Zápis v OR:</w:t>
            </w:r>
          </w:p>
        </w:tc>
        <w:tc>
          <w:tcPr>
            <w:tcW w:w="4291" w:type="dxa"/>
            <w:shd w:val="clear" w:color="auto" w:fill="FFFFFF"/>
            <w:vAlign w:val="bottom"/>
          </w:tcPr>
          <w:p w:rsidR="00855A23" w:rsidRDefault="00AB4B35">
            <w:pPr>
              <w:pStyle w:val="Jin0"/>
              <w:shd w:val="clear" w:color="auto" w:fill="auto"/>
              <w:spacing w:after="0"/>
              <w:rPr>
                <w:sz w:val="15"/>
                <w:szCs w:val="15"/>
              </w:rPr>
            </w:pPr>
            <w:r>
              <w:rPr>
                <w:sz w:val="15"/>
                <w:szCs w:val="15"/>
              </w:rPr>
              <w:t>C 13202 vedená u Městského soudu v Praze</w:t>
            </w:r>
          </w:p>
        </w:tc>
      </w:tr>
      <w:tr w:rsidR="00855A23">
        <w:trPr>
          <w:trHeight w:hRule="exact" w:val="437"/>
        </w:trPr>
        <w:tc>
          <w:tcPr>
            <w:tcW w:w="1646" w:type="dxa"/>
            <w:shd w:val="clear" w:color="auto" w:fill="FFFFFF"/>
          </w:tcPr>
          <w:p w:rsidR="00855A23" w:rsidRDefault="00AB4B35">
            <w:pPr>
              <w:pStyle w:val="Jin0"/>
              <w:shd w:val="clear" w:color="auto" w:fill="auto"/>
              <w:spacing w:after="0"/>
              <w:jc w:val="both"/>
              <w:rPr>
                <w:sz w:val="15"/>
                <w:szCs w:val="15"/>
              </w:rPr>
            </w:pPr>
            <w:r>
              <w:rPr>
                <w:sz w:val="15"/>
                <w:szCs w:val="15"/>
              </w:rPr>
              <w:t>Zastupuje:</w:t>
            </w:r>
          </w:p>
        </w:tc>
        <w:tc>
          <w:tcPr>
            <w:tcW w:w="4291" w:type="dxa"/>
            <w:shd w:val="clear" w:color="auto" w:fill="FFFFFF"/>
            <w:vAlign w:val="bottom"/>
          </w:tcPr>
          <w:p w:rsidR="00AB4B35" w:rsidRPr="00791F7F" w:rsidRDefault="00AB4B35">
            <w:pPr>
              <w:pStyle w:val="Jin0"/>
              <w:shd w:val="clear" w:color="auto" w:fill="auto"/>
              <w:spacing w:after="0" w:line="300" w:lineRule="auto"/>
              <w:rPr>
                <w:sz w:val="15"/>
                <w:szCs w:val="15"/>
              </w:rPr>
            </w:pPr>
          </w:p>
          <w:p w:rsidR="00855A23" w:rsidRPr="00791F7F" w:rsidRDefault="00AB4B35">
            <w:pPr>
              <w:pStyle w:val="Jin0"/>
              <w:shd w:val="clear" w:color="auto" w:fill="auto"/>
              <w:spacing w:after="0" w:line="300" w:lineRule="auto"/>
              <w:rPr>
                <w:sz w:val="15"/>
                <w:szCs w:val="15"/>
              </w:rPr>
            </w:pPr>
            <w:r w:rsidRPr="00791F7F">
              <w:rPr>
                <w:sz w:val="15"/>
                <w:szCs w:val="15"/>
              </w:rPr>
              <w:t>XXXX</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Bankovní spojení:</w:t>
            </w:r>
          </w:p>
        </w:tc>
        <w:tc>
          <w:tcPr>
            <w:tcW w:w="4291" w:type="dxa"/>
            <w:shd w:val="clear" w:color="auto" w:fill="FFFFFF"/>
            <w:vAlign w:val="bottom"/>
          </w:tcPr>
          <w:p w:rsidR="00855A23" w:rsidRPr="00791F7F" w:rsidRDefault="00AB4B35">
            <w:pPr>
              <w:pStyle w:val="Jin0"/>
              <w:shd w:val="clear" w:color="auto" w:fill="auto"/>
              <w:spacing w:after="0"/>
              <w:rPr>
                <w:sz w:val="15"/>
                <w:szCs w:val="15"/>
              </w:rPr>
            </w:pPr>
            <w:r w:rsidRPr="00791F7F">
              <w:rPr>
                <w:sz w:val="15"/>
                <w:szCs w:val="15"/>
              </w:rPr>
              <w:t>XXXX.</w:t>
            </w:r>
          </w:p>
        </w:tc>
      </w:tr>
      <w:tr w:rsidR="00855A23">
        <w:trPr>
          <w:trHeight w:hRule="exact" w:val="355"/>
        </w:trPr>
        <w:tc>
          <w:tcPr>
            <w:tcW w:w="1646" w:type="dxa"/>
            <w:shd w:val="clear" w:color="auto" w:fill="FFFFFF"/>
            <w:vAlign w:val="center"/>
          </w:tcPr>
          <w:p w:rsidR="00855A23" w:rsidRDefault="00AB4B35">
            <w:pPr>
              <w:pStyle w:val="Jin0"/>
              <w:shd w:val="clear" w:color="auto" w:fill="auto"/>
              <w:spacing w:after="0"/>
              <w:jc w:val="both"/>
              <w:rPr>
                <w:sz w:val="15"/>
                <w:szCs w:val="15"/>
              </w:rPr>
            </w:pPr>
            <w:r>
              <w:rPr>
                <w:sz w:val="15"/>
                <w:szCs w:val="15"/>
              </w:rPr>
              <w:t>Číslo účtu:</w:t>
            </w:r>
          </w:p>
        </w:tc>
        <w:tc>
          <w:tcPr>
            <w:tcW w:w="4291" w:type="dxa"/>
            <w:shd w:val="clear" w:color="auto" w:fill="FFFFFF"/>
            <w:vAlign w:val="center"/>
          </w:tcPr>
          <w:p w:rsidR="00855A23" w:rsidRPr="00791F7F" w:rsidRDefault="00AB4B35" w:rsidP="00AB4B35">
            <w:pPr>
              <w:pStyle w:val="Jin0"/>
              <w:shd w:val="clear" w:color="auto" w:fill="auto"/>
              <w:spacing w:after="0"/>
              <w:rPr>
                <w:sz w:val="15"/>
                <w:szCs w:val="15"/>
              </w:rPr>
            </w:pPr>
            <w:r w:rsidRPr="00791F7F">
              <w:rPr>
                <w:sz w:val="15"/>
                <w:szCs w:val="15"/>
              </w:rPr>
              <w:t xml:space="preserve">XXXX </w:t>
            </w:r>
          </w:p>
        </w:tc>
      </w:tr>
    </w:tbl>
    <w:p w:rsidR="00855A23" w:rsidRDefault="00AB4B35">
      <w:pPr>
        <w:pStyle w:val="Titulektabulky0"/>
        <w:shd w:val="clear" w:color="auto" w:fill="auto"/>
      </w:pPr>
      <w:r>
        <w:t>(dále jen „</w:t>
      </w:r>
      <w:r>
        <w:rPr>
          <w:b/>
          <w:bCs/>
        </w:rPr>
        <w:t>ROCHE</w:t>
      </w:r>
      <w:r>
        <w:t>“</w:t>
      </w:r>
    </w:p>
    <w:p w:rsidR="00855A23" w:rsidRDefault="00855A23">
      <w:pPr>
        <w:spacing w:after="279" w:line="1" w:lineRule="exact"/>
      </w:pPr>
    </w:p>
    <w:p w:rsidR="00855A23" w:rsidRDefault="00855A23">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46"/>
        <w:gridCol w:w="4296"/>
      </w:tblGrid>
      <w:tr w:rsidR="00855A23">
        <w:trPr>
          <w:trHeight w:hRule="exact" w:val="571"/>
        </w:trPr>
        <w:tc>
          <w:tcPr>
            <w:tcW w:w="1646" w:type="dxa"/>
            <w:shd w:val="clear" w:color="auto" w:fill="FFFFFF"/>
            <w:vAlign w:val="bottom"/>
          </w:tcPr>
          <w:p w:rsidR="00855A23" w:rsidRDefault="00AB4B35">
            <w:pPr>
              <w:pStyle w:val="Jin0"/>
              <w:shd w:val="clear" w:color="auto" w:fill="auto"/>
              <w:spacing w:after="220"/>
              <w:jc w:val="both"/>
              <w:rPr>
                <w:sz w:val="15"/>
                <w:szCs w:val="15"/>
              </w:rPr>
            </w:pPr>
            <w:r>
              <w:rPr>
                <w:sz w:val="15"/>
                <w:szCs w:val="15"/>
              </w:rPr>
              <w:t>a</w:t>
            </w:r>
          </w:p>
          <w:p w:rsidR="00855A23" w:rsidRDefault="00AB4B35">
            <w:pPr>
              <w:pStyle w:val="Jin0"/>
              <w:shd w:val="clear" w:color="auto" w:fill="auto"/>
              <w:spacing w:after="0"/>
              <w:jc w:val="both"/>
              <w:rPr>
                <w:sz w:val="15"/>
                <w:szCs w:val="15"/>
              </w:rPr>
            </w:pPr>
            <w:r>
              <w:rPr>
                <w:sz w:val="15"/>
                <w:szCs w:val="15"/>
              </w:rPr>
              <w:t>Název subjektu:</w:t>
            </w:r>
          </w:p>
        </w:tc>
        <w:tc>
          <w:tcPr>
            <w:tcW w:w="4296" w:type="dxa"/>
            <w:shd w:val="clear" w:color="auto" w:fill="FFFFFF"/>
            <w:vAlign w:val="bottom"/>
          </w:tcPr>
          <w:p w:rsidR="00855A23" w:rsidRDefault="00AB4B35">
            <w:pPr>
              <w:pStyle w:val="Jin0"/>
              <w:shd w:val="clear" w:color="auto" w:fill="auto"/>
              <w:spacing w:after="0"/>
              <w:rPr>
                <w:sz w:val="15"/>
                <w:szCs w:val="15"/>
              </w:rPr>
            </w:pPr>
            <w:r>
              <w:rPr>
                <w:sz w:val="15"/>
                <w:szCs w:val="15"/>
              </w:rPr>
              <w:t>Nemocnice Nové Město na Moravě, příspěvková organizace</w:t>
            </w:r>
          </w:p>
        </w:tc>
      </w:tr>
      <w:tr w:rsidR="00855A23">
        <w:trPr>
          <w:trHeight w:hRule="exact" w:val="20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Sídlo:</w:t>
            </w:r>
          </w:p>
        </w:tc>
        <w:tc>
          <w:tcPr>
            <w:tcW w:w="4296" w:type="dxa"/>
            <w:shd w:val="clear" w:color="auto" w:fill="FFFFFF"/>
            <w:vAlign w:val="bottom"/>
          </w:tcPr>
          <w:p w:rsidR="00855A23" w:rsidRDefault="00AB4B35">
            <w:pPr>
              <w:pStyle w:val="Jin0"/>
              <w:shd w:val="clear" w:color="auto" w:fill="auto"/>
              <w:spacing w:after="0"/>
              <w:rPr>
                <w:sz w:val="15"/>
                <w:szCs w:val="15"/>
              </w:rPr>
            </w:pPr>
            <w:r>
              <w:rPr>
                <w:sz w:val="15"/>
                <w:szCs w:val="15"/>
              </w:rPr>
              <w:t>Žďárská 610, 592 31 Nové Město na Moravě</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IČO:</w:t>
            </w:r>
          </w:p>
        </w:tc>
        <w:tc>
          <w:tcPr>
            <w:tcW w:w="4296" w:type="dxa"/>
            <w:shd w:val="clear" w:color="auto" w:fill="FFFFFF"/>
            <w:vAlign w:val="bottom"/>
          </w:tcPr>
          <w:p w:rsidR="00855A23" w:rsidRDefault="00AB4B35">
            <w:pPr>
              <w:pStyle w:val="Jin0"/>
              <w:shd w:val="clear" w:color="auto" w:fill="auto"/>
              <w:spacing w:after="0"/>
              <w:rPr>
                <w:sz w:val="15"/>
                <w:szCs w:val="15"/>
              </w:rPr>
            </w:pPr>
            <w:r>
              <w:rPr>
                <w:sz w:val="15"/>
                <w:szCs w:val="15"/>
              </w:rPr>
              <w:t>00842001</w:t>
            </w:r>
          </w:p>
        </w:tc>
      </w:tr>
      <w:tr w:rsidR="00855A23">
        <w:trPr>
          <w:trHeight w:hRule="exact" w:val="21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DIČ:</w:t>
            </w:r>
          </w:p>
        </w:tc>
        <w:tc>
          <w:tcPr>
            <w:tcW w:w="4296" w:type="dxa"/>
            <w:shd w:val="clear" w:color="auto" w:fill="FFFFFF"/>
            <w:vAlign w:val="bottom"/>
          </w:tcPr>
          <w:p w:rsidR="00855A23" w:rsidRDefault="00AB4B35">
            <w:pPr>
              <w:pStyle w:val="Jin0"/>
              <w:shd w:val="clear" w:color="auto" w:fill="auto"/>
              <w:spacing w:after="0"/>
              <w:rPr>
                <w:sz w:val="15"/>
                <w:szCs w:val="15"/>
              </w:rPr>
            </w:pPr>
            <w:r>
              <w:rPr>
                <w:sz w:val="15"/>
                <w:szCs w:val="15"/>
              </w:rPr>
              <w:t>CZ00842001</w:t>
            </w:r>
          </w:p>
        </w:tc>
      </w:tr>
      <w:tr w:rsidR="00855A23">
        <w:trPr>
          <w:trHeight w:hRule="exact" w:val="226"/>
        </w:trPr>
        <w:tc>
          <w:tcPr>
            <w:tcW w:w="1646" w:type="dxa"/>
            <w:shd w:val="clear" w:color="auto" w:fill="FFFFFF"/>
            <w:vAlign w:val="bottom"/>
          </w:tcPr>
          <w:p w:rsidR="00855A23" w:rsidRDefault="00AB4B35">
            <w:pPr>
              <w:pStyle w:val="Jin0"/>
              <w:shd w:val="clear" w:color="auto" w:fill="auto"/>
              <w:spacing w:after="0"/>
              <w:jc w:val="both"/>
              <w:rPr>
                <w:sz w:val="15"/>
                <w:szCs w:val="15"/>
              </w:rPr>
            </w:pPr>
            <w:r>
              <w:rPr>
                <w:sz w:val="15"/>
                <w:szCs w:val="15"/>
              </w:rPr>
              <w:t>Zápis v OR:</w:t>
            </w:r>
          </w:p>
        </w:tc>
        <w:tc>
          <w:tcPr>
            <w:tcW w:w="4296" w:type="dxa"/>
            <w:shd w:val="clear" w:color="auto" w:fill="FFFFFF"/>
            <w:vAlign w:val="bottom"/>
          </w:tcPr>
          <w:p w:rsidR="00855A23" w:rsidRDefault="00AB4B35">
            <w:pPr>
              <w:pStyle w:val="Jin0"/>
              <w:shd w:val="clear" w:color="auto" w:fill="auto"/>
              <w:spacing w:after="0"/>
              <w:rPr>
                <w:sz w:val="15"/>
                <w:szCs w:val="15"/>
              </w:rPr>
            </w:pPr>
            <w:proofErr w:type="spellStart"/>
            <w:r>
              <w:rPr>
                <w:sz w:val="15"/>
                <w:szCs w:val="15"/>
              </w:rPr>
              <w:t>Pr</w:t>
            </w:r>
            <w:proofErr w:type="spellEnd"/>
            <w:r>
              <w:rPr>
                <w:sz w:val="15"/>
                <w:szCs w:val="15"/>
              </w:rPr>
              <w:t xml:space="preserve"> 1446 vedená u Krajského soudu v Brně</w:t>
            </w:r>
          </w:p>
        </w:tc>
      </w:tr>
      <w:tr w:rsidR="00855A23">
        <w:trPr>
          <w:trHeight w:hRule="exact" w:val="346"/>
        </w:trPr>
        <w:tc>
          <w:tcPr>
            <w:tcW w:w="1646" w:type="dxa"/>
            <w:shd w:val="clear" w:color="auto" w:fill="FFFFFF"/>
            <w:vAlign w:val="center"/>
          </w:tcPr>
          <w:p w:rsidR="00855A23" w:rsidRDefault="00AB4B35">
            <w:pPr>
              <w:pStyle w:val="Jin0"/>
              <w:shd w:val="clear" w:color="auto" w:fill="auto"/>
              <w:spacing w:after="0"/>
              <w:jc w:val="both"/>
              <w:rPr>
                <w:sz w:val="15"/>
                <w:szCs w:val="15"/>
              </w:rPr>
            </w:pPr>
            <w:r>
              <w:rPr>
                <w:sz w:val="15"/>
                <w:szCs w:val="15"/>
              </w:rPr>
              <w:t>Zastupuje:</w:t>
            </w:r>
          </w:p>
        </w:tc>
        <w:tc>
          <w:tcPr>
            <w:tcW w:w="4296" w:type="dxa"/>
            <w:shd w:val="clear" w:color="auto" w:fill="FFFFFF"/>
            <w:vAlign w:val="center"/>
          </w:tcPr>
          <w:p w:rsidR="00855A23" w:rsidRDefault="00AB4B35">
            <w:pPr>
              <w:pStyle w:val="Jin0"/>
              <w:shd w:val="clear" w:color="auto" w:fill="auto"/>
              <w:spacing w:after="0"/>
              <w:rPr>
                <w:sz w:val="15"/>
                <w:szCs w:val="15"/>
              </w:rPr>
            </w:pPr>
            <w:r w:rsidRPr="00791F7F">
              <w:rPr>
                <w:sz w:val="15"/>
                <w:szCs w:val="15"/>
              </w:rPr>
              <w:t>XXXX</w:t>
            </w:r>
          </w:p>
        </w:tc>
      </w:tr>
    </w:tbl>
    <w:p w:rsidR="00855A23" w:rsidRDefault="00AB4B35">
      <w:pPr>
        <w:pStyle w:val="Titulektabulky0"/>
        <w:shd w:val="clear" w:color="auto" w:fill="auto"/>
      </w:pPr>
      <w:r>
        <w:t>(dále jen „</w:t>
      </w:r>
      <w:r>
        <w:rPr>
          <w:b/>
          <w:bCs/>
        </w:rPr>
        <w:t>ZAKÁZNÍK</w:t>
      </w:r>
      <w:r>
        <w:t>“</w:t>
      </w:r>
    </w:p>
    <w:p w:rsidR="00855A23" w:rsidRDefault="00855A23">
      <w:pPr>
        <w:spacing w:after="339" w:line="1" w:lineRule="exact"/>
      </w:pPr>
    </w:p>
    <w:p w:rsidR="00855A23" w:rsidRDefault="00AB4B35">
      <w:pPr>
        <w:pStyle w:val="Nadpis50"/>
        <w:keepNext/>
        <w:keepLines/>
        <w:shd w:val="clear" w:color="auto" w:fill="auto"/>
        <w:spacing w:after="180"/>
        <w:jc w:val="center"/>
      </w:pPr>
      <w:bookmarkStart w:id="4" w:name="bookmark6"/>
      <w:bookmarkStart w:id="5" w:name="bookmark7"/>
      <w:r>
        <w:rPr>
          <w:u w:val="single"/>
        </w:rPr>
        <w:t>Podmínky</w:t>
      </w:r>
      <w:bookmarkEnd w:id="4"/>
      <w:bookmarkEnd w:id="5"/>
    </w:p>
    <w:p w:rsidR="00855A23" w:rsidRDefault="00AB4B35">
      <w:pPr>
        <w:pStyle w:val="Zkladntext1"/>
        <w:shd w:val="clear" w:color="auto" w:fill="auto"/>
        <w:spacing w:after="180"/>
      </w:pPr>
      <w:r>
        <w:t>Společnost ROCHE a ZÁKAZNÍK se dohodli následovně:</w:t>
      </w:r>
    </w:p>
    <w:p w:rsidR="00855A23" w:rsidRDefault="00AB4B35">
      <w:pPr>
        <w:pStyle w:val="Nadpis50"/>
        <w:keepNext/>
        <w:keepLines/>
        <w:numPr>
          <w:ilvl w:val="0"/>
          <w:numId w:val="1"/>
        </w:numPr>
        <w:shd w:val="clear" w:color="auto" w:fill="auto"/>
        <w:tabs>
          <w:tab w:val="left" w:pos="288"/>
        </w:tabs>
        <w:spacing w:after="180"/>
        <w:jc w:val="both"/>
      </w:pPr>
      <w:bookmarkStart w:id="6" w:name="bookmark8"/>
      <w:bookmarkStart w:id="7" w:name="bookmark9"/>
      <w:r>
        <w:t>Výklad pojmů</w:t>
      </w:r>
      <w:bookmarkEnd w:id="6"/>
      <w:bookmarkEnd w:id="7"/>
    </w:p>
    <w:p w:rsidR="00855A23" w:rsidRDefault="00AB4B35">
      <w:pPr>
        <w:pStyle w:val="Zkladntext1"/>
        <w:shd w:val="clear" w:color="auto" w:fill="auto"/>
        <w:jc w:val="both"/>
      </w:pPr>
      <w:r>
        <w:t>„</w:t>
      </w:r>
      <w:r>
        <w:rPr>
          <w:b/>
          <w:bCs/>
        </w:rPr>
        <w:t>Přidružená společnost</w:t>
      </w:r>
      <w:r>
        <w:t>“ znamená ve vztahu k určité straně jakoukoli jinou fyzickou osobu, subjekt nebo vládní orgán (</w:t>
      </w:r>
      <w:r>
        <w:rPr>
          <w:b/>
          <w:bCs/>
        </w:rPr>
        <w:t>„Osoba</w:t>
      </w:r>
      <w:r>
        <w:t>“), která ji přímo nebo nepřímo ovládá, je jí kontrolována nebo je s ní pod společnou kontrolou. Pro účely této definice a Smlouvy se pojmem "</w:t>
      </w:r>
      <w:r>
        <w:rPr>
          <w:b/>
          <w:bCs/>
        </w:rPr>
        <w:t>kontrola</w:t>
      </w:r>
      <w:r>
        <w:t>" (a souvisejícími pojmy) rozumí pravomoc určovat politiky nebo řídit Osoby, ať už na základě smlouvy, vlastnictví akcií nebo jiným způsobem. V případě společnosti ROCHE pojem „</w:t>
      </w:r>
      <w:r>
        <w:rPr>
          <w:b/>
          <w:bCs/>
        </w:rPr>
        <w:t>Přidružená společnost</w:t>
      </w:r>
      <w:r>
        <w:t xml:space="preserve">“ pro účely této Smlouvy nezahrnuje společnost </w:t>
      </w:r>
      <w:proofErr w:type="spellStart"/>
      <w:r>
        <w:t>Chugai</w:t>
      </w:r>
      <w:proofErr w:type="spellEnd"/>
      <w:r>
        <w:t xml:space="preserve"> </w:t>
      </w:r>
      <w:proofErr w:type="spellStart"/>
      <w:r>
        <w:t>Pharmaceutical</w:t>
      </w:r>
      <w:proofErr w:type="spellEnd"/>
      <w:r>
        <w:t xml:space="preserve"> Co., Ltd., 1-9, </w:t>
      </w:r>
      <w:proofErr w:type="spellStart"/>
      <w:proofErr w:type="gramStart"/>
      <w:r>
        <w:t>Kyobashi</w:t>
      </w:r>
      <w:proofErr w:type="spellEnd"/>
      <w:r>
        <w:t xml:space="preserve"> 2-chome</w:t>
      </w:r>
      <w:proofErr w:type="gramEnd"/>
      <w:r>
        <w:t xml:space="preserve">, </w:t>
      </w:r>
      <w:proofErr w:type="spellStart"/>
      <w:r>
        <w:t>Chuo</w:t>
      </w:r>
      <w:proofErr w:type="spellEnd"/>
      <w:r>
        <w:t>-ku, Tokio, 104-8301, Japonsko (</w:t>
      </w:r>
      <w:r>
        <w:rPr>
          <w:b/>
          <w:bCs/>
        </w:rPr>
        <w:t>„</w:t>
      </w:r>
      <w:proofErr w:type="spellStart"/>
      <w:r>
        <w:rPr>
          <w:b/>
          <w:bCs/>
        </w:rPr>
        <w:t>Chugai</w:t>
      </w:r>
      <w:proofErr w:type="spellEnd"/>
      <w:r>
        <w:t xml:space="preserve">“) a její příslušné dceřiné společnosti, pokud a dokud společnost ROCHE ZÁKAZNÍKOVI písemně neoznámí, že společnost </w:t>
      </w:r>
      <w:proofErr w:type="spellStart"/>
      <w:r>
        <w:t>Chugai</w:t>
      </w:r>
      <w:proofErr w:type="spellEnd"/>
      <w:r>
        <w:t xml:space="preserve"> nebo kterákoliv z jejích příslušných dceřiných společností je Přidruženou společností společnosti ROCHE.</w:t>
      </w:r>
    </w:p>
    <w:p w:rsidR="00855A23" w:rsidRDefault="00AB4B35">
      <w:pPr>
        <w:pStyle w:val="Zkladntext1"/>
        <w:shd w:val="clear" w:color="auto" w:fill="auto"/>
        <w:jc w:val="both"/>
      </w:pPr>
      <w:r>
        <w:t>„</w:t>
      </w:r>
      <w:r>
        <w:rPr>
          <w:b/>
          <w:bCs/>
        </w:rPr>
        <w:t>Platnými právními předpisy</w:t>
      </w:r>
      <w:r>
        <w:t>“ se rozumí veškeré platné a účinné obecně závazné právní předpisy a nařízení jakéhokoli státního orgánu.</w:t>
      </w:r>
    </w:p>
    <w:p w:rsidR="00855A23" w:rsidRDefault="00AB4B35">
      <w:pPr>
        <w:pStyle w:val="Zkladntext1"/>
        <w:shd w:val="clear" w:color="auto" w:fill="auto"/>
        <w:jc w:val="both"/>
      </w:pPr>
      <w:r>
        <w:t>„</w:t>
      </w:r>
      <w:r>
        <w:rPr>
          <w:b/>
          <w:bCs/>
        </w:rPr>
        <w:t>Schváleným softwarem třetích stran</w:t>
      </w:r>
      <w:r>
        <w:t xml:space="preserve">“ se rozumí jakýkoli software třetích stran (včetně ovladačů pro přístroje nebo příslušenství) v konkrétní verzi, který společnost </w:t>
      </w:r>
      <w:r>
        <w:rPr>
          <w:lang w:val="en-US" w:eastAsia="en-US" w:bidi="en-US"/>
        </w:rPr>
        <w:t xml:space="preserve">ROCHE </w:t>
      </w:r>
      <w:r>
        <w:t>výslovně schválila písemně nebo v jakýchkoli informacích o produktu či jiné publikaci k používání ve spojení s produktem poskytovaným společností ROCHE nebo souběžně s ním.</w:t>
      </w:r>
    </w:p>
    <w:p w:rsidR="00855A23" w:rsidRDefault="00AB4B35">
      <w:pPr>
        <w:pStyle w:val="Zkladntext1"/>
        <w:shd w:val="clear" w:color="auto" w:fill="auto"/>
        <w:jc w:val="both"/>
      </w:pPr>
      <w:r>
        <w:t>„</w:t>
      </w:r>
      <w:r>
        <w:rPr>
          <w:b/>
          <w:bCs/>
        </w:rPr>
        <w:t>Anonymizovanými údaji</w:t>
      </w:r>
      <w:r>
        <w:t xml:space="preserve">“ </w:t>
      </w:r>
      <w:r>
        <w:rPr>
          <w:color w:val="202124"/>
        </w:rPr>
        <w:t>se rozumí informace (nebo jejich část), které byly anonymizovány takovým způsobem, že fyzickou osobu, jíž se týkají, nelze identifikovat nebo ji již nelze identifikovat, a to s ohledem na všechny prostředky, které by správce nebo jiná osoba mohli s přiměřenou pravděpodobností použít k přímé nebo nepřímé identifikaci fyzické osoby</w:t>
      </w:r>
      <w:r>
        <w:t xml:space="preserve">. </w:t>
      </w:r>
      <w:r>
        <w:rPr>
          <w:color w:val="202124"/>
        </w:rPr>
        <w:t>Ke stanovení toho, zda lze rozumně předpokládat použití prostředků k identifikaci fyzické osoby, by měly být zohledněny všechny objektivní faktory, jako jsou náklady a čas, které si identifikace vyžádá, s přihlédnutím k technologii dostupné v době zpracování i k technologickému rozvoji</w:t>
      </w:r>
      <w:r>
        <w:t>.</w:t>
      </w:r>
    </w:p>
    <w:p w:rsidR="00855A23" w:rsidRDefault="00AB4B35">
      <w:pPr>
        <w:pStyle w:val="Zkladntext1"/>
        <w:shd w:val="clear" w:color="auto" w:fill="auto"/>
        <w:jc w:val="both"/>
      </w:pPr>
      <w:r>
        <w:t>„</w:t>
      </w:r>
      <w:r>
        <w:rPr>
          <w:b/>
          <w:bCs/>
        </w:rPr>
        <w:t>Oprávněný uživatel</w:t>
      </w:r>
      <w:r>
        <w:t xml:space="preserve">“ znamená fyzickou osobu, která má povolen přístup k Řešením </w:t>
      </w:r>
      <w:r>
        <w:rPr>
          <w:lang w:val="en-US" w:eastAsia="en-US" w:bidi="en-US"/>
        </w:rPr>
        <w:t xml:space="preserve">IT </w:t>
      </w:r>
      <w:r>
        <w:t>a jejich používání podle podmínek této Smlouvy a příslušné Objednávky, a znamená konkrétně jmenovanou nebo určenou (heslem, licenčním číslem nebo jinou identifikací uživatele) fyzickou osobu oprávněnou ZÁKAZNÍKEM k používání IT řešení, bez ohledu na to, zda tato osoba v daném okamžiku IT řešení aktivně používá. ZÁKAZNÍK může požádat o trvalé přeřazení přihlášení oprávněného uživatele, pokud původní osoba označená jako oprávněný uživatel přestane být zaměstnancem ZÁKAZNÍKA nebo jinak zanikne jeho potřeba přístupu k IT řešením</w:t>
      </w:r>
    </w:p>
    <w:p w:rsidR="00AB1033" w:rsidRDefault="00AB1033">
      <w:pPr>
        <w:pStyle w:val="Zkladntext1"/>
        <w:shd w:val="clear" w:color="auto" w:fill="auto"/>
        <w:jc w:val="both"/>
      </w:pPr>
    </w:p>
    <w:p w:rsidR="00AB1033" w:rsidRDefault="00AB1033">
      <w:pPr>
        <w:pStyle w:val="Zkladntext1"/>
        <w:shd w:val="clear" w:color="auto" w:fill="auto"/>
        <w:jc w:val="both"/>
      </w:pPr>
    </w:p>
    <w:p w:rsidR="00AB1033" w:rsidRDefault="00AB1033">
      <w:pPr>
        <w:pStyle w:val="Zkladntext1"/>
        <w:shd w:val="clear" w:color="auto" w:fill="auto"/>
        <w:jc w:val="both"/>
      </w:pPr>
    </w:p>
    <w:p w:rsidR="00AB1033" w:rsidRDefault="00AB1033">
      <w:pPr>
        <w:pStyle w:val="Zkladntext1"/>
        <w:shd w:val="clear" w:color="auto" w:fill="auto"/>
        <w:jc w:val="both"/>
      </w:pPr>
    </w:p>
    <w:p w:rsidR="00AB1033" w:rsidRDefault="00AB1033">
      <w:pPr>
        <w:pStyle w:val="Zkladntext1"/>
        <w:shd w:val="clear" w:color="auto" w:fill="auto"/>
        <w:jc w:val="both"/>
      </w:pPr>
    </w:p>
    <w:p w:rsidR="00AB1033" w:rsidRDefault="00AB1033">
      <w:pPr>
        <w:pStyle w:val="Zkladntext1"/>
        <w:shd w:val="clear" w:color="auto" w:fill="auto"/>
        <w:jc w:val="both"/>
      </w:pPr>
    </w:p>
    <w:p w:rsidR="00855A23" w:rsidRDefault="00AB4B35">
      <w:pPr>
        <w:pStyle w:val="Zkladntext1"/>
        <w:shd w:val="clear" w:color="auto" w:fill="auto"/>
        <w:jc w:val="both"/>
      </w:pPr>
      <w:r>
        <w:lastRenderedPageBreak/>
        <w:t>„</w:t>
      </w:r>
      <w:r>
        <w:rPr>
          <w:b/>
          <w:bCs/>
        </w:rPr>
        <w:t>Řešení na místě</w:t>
      </w:r>
      <w:r>
        <w:t>“ znamená softwarové produkty společnosti ROCHE, které jsou nainstalovány na serveru v rámci IT infrastruktury ZÁKAZNÍKA.</w:t>
      </w:r>
    </w:p>
    <w:p w:rsidR="00855A23" w:rsidRDefault="00AB4B35">
      <w:pPr>
        <w:pStyle w:val="Zkladntext1"/>
        <w:shd w:val="clear" w:color="auto" w:fill="auto"/>
        <w:jc w:val="both"/>
      </w:pPr>
      <w:r>
        <w:t>„</w:t>
      </w:r>
      <w:r>
        <w:rPr>
          <w:b/>
          <w:bCs/>
        </w:rPr>
        <w:t>Důvěrnými informacemi</w:t>
      </w:r>
      <w:r>
        <w:t>“ se rozumí veškeré informace získané v souvislosti s jednáním nebo prováděním činností podle této Smlouvy a podle jakékoli Objednávky (i) včetně mj. informací o vlastnictví nebo obchodních tajemství, jako jsou výrobky, výrobní postupy, technické informace, know-how, vynálezy, obchodní vztahy, obchodní strategie, obchodní plány, finanční plánování, osobní záležitosti, digitální informace, znalosti, systémy, návrhy, metody, vzorce, patenty, materiály, výzkumné plány nebo činnosti, ceny, tržby, náklady, propagační metody a zákazníci; a (</w:t>
      </w:r>
      <w:proofErr w:type="spellStart"/>
      <w:r>
        <w:t>ii</w:t>
      </w:r>
      <w:proofErr w:type="spellEnd"/>
      <w:r>
        <w:t>) které nejsou obecně známé nebo snadno dostupné, které mají ekonomickou hodnotu vzhledem ke své důvěrné povaze a které jsou chráněny vhodnými opatřeními k zachování jejich důvěrnosti; (</w:t>
      </w:r>
      <w:proofErr w:type="spellStart"/>
      <w:r>
        <w:t>iii</w:t>
      </w:r>
      <w:proofErr w:type="spellEnd"/>
      <w:r>
        <w:t>) a které jsou poskytující stranou přijímající straně a buď (a) poskytnuty v zaznamenané formě (například v listinné nebo elektronické podobě) a označeny sdělující stranou jako „důvěrné“; nebo (b) sděleny ústně, ale v okamžiku sdělení označeny jako důvěrné a do třiceti (30) dnů od tohoto ústního sdělení potvrzeny zaznamenaným shrnutím dostatečným pro identifikaci; nebo (</w:t>
      </w:r>
      <w:proofErr w:type="spellStart"/>
      <w:r>
        <w:t>iv</w:t>
      </w:r>
      <w:proofErr w:type="spellEnd"/>
      <w:r>
        <w:t>) které by se jinak, bez ohledu na příslušné označení nebo identifikaci, rozumné osobě jevily jako důvěrné nebo chráněné. Pokud a v rozsahu, v jakém dané informace nesplňují požadavky na obchodní tajemství podle platných právních předpisů, se strany dohodly, že tyto informace budou i nadále podléhat ustanovením o důvěrnosti uvedeným v této Smlouvě. Údaje o pacientech, jak jsou definovány v tomto čl. 1, nespadají do působnosti tohoto ustanovení a podléhají výhradně ustanovením Smlouvy o zpracování osobních údajů, pokud byla tato smlouva uzavřena v souladu s čl. 6.2. Důvěrné informace zahrnují Obsah ROCHE a všechny Služby. Důvěrné informace jsou pro účely Smlouvy považovány za obchodní tajemství stran dle § 504 zákona č. 89/2012 Sb., občanského zákoníku, ve znění pozdějších předpisů.</w:t>
      </w:r>
    </w:p>
    <w:p w:rsidR="00855A23" w:rsidRDefault="00AB4B35">
      <w:pPr>
        <w:pStyle w:val="Zkladntext1"/>
        <w:shd w:val="clear" w:color="auto" w:fill="auto"/>
        <w:jc w:val="both"/>
      </w:pPr>
      <w:r>
        <w:rPr>
          <w:b/>
          <w:bCs/>
        </w:rPr>
        <w:t>„ZÁKAZNÍK</w:t>
      </w:r>
      <w:r>
        <w:t>“ znamená osoba (právnická osoba), která je příjemcem Objednávky a která bude licencovat, používat a provozovat IT řešení podle Smlouvy a příslušné Objednávky.</w:t>
      </w:r>
    </w:p>
    <w:p w:rsidR="00855A23" w:rsidRDefault="00AB4B35">
      <w:pPr>
        <w:pStyle w:val="Zkladntext1"/>
        <w:shd w:val="clear" w:color="auto" w:fill="auto"/>
        <w:jc w:val="both"/>
      </w:pPr>
      <w:r>
        <w:rPr>
          <w:b/>
          <w:bCs/>
        </w:rPr>
        <w:t>„Dodávky</w:t>
      </w:r>
      <w:r>
        <w:t>“ mají význam uvedený v čl. 2.2.</w:t>
      </w:r>
    </w:p>
    <w:p w:rsidR="00855A23" w:rsidRDefault="00AB4B35">
      <w:pPr>
        <w:pStyle w:val="Zkladntext1"/>
        <w:shd w:val="clear" w:color="auto" w:fill="auto"/>
        <w:jc w:val="both"/>
      </w:pPr>
      <w:r>
        <w:rPr>
          <w:b/>
          <w:bCs/>
        </w:rPr>
        <w:t>„Dokumentací</w:t>
      </w:r>
      <w:r>
        <w:t>“ se rozumí standardní online dokumentace, manuály, uživatelské příručky, specifikace a další materiály v textové podobě, které společnost ROCHE nebo některá z jejích přidružených společností dodá ZÁKAZNÍKOVI nebo které jsou jinak všeobecně dostupné veřejnosti a které se týkají IT řešení.</w:t>
      </w:r>
    </w:p>
    <w:p w:rsidR="00855A23" w:rsidRDefault="00AB4B35">
      <w:pPr>
        <w:pStyle w:val="Zkladntext1"/>
        <w:shd w:val="clear" w:color="auto" w:fill="auto"/>
        <w:jc w:val="both"/>
      </w:pPr>
      <w:r>
        <w:t>„</w:t>
      </w:r>
      <w:r>
        <w:rPr>
          <w:b/>
          <w:bCs/>
        </w:rPr>
        <w:t>Hybridními řešeními</w:t>
      </w:r>
      <w:r>
        <w:t xml:space="preserve">“ se rozumí IT řešení společnosti ROCHE, která zahrnují jak lokální, tak </w:t>
      </w:r>
      <w:proofErr w:type="spellStart"/>
      <w:r>
        <w:t>cloudové</w:t>
      </w:r>
      <w:proofErr w:type="spellEnd"/>
      <w:r>
        <w:t xml:space="preserve"> prvky. Veškerá ustanovení týkající se Řešení na místě se vztahují i na ty části Hybridních řešení, které jsou nainstalovány na serveru v rámci IT infrastruktury ZÁKAZNÍKA.</w:t>
      </w:r>
    </w:p>
    <w:p w:rsidR="00855A23" w:rsidRDefault="00AB4B35">
      <w:pPr>
        <w:pStyle w:val="Zkladntext1"/>
        <w:shd w:val="clear" w:color="auto" w:fill="auto"/>
        <w:jc w:val="both"/>
      </w:pPr>
      <w:r>
        <w:rPr>
          <w:b/>
          <w:bCs/>
        </w:rPr>
        <w:t>„Integrační služby</w:t>
      </w:r>
      <w:r>
        <w:t>“ mají význam uvedený v čl. 3.1.</w:t>
      </w:r>
    </w:p>
    <w:p w:rsidR="00855A23" w:rsidRDefault="00AB4B35">
      <w:pPr>
        <w:pStyle w:val="Zkladntext1"/>
        <w:shd w:val="clear" w:color="auto" w:fill="auto"/>
        <w:jc w:val="both"/>
      </w:pPr>
      <w:r>
        <w:t>„</w:t>
      </w:r>
      <w:r>
        <w:rPr>
          <w:b/>
          <w:bCs/>
        </w:rPr>
        <w:t>IT infrastrukturou</w:t>
      </w:r>
      <w:r>
        <w:t>“ se rozumí požadovaný technický rámec a systémové konfigurace pro používání Řešení na místě nebo Hybridních řešení.</w:t>
      </w:r>
    </w:p>
    <w:p w:rsidR="00855A23" w:rsidRDefault="00AB4B35">
      <w:pPr>
        <w:pStyle w:val="Zkladntext1"/>
        <w:shd w:val="clear" w:color="auto" w:fill="auto"/>
        <w:jc w:val="both"/>
      </w:pPr>
      <w:r>
        <w:rPr>
          <w:b/>
          <w:bCs/>
        </w:rPr>
        <w:t>„Objednávka</w:t>
      </w:r>
      <w:r>
        <w:t>“ znamená dohodu účinnou k Datu účinnosti nebo později, který stanoví IT řešení a Služby, které si ZÁKAZNÍK u společnosti ROCHE objednal, spolu s příslušnými poplatky, určitými omezeními a dalšími podmínkami, na nichž se společnost ROCHE a ZÁKAZNÍK dohodli, tj. ZÁKAZNÍK akceptoval nabídku učiněnou ROCHE.</w:t>
      </w:r>
    </w:p>
    <w:p w:rsidR="00855A23" w:rsidRDefault="00AB4B35">
      <w:pPr>
        <w:pStyle w:val="Zkladntext1"/>
        <w:shd w:val="clear" w:color="auto" w:fill="auto"/>
        <w:jc w:val="both"/>
      </w:pPr>
      <w:r>
        <w:t>„</w:t>
      </w:r>
      <w:r>
        <w:rPr>
          <w:b/>
          <w:bCs/>
        </w:rPr>
        <w:t>Doba trvání objednávky</w:t>
      </w:r>
      <w:r>
        <w:t>“ znamená dobu trvání Objednávky (včetně případných prodloužení a obnovení), jak je uvedeno v příslušné Objednávce.</w:t>
      </w:r>
    </w:p>
    <w:p w:rsidR="00855A23" w:rsidRDefault="00AB4B35">
      <w:pPr>
        <w:pStyle w:val="Zkladntext1"/>
        <w:shd w:val="clear" w:color="auto" w:fill="auto"/>
        <w:jc w:val="both"/>
      </w:pPr>
      <w:r>
        <w:t>„</w:t>
      </w:r>
      <w:r>
        <w:rPr>
          <w:b/>
          <w:bCs/>
        </w:rPr>
        <w:t>Údaje pacientů</w:t>
      </w:r>
      <w:r>
        <w:t>“ znamenají veškeré osobní údaje týkající se zdravotního stavu pacienta, zejména veškeré související údaje z různých zdrojů dat (např. zprostředkovatelských IT systémů elektronických zdravotních záznamů), které tvoří Osobní údaje a jsou automaticky nebo ručně nahrávány do IT řešení (pokud existují). Údaje pacientů tvoří zvláštní kategorii citlivých osobních údajů podle čl. 9 GDPR.</w:t>
      </w:r>
    </w:p>
    <w:p w:rsidR="00855A23" w:rsidRDefault="00AB4B35">
      <w:pPr>
        <w:pStyle w:val="Zkladntext1"/>
        <w:shd w:val="clear" w:color="auto" w:fill="auto"/>
        <w:jc w:val="both"/>
      </w:pPr>
      <w:r>
        <w:t>„</w:t>
      </w:r>
      <w:r>
        <w:rPr>
          <w:b/>
          <w:bCs/>
        </w:rPr>
        <w:t>Osobní údaje</w:t>
      </w:r>
      <w:r>
        <w:t>“ znamenají osobní údaje ve smyslu GDPR. Osobní údaje zahrnují údaje pacientů, nikoli však Anonymizované údaje.</w:t>
      </w:r>
    </w:p>
    <w:p w:rsidR="00855A23" w:rsidRDefault="00AB4B35">
      <w:pPr>
        <w:pStyle w:val="Zkladntext1"/>
        <w:shd w:val="clear" w:color="auto" w:fill="auto"/>
        <w:jc w:val="both"/>
      </w:pPr>
      <w:r>
        <w:t>„</w:t>
      </w:r>
      <w:r>
        <w:rPr>
          <w:b/>
          <w:bCs/>
        </w:rPr>
        <w:t>ROCHE</w:t>
      </w:r>
      <w:r>
        <w:t xml:space="preserve">“ znamená právnickou osobu skupiny </w:t>
      </w:r>
      <w:proofErr w:type="spellStart"/>
      <w:r>
        <w:t>Roche</w:t>
      </w:r>
      <w:proofErr w:type="spellEnd"/>
      <w:r>
        <w:t>, která je oprávněna udělovat práva týkající se IT řešení a vystavit ZÁKAZNÍKOVI Objednávku.</w:t>
      </w:r>
    </w:p>
    <w:p w:rsidR="00855A23" w:rsidRDefault="00AB4B35">
      <w:pPr>
        <w:pStyle w:val="Zkladntext1"/>
        <w:shd w:val="clear" w:color="auto" w:fill="auto"/>
        <w:jc w:val="both"/>
      </w:pPr>
      <w:r>
        <w:rPr>
          <w:b/>
          <w:bCs/>
        </w:rPr>
        <w:t>„Obsah ROCHE</w:t>
      </w:r>
      <w:r>
        <w:t>“ mají význam uvedený v čl. 5.1.</w:t>
      </w:r>
    </w:p>
    <w:p w:rsidR="00855A23" w:rsidRDefault="00AB4B35">
      <w:pPr>
        <w:pStyle w:val="Zkladntext1"/>
        <w:shd w:val="clear" w:color="auto" w:fill="auto"/>
        <w:jc w:val="both"/>
      </w:pPr>
      <w:r>
        <w:rPr>
          <w:b/>
          <w:bCs/>
        </w:rPr>
        <w:t>„Službami</w:t>
      </w:r>
      <w:r>
        <w:t>“ se rozumí služby nabízené společností ROCHE a objednané ZÁKAZNÍKEM, jak je popsáno v příslušné Objednávce, nebo jakékoli služby poskytované na dálku pro jakékoli jiné produkty společnosti ROCHE (např. přístroje, zařízení).</w:t>
      </w:r>
    </w:p>
    <w:p w:rsidR="00855A23" w:rsidRDefault="00AB4B35">
      <w:pPr>
        <w:pStyle w:val="Zkladntext1"/>
        <w:shd w:val="clear" w:color="auto" w:fill="auto"/>
        <w:spacing w:after="420"/>
        <w:jc w:val="both"/>
      </w:pPr>
      <w:r>
        <w:t>„</w:t>
      </w:r>
      <w:r>
        <w:rPr>
          <w:b/>
          <w:bCs/>
        </w:rPr>
        <w:t>IT řešeními</w:t>
      </w:r>
      <w:r>
        <w:t>“ se rozumí všechny současné a budoucí IT produkty společnosti ROCHE, mimo jiné včetně (i) vzdáleně poskytovaných služeb pro jakékoli produkty společnosti ROCHE a (</w:t>
      </w:r>
      <w:proofErr w:type="spellStart"/>
      <w:r>
        <w:t>ii</w:t>
      </w:r>
      <w:proofErr w:type="spellEnd"/>
      <w:r>
        <w:t>) jakýchkoli produktů typu Software jako služba, (</w:t>
      </w:r>
      <w:proofErr w:type="spellStart"/>
      <w:r>
        <w:t>iii</w:t>
      </w:r>
      <w:proofErr w:type="spellEnd"/>
      <w:r>
        <w:t>) a Hybridních řešení a (</w:t>
      </w:r>
      <w:proofErr w:type="spellStart"/>
      <w:r>
        <w:t>iv</w:t>
      </w:r>
      <w:proofErr w:type="spellEnd"/>
      <w:r>
        <w:t>) Řešení na místě, jak jsou popsány v příslušné Objednávce, včetně příslušné Dokumentace a jakýchkoli aktualizací, upgradů nebo nových verzí těchto IT řešení, které jsou výslovně zahrnuty v Objednávce.</w:t>
      </w:r>
    </w:p>
    <w:p w:rsidR="00855A23" w:rsidRDefault="00AB4B35">
      <w:pPr>
        <w:pStyle w:val="Nadpis50"/>
        <w:keepNext/>
        <w:keepLines/>
        <w:numPr>
          <w:ilvl w:val="0"/>
          <w:numId w:val="1"/>
        </w:numPr>
        <w:shd w:val="clear" w:color="auto" w:fill="auto"/>
        <w:tabs>
          <w:tab w:val="left" w:pos="288"/>
        </w:tabs>
        <w:spacing w:after="100"/>
        <w:jc w:val="both"/>
      </w:pPr>
      <w:bookmarkStart w:id="8" w:name="bookmark10"/>
      <w:bookmarkStart w:id="9" w:name="bookmark11"/>
      <w:r>
        <w:t>IT řešení a služby</w:t>
      </w:r>
      <w:bookmarkEnd w:id="8"/>
      <w:bookmarkEnd w:id="9"/>
    </w:p>
    <w:p w:rsidR="00855A23" w:rsidRDefault="00AB4B35">
      <w:pPr>
        <w:pStyle w:val="Zkladntext1"/>
        <w:numPr>
          <w:ilvl w:val="1"/>
          <w:numId w:val="1"/>
        </w:numPr>
        <w:shd w:val="clear" w:color="auto" w:fill="auto"/>
        <w:tabs>
          <w:tab w:val="left" w:pos="727"/>
        </w:tabs>
        <w:ind w:firstLine="300"/>
        <w:jc w:val="both"/>
      </w:pPr>
      <w:r>
        <w:rPr>
          <w:u w:val="single"/>
        </w:rPr>
        <w:t>Objednávky</w:t>
      </w:r>
      <w:r>
        <w:t xml:space="preserve">. Společnost </w:t>
      </w:r>
      <w:r>
        <w:rPr>
          <w:lang w:val="en-US" w:eastAsia="en-US" w:bidi="en-US"/>
        </w:rPr>
        <w:t xml:space="preserve">ROCHE </w:t>
      </w:r>
      <w:r>
        <w:t xml:space="preserve">a ZÁKAZNÍK mohou uzavřít jednu nebo více Objednávek připravených společností </w:t>
      </w:r>
      <w:r>
        <w:rPr>
          <w:lang w:val="en-US" w:eastAsia="en-US" w:bidi="en-US"/>
        </w:rPr>
        <w:t xml:space="preserve">ROCHE, </w:t>
      </w:r>
      <w:r>
        <w:t xml:space="preserve">které stanoví </w:t>
      </w:r>
      <w:r>
        <w:rPr>
          <w:lang w:val="en-US" w:eastAsia="en-US" w:bidi="en-US"/>
        </w:rPr>
        <w:t xml:space="preserve">IT </w:t>
      </w:r>
      <w:r>
        <w:t xml:space="preserve">řešení a Služby, které společnost </w:t>
      </w:r>
      <w:r>
        <w:rPr>
          <w:lang w:val="en-US" w:eastAsia="en-US" w:bidi="en-US"/>
        </w:rPr>
        <w:t xml:space="preserve">ROCHE </w:t>
      </w:r>
      <w:r>
        <w:t>nebo některá z jejích Přidružených společností poskytne nebo zpřístupní ZÁKAZNÍKOVI. Každá taková uzavřená Objednávka bude považována za součást této Smlouvy a bude se jí řídit. V případě rozporu mezi touto Smlouvou a Objednávkou mají přednost podmínky této Smlouvy.</w:t>
      </w: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AB1033" w:rsidRDefault="00AB1033" w:rsidP="00AB1033">
      <w:pPr>
        <w:pStyle w:val="Zkladntext1"/>
        <w:shd w:val="clear" w:color="auto" w:fill="auto"/>
        <w:tabs>
          <w:tab w:val="left" w:pos="727"/>
        </w:tabs>
        <w:jc w:val="both"/>
      </w:pPr>
    </w:p>
    <w:p w:rsidR="00855A23" w:rsidRDefault="00AB4B35">
      <w:pPr>
        <w:pStyle w:val="Zkladntext1"/>
        <w:numPr>
          <w:ilvl w:val="1"/>
          <w:numId w:val="1"/>
        </w:numPr>
        <w:shd w:val="clear" w:color="auto" w:fill="auto"/>
        <w:tabs>
          <w:tab w:val="left" w:pos="727"/>
        </w:tabs>
        <w:ind w:firstLine="300"/>
        <w:jc w:val="both"/>
      </w:pPr>
      <w:r>
        <w:rPr>
          <w:u w:val="single"/>
        </w:rPr>
        <w:t>Služby</w:t>
      </w:r>
      <w:r>
        <w:t xml:space="preserve">. V souladu s podmínkami této Smlouvy poskytne společnost </w:t>
      </w:r>
      <w:r>
        <w:rPr>
          <w:lang w:val="en-US" w:eastAsia="en-US" w:bidi="en-US"/>
        </w:rPr>
        <w:t xml:space="preserve">ROCHE </w:t>
      </w:r>
      <w:r>
        <w:t xml:space="preserve">nebo některá z jejích Přidružených společností ZÁKAZNÍKOVI </w:t>
      </w:r>
      <w:r>
        <w:rPr>
          <w:lang w:val="en-US" w:eastAsia="en-US" w:bidi="en-US"/>
        </w:rPr>
        <w:t xml:space="preserve">IT </w:t>
      </w:r>
      <w:r>
        <w:t xml:space="preserve">řešení a Služby uvedené v Objednávce. Společnost </w:t>
      </w:r>
      <w:r>
        <w:rPr>
          <w:lang w:val="en-US" w:eastAsia="en-US" w:bidi="en-US"/>
        </w:rPr>
        <w:t xml:space="preserve">ROCHE </w:t>
      </w:r>
      <w:r>
        <w:t xml:space="preserve">nebo některá z jejích Přidružených společností zpřístupní ZÁKAZNÍKOVI IT řešení (např. prostřednictvím internetu) a poskytne další Služby (např. prostřednictvím internetu, telefonicky nebo osobně), jak je uvedeno v příslušné Objednávce. ZÁKAZNÍK tímto bere na vědomí a souhlasí s tím, že společnost ROCHE může poskytovat určité Služby prostřednictvím poddodavatelů, poradců a jiných třetích stran podle vlastního uvážení. ZÁKAZNÍK souhlasí a bere na vědomí, že některá IT řešení jsou </w:t>
      </w:r>
      <w:proofErr w:type="spellStart"/>
      <w:r>
        <w:t>cloudovým</w:t>
      </w:r>
      <w:proofErr w:type="spellEnd"/>
      <w:r>
        <w:t xml:space="preserve"> </w:t>
      </w:r>
      <w:proofErr w:type="spellStart"/>
      <w:r>
        <w:t>webhostingovým</w:t>
      </w:r>
      <w:proofErr w:type="spellEnd"/>
      <w:r>
        <w:t xml:space="preserve"> řešením poskytovaným poddodavateli a hostovaným v datovém centru či centrech. ZÁKAZNÍK je odpovědný za pořízení a údržbu veškerého hardwaru, systémového softwaru, zařízení, sítí a telekomunikačního nebo jiného připojení potřebného pro přístup k internetu a jakékoli </w:t>
      </w:r>
      <w:proofErr w:type="spellStart"/>
      <w:r>
        <w:t>cloudové</w:t>
      </w:r>
      <w:proofErr w:type="spellEnd"/>
      <w:r>
        <w:t xml:space="preserve"> infrastruktuře zvolené společností ROCHE nebo některou z jejích Přidružených společností a za úhradu veškerých telekomunikačních nákladů, nákladů spojených s konektivitou a jiných nákladů (včetně nákladů na přenos dat) spojených s tímto přístupem. Pokud je výsledkem jakýchkoli Služeb to, že společnost ROCHE nebo některá z jejích Přidružených společností poskytne nebo zpřístupní ZÁKAZNÍKOVI jakýkoli materiál, obsah nebo jiný produkt („</w:t>
      </w:r>
      <w:r>
        <w:rPr>
          <w:b/>
          <w:bCs/>
        </w:rPr>
        <w:t>Dodávky</w:t>
      </w:r>
      <w:r>
        <w:t>“), pak na tyto Dodávky poskytuje společnost ROCHE ZÁKAZNÍKOVI licenci v souladu s licencí uvedenou v článku 2.4. Jakékoli použití IT řešení, Služby nebo Dodávky způsobem zakázaným v článku 2.6 vylučují jakoukoli odpovědnost společnosti ROCHE a jejích Přidružených společností za poskytnutí integrace, podpory nebo jiných Služeb podle tohoto odstavce týkajících se takové Služby nebo Dodávky.</w:t>
      </w:r>
    </w:p>
    <w:p w:rsidR="00855A23" w:rsidRDefault="00AB4B35">
      <w:pPr>
        <w:pStyle w:val="Zkladntext1"/>
        <w:numPr>
          <w:ilvl w:val="1"/>
          <w:numId w:val="1"/>
        </w:numPr>
        <w:shd w:val="clear" w:color="auto" w:fill="auto"/>
        <w:tabs>
          <w:tab w:val="left" w:pos="734"/>
        </w:tabs>
        <w:spacing w:after="0"/>
        <w:ind w:firstLine="300"/>
        <w:jc w:val="both"/>
      </w:pPr>
      <w:r>
        <w:rPr>
          <w:u w:val="single"/>
        </w:rPr>
        <w:t xml:space="preserve">Změny služeb </w:t>
      </w:r>
      <w:r>
        <w:rPr>
          <w:u w:val="single"/>
          <w:lang w:val="en-US" w:eastAsia="en-US" w:bidi="en-US"/>
        </w:rPr>
        <w:t xml:space="preserve">a IT </w:t>
      </w:r>
      <w:r>
        <w:rPr>
          <w:u w:val="single"/>
        </w:rPr>
        <w:t>řešení</w:t>
      </w:r>
      <w:r>
        <w:t xml:space="preserve">. Společnost </w:t>
      </w:r>
      <w:r>
        <w:rPr>
          <w:lang w:val="en-US" w:eastAsia="en-US" w:bidi="en-US"/>
        </w:rPr>
        <w:t xml:space="preserve">ROCHE </w:t>
      </w:r>
      <w:r>
        <w:t xml:space="preserve">anebo kterákoli z jejích Přidružených společností může dle potřeby bez předchozího upozornění ZÁKAZNÍKA přidat, odstranit nebo změnit vlastnosti nebo funkce Služeb </w:t>
      </w:r>
      <w:r>
        <w:rPr>
          <w:lang w:val="en-US" w:eastAsia="en-US" w:bidi="en-US"/>
        </w:rPr>
        <w:t xml:space="preserve">a IT </w:t>
      </w:r>
      <w:r>
        <w:t>řešení. Pokud jakýkoli takový dodatek, odstranění nebo změna způsobí podstatné snížení celkové funkčnosti některé ze Služeb nebo IT Řešení, ZÁKAZNÍK může</w:t>
      </w:r>
    </w:p>
    <w:p w:rsidR="00855A23" w:rsidRDefault="00AB4B35">
      <w:pPr>
        <w:pStyle w:val="Zkladntext1"/>
        <w:numPr>
          <w:ilvl w:val="0"/>
          <w:numId w:val="2"/>
        </w:numPr>
        <w:shd w:val="clear" w:color="auto" w:fill="auto"/>
        <w:tabs>
          <w:tab w:val="left" w:pos="279"/>
          <w:tab w:val="left" w:pos="725"/>
        </w:tabs>
        <w:jc w:val="both"/>
      </w:pPr>
      <w:r>
        <w:t>vypovědět příslušnou Objednávku týkající se takové Služby nebo IT Řešení písemným oznámením společnosti ROCHE do třiceti (30) dnů od provedení takového dodatku, odstranění nebo změny a (</w:t>
      </w:r>
      <w:proofErr w:type="spellStart"/>
      <w:r>
        <w:t>ii</w:t>
      </w:r>
      <w:proofErr w:type="spellEnd"/>
      <w:r>
        <w:t>) obdržet zpět veškeré předem zaplacené částky za příslušnou Službu nebo Řešení IT, poměrně do doby obdržení oznámení o výpovědi ze strany společnosti ROCHE.</w:t>
      </w:r>
    </w:p>
    <w:p w:rsidR="00855A23" w:rsidRDefault="00AB4B35">
      <w:pPr>
        <w:pStyle w:val="Zkladntext1"/>
        <w:numPr>
          <w:ilvl w:val="1"/>
          <w:numId w:val="1"/>
        </w:numPr>
        <w:shd w:val="clear" w:color="auto" w:fill="auto"/>
        <w:tabs>
          <w:tab w:val="left" w:pos="734"/>
        </w:tabs>
        <w:ind w:firstLine="300"/>
        <w:jc w:val="both"/>
      </w:pPr>
      <w:r>
        <w:rPr>
          <w:u w:val="single"/>
        </w:rPr>
        <w:t>Licence</w:t>
      </w:r>
      <w:r>
        <w:t xml:space="preserve">. S výhradou článku 2.6 a dalších podmínek této Smlouvy společnost </w:t>
      </w:r>
      <w:r>
        <w:rPr>
          <w:lang w:val="en-US" w:eastAsia="en-US" w:bidi="en-US"/>
        </w:rPr>
        <w:t xml:space="preserve">ROCHE </w:t>
      </w:r>
      <w:r>
        <w:t xml:space="preserve">tímto uděluje ZÁKAZNÍKOVI nevýhradní, odvolatelnou, nepřenosnou a nepřevoditelnou licenci (bez práva udělovat </w:t>
      </w:r>
      <w:proofErr w:type="spellStart"/>
      <w:r>
        <w:rPr>
          <w:lang w:val="en-US" w:eastAsia="en-US" w:bidi="en-US"/>
        </w:rPr>
        <w:t>podlicence</w:t>
      </w:r>
      <w:proofErr w:type="spellEnd"/>
      <w:r>
        <w:rPr>
          <w:lang w:val="en-US" w:eastAsia="en-US" w:bidi="en-US"/>
        </w:rPr>
        <w:t xml:space="preserve">) </w:t>
      </w:r>
      <w:r>
        <w:t>pro určitý počet Oprávněných uživatelů ZÁKAZNÍKA, který je uveden v příslušné Objednávce, za účelem přístupu a používání IT řešení, které si ZÁKAZNÍK v rámci této Objednávky předplatil, v územně neomezeném rozsahu, a to výhradně pro interní obchodní účely ZÁKAZNÍKA a na Dobu trvání objednávky vztahující se k příslušnému IT řešení. Pokud Zákazník nesplní objem nákupu produktů uvedený v Objednávce, je ROCHE oprávněna dočasně pozastavit licenci, dokud nebude dosaženo dohodnutého objemu nákupu.</w:t>
      </w:r>
    </w:p>
    <w:p w:rsidR="00855A23" w:rsidRDefault="00AB4B35">
      <w:pPr>
        <w:pStyle w:val="Zkladntext1"/>
        <w:numPr>
          <w:ilvl w:val="1"/>
          <w:numId w:val="1"/>
        </w:numPr>
        <w:shd w:val="clear" w:color="auto" w:fill="auto"/>
        <w:tabs>
          <w:tab w:val="left" w:pos="734"/>
        </w:tabs>
        <w:ind w:firstLine="300"/>
        <w:jc w:val="both"/>
      </w:pPr>
      <w:r>
        <w:rPr>
          <w:u w:val="single"/>
        </w:rPr>
        <w:t>Oprávnění uživatelé</w:t>
      </w:r>
      <w:r>
        <w:t>. ZÁKAZNÍK odpovídá za veškeré jednání a opomenutí všech Oprávněných uživatelů (mimo jiné včetně jakéhokoli porušení článku 2.8 Oprávněným uživatelem), jako by se jednalo o vlastní jednání nebo opomenutí ZÁKAZNÍKA. Každému Oprávněnému uživateli budou poskytnuty jedinečné ověřovací údaje, které může používat pouze jeden oprávněný uživatel, jemuž byly tyto údaje přiděleny společností ROCHE nebo jejím jménem. ZÁKAZNÍK je odpovědný za veškeré používání IT Řešení jakoukoli osobou, která používá ověřovací údaje přidělené Oprávněným uživatelům, a to i v případě, že k tomu ZÁKAZNÍK neposkytl oprávnění. Společnost ROCHE může kdykoli deaktivovat jakékoliv ověřovací údaje z důvodu podezření na neoprávněné použití nebo zneužití jakéhokoli IT řešení nebo Služby. ZÁKAZNÍK je povinen: (i) zabezpečit bezpečnost ověřovacích údajů Oprávněných uživatelů; (</w:t>
      </w:r>
      <w:proofErr w:type="spellStart"/>
      <w:r>
        <w:t>ii</w:t>
      </w:r>
      <w:proofErr w:type="spellEnd"/>
      <w:r>
        <w:t>) nedovolit jiné osobě než Oprávněnému uživateli, který je jednoznačně spojen s určitými ověřovacími údaji vydanými společností ROCHE nebo vydanými jejím jménem, aby tyto údaje použila k získání přístupu k IT řešením; (</w:t>
      </w:r>
      <w:proofErr w:type="spellStart"/>
      <w:r>
        <w:t>iii</w:t>
      </w:r>
      <w:proofErr w:type="spellEnd"/>
      <w:r>
        <w:t>) nezpřístupnit žádné ověřovací údaje jiné osobě než Oprávněnému uživateli, který je jednoznačně spojen s těmito ověřovacími údaji. ZÁKAZNÍK je povinen neprodleně písemně informovat společnost ROCHE o jakékoli ztrátě, použití nebo neoprávněném zveřejnění či jiném ohrožení ověřovacích údajů Oprávněného uživatele. ZÁKAZNÍK zabezpečí, aby žádný Oprávněný uživatel nebyl (a) občanem nebo rezidentem země nebo regionu, na který se vztahují sankce nebo embarga USA nebo jiné suverénní země, nebo (b) fyzickou osobou nebo osobou zaměstnanou subjektem nebo spojenou se subjektem uvedeným na seznamu zakázaných osob Ministerstva průmyslu a obchodu USA, seznamu speciálně určených osob nebo seznamu blokovaných osob Ministerstva financí USA nebo seznamu vyloučených osob Ministerstva zahraničí USA nebo jinak nezpůsobilou přijímat zboží, na které se vztahují zákony a předpisy USA o kontrole vývozu nebo jiná pravidla o hospodářských sankcích jakéhokoli svrchovaného státu.</w:t>
      </w:r>
    </w:p>
    <w:p w:rsidR="00855A23" w:rsidRDefault="00AB4B35">
      <w:pPr>
        <w:pStyle w:val="Zkladntext1"/>
        <w:numPr>
          <w:ilvl w:val="1"/>
          <w:numId w:val="1"/>
        </w:numPr>
        <w:shd w:val="clear" w:color="auto" w:fill="auto"/>
        <w:tabs>
          <w:tab w:val="left" w:pos="734"/>
        </w:tabs>
        <w:ind w:firstLine="300"/>
        <w:jc w:val="both"/>
      </w:pPr>
      <w:r>
        <w:rPr>
          <w:u w:val="single"/>
        </w:rPr>
        <w:t>Omezení a povinnosti ZÁKAZNÍKA</w:t>
      </w:r>
      <w:r>
        <w:t xml:space="preserve">. ZÁKAZNÍK a všichni Oprávnění uživatelé (včetně zaměstnanců a dodavatelů ZÁKAZNÍKA) budou dodržovat všechny Platné právní předpisy a nebudou přímo ani nepřímo: (a) prodávat, půjčovat, pronajímat, distribuovat, dále prodávat, pronajímat, postupovat, licencovat, poskytovat podlicence k nebo jinak převádět na třetí stranu jakákoli IT řešení, Služby nebo Dodávky nebo práva udělená podle této Smlouvy v souvislosti s IT řešeními, Službami nebo Dodávkami nebo jinak používat IT řešení, Služby nebo Dodávky nebo ověřovací údaje Oprávněného uživatele, (b) překládat, přenášet, upravovat, reprodukovat, distribuovat, znovu publikovat, rámovat, stahovat nebo vytvářet odvozená díla založená na jakýchkoli IT řešeních, Službách nebo Dodávkách, (c) přistupovat k IT Řešením, Dodávkám a Službám nebo je používat způsobem, který se nekale vyhýbá úhradě předplatného nebo jiných poplatků nebo porušuje omezení používání, (d) získávat nebo se pokoušet získat zdrojový kód, zdrojové soubory nebo jakoukoli součást, logiku nebo strukturu všech IT Řešení, Dodávek nebo Služeb nebo jejich částí zpětným inženýrstvím, demontáží, </w:t>
      </w:r>
      <w:proofErr w:type="spellStart"/>
      <w:r>
        <w:t>dekompilací</w:t>
      </w:r>
      <w:proofErr w:type="spellEnd"/>
      <w:r>
        <w:t xml:space="preserve"> nebo jakýmikoli jinými prostředky (výše uvedené zákazy zahrnují přezkoumání datových struktur nebo podobných materiálů vytvořených programy), nebo přistupovat k jakýmkoli IT řešením, Dodávkám nebo Službám nebo je používat za účelem vytvoření nebo podpory nebo pomoci třetí straně s vytvořením nebo podporou produktů, které konkurují společnosti ROCHE nebo jejím produktům a službám (e) provádět nebo zveřejňovat jakékoli srovnávací testy nebo testy výkonnosti jakýchkoli IT řešení nebo Služeb s výjimkou případů výslovně požadovaných podle této Smlouvy, přičemž výsledky těchto testů, které budou považovány za Důvěrné informace společnosti ROCHE, budou poskytnuty pouze společnosti ROCHE, (f) odstraňovat, zakrývat nebo měnit jakákoli vlastnická nebo jiná upozornění spojená s IT řešeními, Službami nebo Dodávkami, (g) používat nebo umožňovat přístup k jakémukoli IT řešení, Službě nebo Dodávce nebo jejich používání k jakékoli nezákonné činnosti, včetně vývozu IT řešení, Služby nebo Dodávky v rozporu s Platnými právními předpisy, nebo (h) přistupovat k IT řešením, Službám nebo Dodávkám nebo je používat jinak, než jak je výslovně povoleno v této Smlouvě nebo v jakékoli Objednávce.</w:t>
      </w:r>
    </w:p>
    <w:p w:rsidR="00855A23" w:rsidRDefault="00AB4B35">
      <w:pPr>
        <w:pStyle w:val="Zkladntext1"/>
        <w:numPr>
          <w:ilvl w:val="1"/>
          <w:numId w:val="1"/>
        </w:numPr>
        <w:shd w:val="clear" w:color="auto" w:fill="auto"/>
        <w:tabs>
          <w:tab w:val="left" w:pos="734"/>
        </w:tabs>
        <w:ind w:firstLine="300"/>
        <w:jc w:val="both"/>
      </w:pPr>
      <w:r>
        <w:rPr>
          <w:u w:val="single"/>
        </w:rPr>
        <w:t>Lokálně nainstalovaný software</w:t>
      </w:r>
      <w:r>
        <w:t xml:space="preserve">. Přístup k </w:t>
      </w:r>
      <w:r>
        <w:rPr>
          <w:lang w:val="en-US" w:eastAsia="en-US" w:bidi="en-US"/>
        </w:rPr>
        <w:t xml:space="preserve">IT </w:t>
      </w:r>
      <w:r>
        <w:t>řešením a službám může od ZÁKAZNÍKA vyžadovat instalaci určitých softwarových aplikací na jeho lokálních počítačích. ZÁKAZNÍK souhlasí s tím, že, bude vázán všemi Smlouvami o softwaru s koncovým uživatelem, které upravují instalaci a používání těchto softwarových aplikací ZÁKAZNÍKA. Platnost licencí, kterými se řídí používání jakéhokoli lokálně nainstalovaného softwaru ZÁKAZNÍKEM, končí po ukončení této Smlouvy. ZÁKAZNÍK souhlasí s tím, že bude používat lokálně nainstalovaný software pouze pro podporu používání Služeb v souladu s Dokumentací poskytnutou společností ROCHE nebo některou z jejích Přidružených společností. Instalace softwarových aplikací na lokálních počítačích ZÁKAZNÍKA dle tohoto odstavce je možné pouze po dohodě s techniky úseku informatiky ZÁKAZNÍKA, přičemž je garantováno, že nebude narušeno řádné fungování počítačové sítě ZÁKAZNÍKA a ROCHE se zavazuje poskytovat pouze takové IT řešení, které nebude v tomto ohledu kolizní.</w:t>
      </w:r>
    </w:p>
    <w:p w:rsidR="00AB1033" w:rsidRDefault="00AB1033" w:rsidP="00AB1033">
      <w:pPr>
        <w:pStyle w:val="Zkladntext1"/>
        <w:shd w:val="clear" w:color="auto" w:fill="auto"/>
        <w:tabs>
          <w:tab w:val="left" w:pos="734"/>
        </w:tabs>
        <w:jc w:val="both"/>
      </w:pPr>
    </w:p>
    <w:p w:rsidR="00AB1033" w:rsidRDefault="00AB1033" w:rsidP="00AB1033">
      <w:pPr>
        <w:pStyle w:val="Zkladntext1"/>
        <w:shd w:val="clear" w:color="auto" w:fill="auto"/>
        <w:tabs>
          <w:tab w:val="left" w:pos="734"/>
        </w:tabs>
        <w:jc w:val="both"/>
      </w:pPr>
    </w:p>
    <w:p w:rsidR="00855A23" w:rsidRDefault="00AB4B35">
      <w:pPr>
        <w:pStyle w:val="Zkladntext1"/>
        <w:numPr>
          <w:ilvl w:val="1"/>
          <w:numId w:val="1"/>
        </w:numPr>
        <w:shd w:val="clear" w:color="auto" w:fill="auto"/>
        <w:tabs>
          <w:tab w:val="left" w:pos="734"/>
        </w:tabs>
        <w:ind w:firstLine="300"/>
        <w:jc w:val="both"/>
      </w:pPr>
      <w:r>
        <w:rPr>
          <w:u w:val="single"/>
        </w:rPr>
        <w:lastRenderedPageBreak/>
        <w:t>Aplikace třetích stran</w:t>
      </w:r>
      <w:r>
        <w:t xml:space="preserve">. Poskytnutí aplikací třetích strach je oprávněním zákazníka a představuje samostatnou dohodu výhradně mezi ZÁKAZNÍKEM a poskytovatelem aplikace třetí strany a společnost </w:t>
      </w:r>
      <w:r>
        <w:rPr>
          <w:lang w:val="en-US" w:eastAsia="en-US" w:bidi="en-US"/>
        </w:rPr>
        <w:t xml:space="preserve">ROCHE </w:t>
      </w:r>
      <w:r>
        <w:t xml:space="preserve">není vzhledem k nim smluvní stranou ani příjemcem. Společnost ROCHE může dle potřeby zpřístupnit určitý dodatečný software (funkce nebo určité aplikace třetích stran), které mohou podléhat podmínkám třetích stran a které musí ZÁKAZNÍK před přístupem nebo použitím příslušné funkce nebo aplikace </w:t>
      </w:r>
      <w:proofErr w:type="gramStart"/>
      <w:r>
        <w:t>přijmout..</w:t>
      </w:r>
      <w:proofErr w:type="gramEnd"/>
      <w:r>
        <w:t xml:space="preserve"> ZÁKAZNÍK tímto bere na vědomí a souhlasí s tím, že je výhradně odpovědný za přezkoumání a přijetí jakýchkoli podmínek třetích stran, které nemění ani neupravují prohlášení o vyloučení záruky a omezení odpovědnosti uvedené v této Smlouvě, ale jsou podmínkami doplňujícími podmínky této Smlouvy. ZÁKAZNÍK se zavazuje odškodnit společnost ROCHE za jakékoli nároky třetích stran vyplývající z jednání či opomenutí ZÁKAZNÍKA v souvislosti s používáním takových aplikací třetích stran, bude ROCHE bránit, vyvine maximální možné úsilí, aby </w:t>
      </w:r>
      <w:r>
        <w:rPr>
          <w:lang w:val="en-US" w:eastAsia="en-US" w:bidi="en-US"/>
        </w:rPr>
        <w:t xml:space="preserve">ROCHE </w:t>
      </w:r>
      <w:r>
        <w:t xml:space="preserve">zbavil </w:t>
      </w:r>
      <w:proofErr w:type="gramStart"/>
      <w:r>
        <w:t>odpovědnosti a uhradí</w:t>
      </w:r>
      <w:proofErr w:type="gramEnd"/>
      <w:r>
        <w:t xml:space="preserve"> </w:t>
      </w:r>
      <w:r>
        <w:rPr>
          <w:lang w:val="en-US" w:eastAsia="en-US" w:bidi="en-US"/>
        </w:rPr>
        <w:t xml:space="preserve">ROCHE </w:t>
      </w:r>
      <w:r>
        <w:rPr>
          <w:u w:val="single"/>
        </w:rPr>
        <w:t>jakoukoli újmu</w:t>
      </w:r>
      <w:r>
        <w:t>, která by ji v souvislosti s takovým použitím mohla vzniknout.</w:t>
      </w:r>
    </w:p>
    <w:p w:rsidR="00855A23" w:rsidRDefault="00AB4B35">
      <w:pPr>
        <w:pStyle w:val="Zkladntext1"/>
        <w:numPr>
          <w:ilvl w:val="1"/>
          <w:numId w:val="1"/>
        </w:numPr>
        <w:shd w:val="clear" w:color="auto" w:fill="auto"/>
        <w:tabs>
          <w:tab w:val="left" w:pos="734"/>
        </w:tabs>
        <w:spacing w:after="480"/>
        <w:ind w:firstLine="300"/>
        <w:jc w:val="both"/>
      </w:pPr>
      <w:r>
        <w:rPr>
          <w:u w:val="single"/>
        </w:rPr>
        <w:t>Implementace.</w:t>
      </w:r>
      <w:r>
        <w:t xml:space="preserve"> ZÁKAZNÍK vytvoří všechny nezbytné podmínky pro úspěšnou implementaci </w:t>
      </w:r>
      <w:r>
        <w:rPr>
          <w:lang w:val="en-US" w:eastAsia="en-US" w:bidi="en-US"/>
        </w:rPr>
        <w:t xml:space="preserve">IT </w:t>
      </w:r>
      <w:r>
        <w:t xml:space="preserve">řešení a poskytne společnosti </w:t>
      </w:r>
      <w:r>
        <w:rPr>
          <w:lang w:val="en-US" w:eastAsia="en-US" w:bidi="en-US"/>
        </w:rPr>
        <w:t xml:space="preserve">ROCHE </w:t>
      </w:r>
      <w:r>
        <w:t xml:space="preserve">v přiměřené lhůtě nezbytnou součinnost a všechny nezbytné informace týkající se cílů a organizačních podmínek potřebných pro úspěšné používání IT řešení. V případě Řešení na místě a Hybridních řešení musí ZÁKAZNÍK zabezpečit IT infrastrukturu nebo další požadavky týkající se nastavení, jakými jsou hardware, systémový software, síťové prostředí, zaměstnanci atd., jak je uvedeno v této Smlouvě a příslušné Objednávce. Nedodá-li Zákazník tyto informace včas, může to mít za následek zpoždění dodávky IT řešení nebo Služeb. Informace o rozsahu a terminech součinnosti musí být ZÁKAZNÍKOVI sděleny min 30 kal. </w:t>
      </w:r>
      <w:proofErr w:type="gramStart"/>
      <w:r>
        <w:t>dnů</w:t>
      </w:r>
      <w:proofErr w:type="gramEnd"/>
      <w:r>
        <w:t xml:space="preserve"> předem, pokud nebude tato lhůta dodržena je zákazník oprávněn si stanovit lhůty v přiměřeně svým možnostem a </w:t>
      </w:r>
      <w:proofErr w:type="spellStart"/>
      <w:r>
        <w:t>Roche</w:t>
      </w:r>
      <w:proofErr w:type="spellEnd"/>
      <w:r>
        <w:t xml:space="preserve"> je povinen toto respektovat.</w:t>
      </w:r>
    </w:p>
    <w:p w:rsidR="00855A23" w:rsidRDefault="00AB4B35">
      <w:pPr>
        <w:pStyle w:val="Nadpis50"/>
        <w:keepNext/>
        <w:keepLines/>
        <w:numPr>
          <w:ilvl w:val="0"/>
          <w:numId w:val="1"/>
        </w:numPr>
        <w:shd w:val="clear" w:color="auto" w:fill="auto"/>
        <w:tabs>
          <w:tab w:val="left" w:pos="288"/>
        </w:tabs>
        <w:spacing w:after="100"/>
        <w:jc w:val="both"/>
      </w:pPr>
      <w:bookmarkStart w:id="10" w:name="bookmark12"/>
      <w:bookmarkStart w:id="11" w:name="bookmark13"/>
      <w:r>
        <w:t>Ostatní služby</w:t>
      </w:r>
      <w:bookmarkEnd w:id="10"/>
      <w:bookmarkEnd w:id="11"/>
    </w:p>
    <w:p w:rsidR="00855A23" w:rsidRDefault="00AB4B35">
      <w:pPr>
        <w:pStyle w:val="Zkladntext1"/>
        <w:numPr>
          <w:ilvl w:val="1"/>
          <w:numId w:val="1"/>
        </w:numPr>
        <w:shd w:val="clear" w:color="auto" w:fill="auto"/>
        <w:tabs>
          <w:tab w:val="left" w:pos="734"/>
        </w:tabs>
        <w:spacing w:after="420"/>
        <w:ind w:firstLine="300"/>
        <w:jc w:val="both"/>
      </w:pPr>
      <w:r>
        <w:rPr>
          <w:u w:val="single"/>
        </w:rPr>
        <w:t>Integrační služby</w:t>
      </w:r>
      <w:r>
        <w:t xml:space="preserve">. Pokud je v Objednávce uvedeno, že společnost </w:t>
      </w:r>
      <w:r>
        <w:rPr>
          <w:lang w:val="en-US" w:eastAsia="en-US" w:bidi="en-US"/>
        </w:rPr>
        <w:t xml:space="preserve">ROCHE </w:t>
      </w:r>
      <w:r>
        <w:t xml:space="preserve">nebo některá z jejích Přidružených společností poskytne ZÁKAZNÍKOVI Integrační služby, společnost </w:t>
      </w:r>
      <w:r>
        <w:rPr>
          <w:lang w:val="en-US" w:eastAsia="en-US" w:bidi="en-US"/>
        </w:rPr>
        <w:t xml:space="preserve">ROCHE </w:t>
      </w:r>
      <w:r>
        <w:t>nebo některá z jejích Přidružených společností poskytne tyto integrační služby v souladu s touto Smlouvou a podmínkami příslušné Objednávky („</w:t>
      </w:r>
      <w:r>
        <w:rPr>
          <w:b/>
          <w:bCs/>
        </w:rPr>
        <w:t>Integrační služby</w:t>
      </w:r>
      <w:r>
        <w:t>“). Společnost ROCHE nebo kterákoli z jejích Přidružených společností poskytne Integrační služby podle této Smlouvy včas, kvalitně a profesionálně v souladu s touto Smlouvou a všemi podmínkami stanovenými v příslušné Objednávce, včetně všech specifikací a harmonogramu v ní uvedených.</w:t>
      </w:r>
    </w:p>
    <w:p w:rsidR="00855A23" w:rsidRDefault="00AB4B35">
      <w:pPr>
        <w:pStyle w:val="Nadpis50"/>
        <w:keepNext/>
        <w:keepLines/>
        <w:numPr>
          <w:ilvl w:val="0"/>
          <w:numId w:val="1"/>
        </w:numPr>
        <w:shd w:val="clear" w:color="auto" w:fill="auto"/>
        <w:tabs>
          <w:tab w:val="left" w:pos="288"/>
        </w:tabs>
        <w:spacing w:after="100"/>
        <w:jc w:val="both"/>
      </w:pPr>
      <w:bookmarkStart w:id="12" w:name="bookmark14"/>
      <w:bookmarkStart w:id="13" w:name="bookmark15"/>
      <w:r>
        <w:t>Poplatky, záznamy a audity</w:t>
      </w:r>
      <w:bookmarkEnd w:id="12"/>
      <w:bookmarkEnd w:id="13"/>
    </w:p>
    <w:p w:rsidR="00855A23" w:rsidRDefault="00AB4B35">
      <w:pPr>
        <w:pStyle w:val="Zkladntext1"/>
        <w:numPr>
          <w:ilvl w:val="1"/>
          <w:numId w:val="1"/>
        </w:numPr>
        <w:shd w:val="clear" w:color="auto" w:fill="auto"/>
        <w:tabs>
          <w:tab w:val="left" w:pos="734"/>
        </w:tabs>
        <w:ind w:firstLine="300"/>
        <w:jc w:val="both"/>
      </w:pPr>
      <w:r>
        <w:rPr>
          <w:u w:val="single"/>
        </w:rPr>
        <w:t>Poplatky</w:t>
      </w:r>
      <w:r>
        <w:t>. S výhradou článku 10.1 je ZÁKAZNÍK povinen uhradit veškeré poplatky stanovené v jakékoli Objednávce („</w:t>
      </w:r>
      <w:r>
        <w:rPr>
          <w:b/>
          <w:bCs/>
        </w:rPr>
        <w:t>Poplatky'</w:t>
      </w:r>
      <w:r>
        <w:t xml:space="preserve">), pokud a jak je v Objednávce stanoveno. V každé Objednávce bude uvedeno, zda jsou </w:t>
      </w:r>
      <w:r>
        <w:rPr>
          <w:lang w:val="en-US" w:eastAsia="en-US" w:bidi="en-US"/>
        </w:rPr>
        <w:t xml:space="preserve">IT </w:t>
      </w:r>
      <w:r>
        <w:t>Řešení a Služby poskytovány a) zdarma; b) za jednorázovou platbu; nebo c) za opakující se měsíční nebo roční platbu. V případě varianty a) jsou IT Řešení a Služby poskytovány pouze za podmínky, že ZÁKAZNÍK používá diagnostické přístroje od ROCHE a nakupuje k nim materiál od ROCHE.</w:t>
      </w:r>
    </w:p>
    <w:p w:rsidR="00855A23" w:rsidRDefault="00AB4B35">
      <w:pPr>
        <w:pStyle w:val="Zkladntext1"/>
        <w:numPr>
          <w:ilvl w:val="1"/>
          <w:numId w:val="1"/>
        </w:numPr>
        <w:shd w:val="clear" w:color="auto" w:fill="auto"/>
        <w:tabs>
          <w:tab w:val="left" w:pos="734"/>
        </w:tabs>
        <w:ind w:firstLine="300"/>
        <w:jc w:val="both"/>
      </w:pPr>
      <w:r>
        <w:rPr>
          <w:u w:val="single"/>
        </w:rPr>
        <w:t>Platební podmínky</w:t>
      </w:r>
      <w:r>
        <w:t>. Poplatky nebo jejich část budou uhrazeny na základě daňového dokladu - faktury, která musí obsahovat údaje v souladu s § 29 zákona č. 235/2004 Sb., o dani z přidané hodnoty, ve znění pozdějších předpisů („</w:t>
      </w:r>
      <w:r>
        <w:rPr>
          <w:b/>
          <w:bCs/>
        </w:rPr>
        <w:t>Faktura</w:t>
      </w:r>
      <w:r>
        <w:t>“). Poplatky budou hrazena přímo na bankovní účet společnost ROCHE, vedený u banky v České republice, specifikovaný na Faktuře, není-li dohodnuto jinak. Není-li na Faktuře stanoveno jinak, je doba splatnosti Faktury třicet (30) dní ode dne jejího doručení ZÁKAZNÍKOVI.</w:t>
      </w:r>
    </w:p>
    <w:p w:rsidR="00855A23" w:rsidRDefault="00AB4B35">
      <w:pPr>
        <w:pStyle w:val="Zkladntext1"/>
        <w:numPr>
          <w:ilvl w:val="1"/>
          <w:numId w:val="1"/>
        </w:numPr>
        <w:shd w:val="clear" w:color="auto" w:fill="auto"/>
        <w:tabs>
          <w:tab w:val="left" w:pos="734"/>
        </w:tabs>
        <w:spacing w:after="420"/>
        <w:ind w:firstLine="300"/>
        <w:jc w:val="both"/>
      </w:pPr>
      <w:r>
        <w:rPr>
          <w:u w:val="single"/>
        </w:rPr>
        <w:t>Záznamy a audity</w:t>
      </w:r>
      <w:r>
        <w:t xml:space="preserve">. Během Doby platnosti a po dobu jednoho (1) roku po jejím uplynutí, případně po dobu vyžadovanou Platnými právními předpisy, bude ZÁKAZNÍK připravovat a uchovávat úplné a přesné záznamy, které společnosti </w:t>
      </w:r>
      <w:r>
        <w:rPr>
          <w:lang w:val="en-US" w:eastAsia="en-US" w:bidi="en-US"/>
        </w:rPr>
        <w:t xml:space="preserve">ROCHE </w:t>
      </w:r>
      <w:r>
        <w:t>umožní ověřit dodržování podmínek této Smlouvy, včetně dodržování licenčních podmínek, počtu Oprávněných uživatelů a výpočtu dlužných Poplatků. Během Doby platnosti a po dobu jednoho (1) roku po jejím uplynutí má společnost ROCHE právo kontrolovat a auditovat tyto záznamy za účelem ověření plnění této Smlouvy a ověření částek vyplacených společnosti ROCHE. Společnost ROCHE je dále oprávněna kontrolovat dodržování Smlouvy a příslušné Objednávky ze strany ZÁKAZNÍKA, a to kdykoli vzdáleným přístupem k IT infrastruktuře nebo osobně v běžné pracovní době ZÁKAZNÍKA v jeho prostorách po předchozím oznámení (alespoň dva (2) pracovní dny předem). Náklady na audit nese společnost ROCHE, pokud potřeba auditu nevzešla od ZÁKAZNÍKA nebo pokud se neprokáže podstatné porušení jakékoli povinnosti vyplývající ze Smlouvy ze strany ZÁKAZNÍKA. V takovém případě nese náklady na audit a veškeré další náklady spojené s tímto závažným porušením ZÁKAZNÍK. Pokud audit odhalí nedoplatek, ZÁKAZNÍK tuto částku neprodleně uhradí společnosti ROCHE spolu s 1 % měsíčním úrokem (nebo v nejvyšší zákonem povolené výši, pokud je nižší).</w:t>
      </w:r>
    </w:p>
    <w:p w:rsidR="00855A23" w:rsidRDefault="00AB4B35">
      <w:pPr>
        <w:pStyle w:val="Nadpis50"/>
        <w:keepNext/>
        <w:keepLines/>
        <w:numPr>
          <w:ilvl w:val="0"/>
          <w:numId w:val="1"/>
        </w:numPr>
        <w:shd w:val="clear" w:color="auto" w:fill="auto"/>
        <w:tabs>
          <w:tab w:val="left" w:pos="288"/>
        </w:tabs>
        <w:spacing w:after="100"/>
        <w:jc w:val="both"/>
      </w:pPr>
      <w:bookmarkStart w:id="14" w:name="bookmark16"/>
      <w:bookmarkStart w:id="15" w:name="bookmark17"/>
      <w:r>
        <w:t>Obsah</w:t>
      </w:r>
      <w:bookmarkEnd w:id="14"/>
      <w:bookmarkEnd w:id="15"/>
    </w:p>
    <w:p w:rsidR="00855A23" w:rsidRDefault="00AB4B35">
      <w:pPr>
        <w:pStyle w:val="Zkladntext1"/>
        <w:numPr>
          <w:ilvl w:val="1"/>
          <w:numId w:val="1"/>
        </w:numPr>
        <w:shd w:val="clear" w:color="auto" w:fill="auto"/>
        <w:tabs>
          <w:tab w:val="left" w:pos="734"/>
        </w:tabs>
        <w:spacing w:after="420"/>
        <w:ind w:firstLine="300"/>
        <w:jc w:val="both"/>
      </w:pPr>
      <w:r>
        <w:rPr>
          <w:u w:val="single"/>
        </w:rPr>
        <w:t>Obsah</w:t>
      </w:r>
      <w:r>
        <w:t xml:space="preserve">. Ve vztahu mezi ZÁKAZNÍKEM a společností </w:t>
      </w:r>
      <w:r>
        <w:rPr>
          <w:lang w:val="en-US" w:eastAsia="en-US" w:bidi="en-US"/>
        </w:rPr>
        <w:t xml:space="preserve">ROCHE </w:t>
      </w:r>
      <w:r>
        <w:t xml:space="preserve">je a zůstane veškerý obsah nebo data, která jsou ZÁKAZNÍKOVI zpřístupněna prostřednictvím přístupu k </w:t>
      </w:r>
      <w:r>
        <w:rPr>
          <w:lang w:val="en-US" w:eastAsia="en-US" w:bidi="en-US"/>
        </w:rPr>
        <w:t xml:space="preserve">IT </w:t>
      </w:r>
      <w:r>
        <w:t>řešením nebo Službám nebo která jsou jinak poskytována společností ROCHE, včetně dat vyvinutých společností ROCHE a obsažených v Dodávkách („</w:t>
      </w:r>
      <w:r>
        <w:rPr>
          <w:b/>
          <w:bCs/>
        </w:rPr>
        <w:t>Obsah ROCHE</w:t>
      </w:r>
      <w:r>
        <w:t>“), včetně veškerých práv, vlastnických práv a podílů na nich a práv duševního vlastnictví, výhradním vlastnictvím společnosti ROCHE nebo jejích Přidružených společností. ZÁKAZNÍK smí používat Obsah ROCHE pouze v souladu s licencí uvedenou v článku 2.4.</w:t>
      </w:r>
    </w:p>
    <w:p w:rsidR="00855A23" w:rsidRPr="00AB1033" w:rsidRDefault="00AB4B35">
      <w:pPr>
        <w:pStyle w:val="Zkladntext1"/>
        <w:numPr>
          <w:ilvl w:val="0"/>
          <w:numId w:val="1"/>
        </w:numPr>
        <w:shd w:val="clear" w:color="auto" w:fill="auto"/>
        <w:tabs>
          <w:tab w:val="left" w:pos="288"/>
        </w:tabs>
        <w:jc w:val="both"/>
      </w:pPr>
      <w:r>
        <w:rPr>
          <w:b/>
          <w:bCs/>
        </w:rPr>
        <w:t>Ochrana osobních údajů a zabezpečení</w:t>
      </w: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rPr>
          <w:b/>
          <w:bCs/>
        </w:rPr>
      </w:pPr>
    </w:p>
    <w:p w:rsidR="00AB1033" w:rsidRDefault="00AB1033" w:rsidP="00AB1033">
      <w:pPr>
        <w:pStyle w:val="Zkladntext1"/>
        <w:shd w:val="clear" w:color="auto" w:fill="auto"/>
        <w:tabs>
          <w:tab w:val="left" w:pos="288"/>
        </w:tabs>
        <w:jc w:val="both"/>
      </w:pPr>
    </w:p>
    <w:p w:rsidR="00855A23" w:rsidRDefault="00AB4B35">
      <w:pPr>
        <w:pStyle w:val="Zkladntext1"/>
        <w:numPr>
          <w:ilvl w:val="1"/>
          <w:numId w:val="1"/>
        </w:numPr>
        <w:shd w:val="clear" w:color="auto" w:fill="auto"/>
        <w:tabs>
          <w:tab w:val="left" w:pos="732"/>
        </w:tabs>
        <w:ind w:firstLine="300"/>
        <w:jc w:val="both"/>
      </w:pPr>
      <w:r>
        <w:rPr>
          <w:u w:val="single"/>
        </w:rPr>
        <w:lastRenderedPageBreak/>
        <w:t>Dodržování Platných právních předpisů</w:t>
      </w:r>
      <w:r>
        <w:t xml:space="preserve">. ZÁKAZNÍK je výhradně odpovědný za určení, které Platné právní předpisy se vztahují na používání </w:t>
      </w:r>
      <w:r>
        <w:rPr>
          <w:lang w:val="en-US" w:eastAsia="en-US" w:bidi="en-US"/>
        </w:rPr>
        <w:t xml:space="preserve">IT </w:t>
      </w:r>
      <w:r>
        <w:t xml:space="preserve">řešení a Služeb ZÁKAZNÍKEM. V případě údajů, které ZÁKAZNÍK dodá společnosti </w:t>
      </w:r>
      <w:r>
        <w:rPr>
          <w:lang w:val="en-US" w:eastAsia="en-US" w:bidi="en-US"/>
        </w:rPr>
        <w:t xml:space="preserve">ROCHE </w:t>
      </w:r>
      <w:r>
        <w:t>nebo jejím Přidruženým společnostem (mimo jiné včetně údajů, které ZÁKAZNÍK nahraje do IT řešení a Služeb nebo je zpracuje pomocí nich), je ZÁKAZNÍK odpovědný za to, že toto použití je povoleno podle všech Platných právních předpisů a dohod, které se na ZÁKAZNÍKA vztahují, včetně všech použitelných předpisů o ochraně osobních údajů. ZÁKAZNÍK zabezpečí veškerá potřebná práva (včetně případného souhlasu) pro společnost ROCHE a její Přidružené společnosti k: (i) užívání těchto údajů s IT řešeními a Službami a takovému užívání, které společnost ROCHE sdělila ZÁKAZNÍKOVI v této Smlouvě nebo příslušné Objednávce; a (</w:t>
      </w:r>
      <w:proofErr w:type="spellStart"/>
      <w:r>
        <w:t>ii</w:t>
      </w:r>
      <w:proofErr w:type="spellEnd"/>
      <w:r>
        <w:t xml:space="preserve">) </w:t>
      </w:r>
      <w:proofErr w:type="spellStart"/>
      <w:r>
        <w:t>anonymizaci</w:t>
      </w:r>
      <w:proofErr w:type="spellEnd"/>
      <w:r>
        <w:t xml:space="preserve"> těchto údajů a využívání výsledných anonymizovaných údajů pro zamýšlené použití (jak je definováno v článku 6.3 níže).</w:t>
      </w:r>
    </w:p>
    <w:p w:rsidR="00855A23" w:rsidRDefault="00AB4B35">
      <w:pPr>
        <w:pStyle w:val="Zkladntext1"/>
        <w:numPr>
          <w:ilvl w:val="1"/>
          <w:numId w:val="1"/>
        </w:numPr>
        <w:shd w:val="clear" w:color="auto" w:fill="auto"/>
        <w:tabs>
          <w:tab w:val="left" w:pos="732"/>
        </w:tabs>
        <w:ind w:firstLine="300"/>
        <w:jc w:val="both"/>
      </w:pPr>
      <w:r>
        <w:rPr>
          <w:u w:val="single"/>
        </w:rPr>
        <w:t>Zpracování Osobních údajů.</w:t>
      </w:r>
      <w:r>
        <w:t xml:space="preserve"> V případě, že </w:t>
      </w:r>
      <w:r>
        <w:rPr>
          <w:lang w:val="en-US" w:eastAsia="en-US" w:bidi="en-US"/>
        </w:rPr>
        <w:t xml:space="preserve">IT </w:t>
      </w:r>
      <w:r>
        <w:t xml:space="preserve">řešení nebo Služby poskytované společností </w:t>
      </w:r>
      <w:r>
        <w:rPr>
          <w:lang w:val="en-US" w:eastAsia="en-US" w:bidi="en-US"/>
        </w:rPr>
        <w:t xml:space="preserve">ROCHE </w:t>
      </w:r>
      <w:r>
        <w:t xml:space="preserve">na základě konkrétní Objednávky vyžadují zpracování jakýchkoli Osobních údajů společností </w:t>
      </w:r>
      <w:proofErr w:type="spellStart"/>
      <w:r>
        <w:rPr>
          <w:smallCaps/>
        </w:rPr>
        <w:t>ROCHe</w:t>
      </w:r>
      <w:proofErr w:type="spellEnd"/>
      <w:r>
        <w:rPr>
          <w:smallCaps/>
        </w:rPr>
        <w:t>,</w:t>
      </w:r>
      <w:r>
        <w:t xml:space="preserve"> uzavřou strany dohodu o zpracování údajů osobních údajů, která bude tvořit nedílnou součást této Smlouvy („</w:t>
      </w:r>
      <w:r>
        <w:rPr>
          <w:b/>
          <w:bCs/>
        </w:rPr>
        <w:t>Smlouva o zpracování osobních údajů</w:t>
      </w:r>
      <w:r>
        <w:t>“ nebo „</w:t>
      </w:r>
      <w:r>
        <w:rPr>
          <w:b/>
          <w:bCs/>
        </w:rPr>
        <w:t>SOÚ</w:t>
      </w:r>
      <w:r>
        <w:t>“). Každá Smlouva o zpracování osobních údajů se řídí rámcovými podmínkami zpracování osobních údajů, které jsou připojeny k této Smlouvě jako Příloha 1 (dále jen „</w:t>
      </w:r>
      <w:r>
        <w:rPr>
          <w:b/>
          <w:bCs/>
        </w:rPr>
        <w:t>Rámcové podmínky zpracování osobních údajů</w:t>
      </w:r>
      <w:r>
        <w:t>“ nebo „</w:t>
      </w:r>
      <w:r>
        <w:rPr>
          <w:b/>
          <w:bCs/>
        </w:rPr>
        <w:t>RPZOÚ</w:t>
      </w:r>
      <w:r>
        <w:t>“). Pokud není v příslušné Smlouvě o zpracování osobních údajů stanoveno jinak, je mezi stranami ZÁKAZNÍK správcem a společnost ROCHE (včetně jejích přidružených společností) zpracovatelem jakýchkoli Osobních údajů.</w:t>
      </w:r>
    </w:p>
    <w:p w:rsidR="00855A23" w:rsidRDefault="00AB4B35">
      <w:pPr>
        <w:pStyle w:val="Zkladntext1"/>
        <w:numPr>
          <w:ilvl w:val="1"/>
          <w:numId w:val="1"/>
        </w:numPr>
        <w:shd w:val="clear" w:color="auto" w:fill="auto"/>
        <w:tabs>
          <w:tab w:val="left" w:pos="732"/>
        </w:tabs>
        <w:ind w:firstLine="300"/>
        <w:jc w:val="both"/>
      </w:pPr>
      <w:r>
        <w:rPr>
          <w:u w:val="single"/>
        </w:rPr>
        <w:t>Použití Anonymizovaných údajů</w:t>
      </w:r>
      <w:r>
        <w:t>. S výjimkou případů, kdy je to výslovně omezeno Objednávkou, v rozsahu povoleném Platnými právními předpisy a nad rámec jakýchkoli jiných povolených způsobů použití nebo zpřístupnění, tímto ZÁKAZNÍK uděluje společnosti ROCHE a jejím Přidruženým společnostem právo vytvářet Anonymizované údaje z Osobních údajů, ke kterým může mít společnost ROCHE přístup prostřednictvím IT řešení, jakož i ze všech nástrojů/zařízení/softwaru společnosti ROCHE a třetích stran připojených k IT řešením. Zamýšlené použití anonymizovaných údajů zahrnuje mimo jiné optimalizaci služeb ROCHE, srovnávání výkonnosti ZÁKAZNÍKŮ se skupinou srovnatelných subjektů, poskytování hodnot referenčního rozsahu, předvídání a přípravu na potenciální pandemie/epidemie, poskytování a zlepšování digitálních a technických služeb ROCHE, obecný zákaznický servis (včetně interních procesů, které podporují zákazníky, např. predikce dodávek), zlepšování stávajících a budoucích produktů ROCHE a výzkum, vývoj a analýzu chování při regionálním testování („</w:t>
      </w:r>
      <w:r>
        <w:rPr>
          <w:b/>
          <w:bCs/>
        </w:rPr>
        <w:t>Zamýšlené použití</w:t>
      </w:r>
      <w:r>
        <w:t>“) za předpokladu, že při použití Anonymizovaných údajů pro externí účely společnost ROCHE v žádném případě nezveřejní totožnost ZÁKAZNÍKA.</w:t>
      </w:r>
    </w:p>
    <w:p w:rsidR="00855A23" w:rsidRDefault="00AB4B35">
      <w:pPr>
        <w:pStyle w:val="Zkladntext1"/>
        <w:numPr>
          <w:ilvl w:val="1"/>
          <w:numId w:val="1"/>
        </w:numPr>
        <w:shd w:val="clear" w:color="auto" w:fill="auto"/>
        <w:tabs>
          <w:tab w:val="left" w:pos="732"/>
        </w:tabs>
        <w:spacing w:after="420"/>
        <w:ind w:firstLine="300"/>
        <w:jc w:val="both"/>
      </w:pPr>
      <w:r>
        <w:rPr>
          <w:u w:val="single"/>
        </w:rPr>
        <w:t>Použití jiných než Osobních údajů.</w:t>
      </w:r>
      <w:r>
        <w:t xml:space="preserve"> V souladu s Platnými právními předpisy jsou tímto společnost ROCHE a její Přidružené společnosti ZÁKAZNÍKEM oprávněny získávat, používat a zveřejňovat neosobní údaje (jako jsou např. údaje o výkonu) z </w:t>
      </w:r>
      <w:r>
        <w:rPr>
          <w:lang w:val="en-US" w:eastAsia="en-US" w:bidi="en-US"/>
        </w:rPr>
        <w:t xml:space="preserve">IT </w:t>
      </w:r>
      <w:r>
        <w:t>řešení, jakož i ze všech přístrojů/zařízení/softwaru společnosti ROCHE a třetích stran připojených k IT řešením pro Zamýšlené použití, a to za předpokladu, že při použití Neosobních údajů pro externí účely společnost ROCHE v žádném případě nezveřejní totožnost ZÁKAZNÍKA.</w:t>
      </w:r>
    </w:p>
    <w:p w:rsidR="00855A23" w:rsidRDefault="00AB4B35">
      <w:pPr>
        <w:pStyle w:val="Nadpis50"/>
        <w:keepNext/>
        <w:keepLines/>
        <w:numPr>
          <w:ilvl w:val="0"/>
          <w:numId w:val="1"/>
        </w:numPr>
        <w:shd w:val="clear" w:color="auto" w:fill="auto"/>
        <w:tabs>
          <w:tab w:val="left" w:pos="288"/>
        </w:tabs>
        <w:spacing w:after="100"/>
        <w:jc w:val="both"/>
      </w:pPr>
      <w:bookmarkStart w:id="16" w:name="bookmark18"/>
      <w:bookmarkStart w:id="17" w:name="bookmark19"/>
      <w:r>
        <w:t>Duševní vlastnictví</w:t>
      </w:r>
      <w:bookmarkEnd w:id="16"/>
      <w:bookmarkEnd w:id="17"/>
    </w:p>
    <w:p w:rsidR="00855A23" w:rsidRDefault="00AB4B35">
      <w:pPr>
        <w:pStyle w:val="Zkladntext1"/>
        <w:numPr>
          <w:ilvl w:val="1"/>
          <w:numId w:val="1"/>
        </w:numPr>
        <w:shd w:val="clear" w:color="auto" w:fill="auto"/>
        <w:tabs>
          <w:tab w:val="left" w:pos="732"/>
        </w:tabs>
        <w:ind w:firstLine="300"/>
        <w:jc w:val="both"/>
      </w:pPr>
      <w:r>
        <w:rPr>
          <w:u w:val="single"/>
        </w:rPr>
        <w:t>Duševní vlastnictví společnosti ROCHE</w:t>
      </w:r>
      <w:r>
        <w:t xml:space="preserve">. Co se týče vzájemného postavení stran, společnost ROCHE nebo kterákoliv z jejích Přidružených osob vlastní a drží veškerá práva, vlastnická práva a podíl na nich k veškerým Službám </w:t>
      </w:r>
      <w:r>
        <w:rPr>
          <w:lang w:val="en-US" w:eastAsia="en-US" w:bidi="en-US"/>
        </w:rPr>
        <w:t xml:space="preserve">a IT </w:t>
      </w:r>
      <w:r>
        <w:t>řešením, Obsahu ROCHE, Dodávkám a Zpětné vazbě (jak je definována níže), vylepšením, úpravám a odvozeným dílům souvisejícím s čímkoliv z výše uvedeného a veškerá práva duševního vlastnictví k čemukoliv z výše uvedeného. S výjimkou licencí výslovně udělených ZÁKAZNÍKOVI v této Smlouvě se ZÁKAZNÍKOVI neposkytuje žádná licence ani právo k IT řešením, Službám, Dokumentaci, Obsahu ROCHE, Dodávkám ani k právům duševního vlastnictví v nich obsaženým, ať už implicitně nebo jinak. ZÁKAZNÍKOVI není uděleno žádné právo používat jakoukoli ochrannou známku, značku služeb, logo nebo obchodní firmu společnosti ROCHE.</w:t>
      </w:r>
    </w:p>
    <w:p w:rsidR="00855A23" w:rsidRDefault="00AB4B35">
      <w:pPr>
        <w:pStyle w:val="Zkladntext1"/>
        <w:numPr>
          <w:ilvl w:val="1"/>
          <w:numId w:val="1"/>
        </w:numPr>
        <w:shd w:val="clear" w:color="auto" w:fill="auto"/>
        <w:tabs>
          <w:tab w:val="left" w:pos="732"/>
        </w:tabs>
        <w:spacing w:after="420"/>
        <w:ind w:firstLine="300"/>
        <w:jc w:val="both"/>
      </w:pPr>
      <w:r>
        <w:rPr>
          <w:u w:val="single"/>
        </w:rPr>
        <w:t>Zpětná vazba</w:t>
      </w:r>
      <w:r>
        <w:t xml:space="preserve">. ZÁKAZNÍK, Oprávnění uživatelé ZÁKAZNÍKA a zaměstnanci, dodavatelé a zástupci ZÁKAZNÍKA mohou (ale nemusí) společnosti ROCHE poskytovat návrhy, připomínky nebo jinou zpětnou vazbu týkající se Služeb </w:t>
      </w:r>
      <w:r>
        <w:rPr>
          <w:lang w:val="en-US" w:eastAsia="en-US" w:bidi="en-US"/>
        </w:rPr>
        <w:t xml:space="preserve">a IT </w:t>
      </w:r>
      <w:r>
        <w:t>řešení („</w:t>
      </w:r>
      <w:r>
        <w:rPr>
          <w:b/>
          <w:bCs/>
        </w:rPr>
        <w:t>Zpětná vazba</w:t>
      </w:r>
      <w:r>
        <w:t>“). Společnost ROCHE může použít nebo využít jakoukoli Zpětnou vazbu bez jakýchkoli závazků vůči ZÁKAZNÍKOVI. Odesláním Zpětné vazby společnosti ROCHE dále ZÁKAZNÍK převádí na společnost ROCHE veškerá svá práva, vlastnické právo a podíl na Zpětné vazbě. V případě, že by takové postoupení nebylo podle Platných právních předpisů platné, tj. jednalo by se o autorské dílo ve smyslu zákona č. 121/2000 Sb., o právu autorském, o právech souvisejících s právem autorským a o změně některých zákonů (autorský zákon), ve znění pozdějších předpisů postupuje ZÁKAZNÍK společnosti ROCHE výkon veškerých majetkových práv ke Zpětné vazbě, zejména, nikoli však výlučně, majetkových autorských práv a práv pořizovatele databáze. V rozsahu, v jakém nemohou být práva postoupena na společnost ROCHE dle předcházející věty, uděluje ZÁKAZNÍK společnosti ROCHE a jejím přidruženým společnostem nevýhradní, bezplatné, celosvětové právo a licenci na používání, zveřejňování, reprodukci, licencování, distribuci a jiné obchodní využití této Zpětné vazby, ať už v původní nebo změněné podobě, v souvislosti s jakýmkoli produktem, technologií, službou, specifikací nebo jinou dokumentací, a to na celou dobu trvání majetkových práv.</w:t>
      </w:r>
    </w:p>
    <w:p w:rsidR="00855A23" w:rsidRDefault="00AB4B35">
      <w:pPr>
        <w:pStyle w:val="Nadpis50"/>
        <w:keepNext/>
        <w:keepLines/>
        <w:numPr>
          <w:ilvl w:val="0"/>
          <w:numId w:val="1"/>
        </w:numPr>
        <w:shd w:val="clear" w:color="auto" w:fill="auto"/>
        <w:tabs>
          <w:tab w:val="left" w:pos="288"/>
        </w:tabs>
        <w:spacing w:after="100"/>
        <w:jc w:val="both"/>
      </w:pPr>
      <w:bookmarkStart w:id="18" w:name="bookmark20"/>
      <w:bookmarkStart w:id="19" w:name="bookmark21"/>
      <w:r>
        <w:t>Kybernetická bezpečnost</w:t>
      </w:r>
      <w:bookmarkEnd w:id="18"/>
      <w:bookmarkEnd w:id="19"/>
    </w:p>
    <w:p w:rsidR="00855A23" w:rsidRDefault="00AB4B35">
      <w:pPr>
        <w:pStyle w:val="Zkladntext1"/>
        <w:numPr>
          <w:ilvl w:val="1"/>
          <w:numId w:val="1"/>
        </w:numPr>
        <w:shd w:val="clear" w:color="auto" w:fill="auto"/>
        <w:tabs>
          <w:tab w:val="left" w:pos="732"/>
        </w:tabs>
        <w:ind w:firstLine="300"/>
        <w:jc w:val="both"/>
      </w:pPr>
      <w:r>
        <w:t>ZÁKAZNÍK zabezpečí účinné postupy řízení rizik v oblasti informační a kybernetické bezpečnosti pro informační systémy pod kontrolou ZÁKAZNÍKA, které jsou logicky nebo fyzicky propojeny s IT řešeními nebo Službami, a to za použití vhodných kontrol a opatření v oblasti informační a kybernetické bezpečnosti.</w:t>
      </w:r>
    </w:p>
    <w:p w:rsidR="00855A23" w:rsidRDefault="00AB4B35">
      <w:pPr>
        <w:pStyle w:val="Zkladntext1"/>
        <w:numPr>
          <w:ilvl w:val="1"/>
          <w:numId w:val="1"/>
        </w:numPr>
        <w:shd w:val="clear" w:color="auto" w:fill="auto"/>
        <w:tabs>
          <w:tab w:val="left" w:pos="732"/>
        </w:tabs>
        <w:ind w:firstLine="300"/>
        <w:jc w:val="both"/>
      </w:pPr>
      <w:r>
        <w:t>ZÁKAZNÍK je povinen zabezpečit včasnou podporu všech činností souvisejících s řízením hrozeb a zranitelnosti v oblasti informační a kybernetické bezpečnosti v souvislosti s poskytováním IT Řešení a poskytováním Služeb, které určí společnost ROCHE.</w:t>
      </w:r>
    </w:p>
    <w:p w:rsidR="00855A23" w:rsidRDefault="00AB4B35">
      <w:pPr>
        <w:pStyle w:val="Zkladntext1"/>
        <w:numPr>
          <w:ilvl w:val="1"/>
          <w:numId w:val="1"/>
        </w:numPr>
        <w:shd w:val="clear" w:color="auto" w:fill="auto"/>
        <w:tabs>
          <w:tab w:val="left" w:pos="732"/>
        </w:tabs>
        <w:ind w:firstLine="300"/>
        <w:jc w:val="both"/>
      </w:pPr>
      <w:r>
        <w:t>ZÁKAZNÍK zabezpečí, aby byly zavedeny vhodné technické a administrativní kontroly pro zachování důvěrnosti, integrity a dostupnosti jakýchkoli informací/údajů, které jsou klasifikovány jako citlivé z hlediska ochrany soukromí, v rámci poskytování IT řešení a Služeb.</w:t>
      </w:r>
    </w:p>
    <w:p w:rsidR="00AB1033" w:rsidRDefault="00AB1033" w:rsidP="00AB1033">
      <w:pPr>
        <w:pStyle w:val="Zkladntext1"/>
        <w:shd w:val="clear" w:color="auto" w:fill="auto"/>
        <w:tabs>
          <w:tab w:val="left" w:pos="732"/>
        </w:tabs>
        <w:jc w:val="both"/>
      </w:pPr>
    </w:p>
    <w:p w:rsidR="00AB1033" w:rsidRDefault="00AB1033" w:rsidP="00AB1033">
      <w:pPr>
        <w:pStyle w:val="Zkladntext1"/>
        <w:shd w:val="clear" w:color="auto" w:fill="auto"/>
        <w:tabs>
          <w:tab w:val="left" w:pos="732"/>
        </w:tabs>
        <w:jc w:val="both"/>
      </w:pPr>
    </w:p>
    <w:p w:rsidR="00AB1033" w:rsidRDefault="00AB1033" w:rsidP="00AB1033">
      <w:pPr>
        <w:pStyle w:val="Zkladntext1"/>
        <w:shd w:val="clear" w:color="auto" w:fill="auto"/>
        <w:tabs>
          <w:tab w:val="left" w:pos="732"/>
        </w:tabs>
        <w:jc w:val="both"/>
      </w:pPr>
    </w:p>
    <w:p w:rsidR="00AB1033" w:rsidRDefault="00AB1033" w:rsidP="00AB1033">
      <w:pPr>
        <w:pStyle w:val="Zkladntext1"/>
        <w:shd w:val="clear" w:color="auto" w:fill="auto"/>
        <w:tabs>
          <w:tab w:val="left" w:pos="732"/>
        </w:tabs>
        <w:jc w:val="both"/>
      </w:pPr>
    </w:p>
    <w:p w:rsidR="00AB1033" w:rsidRDefault="00AB1033" w:rsidP="00AB1033">
      <w:pPr>
        <w:pStyle w:val="Zkladntext1"/>
        <w:shd w:val="clear" w:color="auto" w:fill="auto"/>
        <w:tabs>
          <w:tab w:val="left" w:pos="732"/>
        </w:tabs>
        <w:jc w:val="both"/>
      </w:pPr>
    </w:p>
    <w:p w:rsidR="00AB1033" w:rsidRDefault="00AB1033" w:rsidP="00AB1033">
      <w:pPr>
        <w:pStyle w:val="Zkladntext1"/>
        <w:shd w:val="clear" w:color="auto" w:fill="auto"/>
        <w:tabs>
          <w:tab w:val="left" w:pos="732"/>
        </w:tabs>
        <w:jc w:val="both"/>
      </w:pPr>
    </w:p>
    <w:p w:rsidR="00855A23" w:rsidRDefault="00AB4B35">
      <w:pPr>
        <w:pStyle w:val="Zkladntext1"/>
        <w:numPr>
          <w:ilvl w:val="1"/>
          <w:numId w:val="1"/>
        </w:numPr>
        <w:shd w:val="clear" w:color="auto" w:fill="auto"/>
        <w:tabs>
          <w:tab w:val="left" w:pos="728"/>
        </w:tabs>
        <w:ind w:firstLine="300"/>
        <w:jc w:val="both"/>
      </w:pPr>
      <w:r>
        <w:lastRenderedPageBreak/>
        <w:t>ZÁKAZNÍK poskytne společnosti ROCHE obchodně přiměřenou součinnost při činnostech řízení rizik v oblasti informací a kybernetické bezpečnosti vykonávaných společností ROCHE v souvislosti s příslušnými zranitelnými oblastmi zjištěnými společností ROCHE nebo ZÁKAZNÍKEM. Tato součinnost může mimo jiné zahrnovat včasnou a pečlivou nápravu a odstranění zranitelné oblasti, rizik nebo hrozeb zjištěných společností ROCHE nebo ZÁKAZNÍKEM a co nejrychlejší zajištění takového zmírnění, které může být k odstranění zranitelné oblasti, rizika nebo hrozby nezbytné.</w:t>
      </w:r>
    </w:p>
    <w:p w:rsidR="00855A23" w:rsidRDefault="00AB4B35">
      <w:pPr>
        <w:pStyle w:val="Zkladntext1"/>
        <w:numPr>
          <w:ilvl w:val="1"/>
          <w:numId w:val="1"/>
        </w:numPr>
        <w:shd w:val="clear" w:color="auto" w:fill="auto"/>
        <w:tabs>
          <w:tab w:val="left" w:pos="728"/>
        </w:tabs>
        <w:ind w:firstLine="300"/>
        <w:jc w:val="both"/>
      </w:pPr>
      <w:r>
        <w:t>Pokud se ZÁKAZNÍK dozví o incidentu, zranitelné oblasti, riziku anebo hrozbě v oblasti informační a kybernetické bezpečnosti, které mají přímý podstatný dopad na IT řešení nebo Služby nebo společnost ROCHE, oznámí to společnosti ROCHE co nejdříve, nejpozději však do 72 (sedmdesáti dvou) hodin, a je povinen zavést procesy a kontrolní mechanismy, které zabezpečí, aby zranitelné oblasti, rizika a hrozby v oblasti informační a kybernetické bezpečnosti při poskytování IT řešení nebo Služeb byly co nejdříve proaktivně identifikovány.</w:t>
      </w:r>
    </w:p>
    <w:p w:rsidR="00855A23" w:rsidRDefault="00AB4B35">
      <w:pPr>
        <w:pStyle w:val="Zkladntext1"/>
        <w:numPr>
          <w:ilvl w:val="1"/>
          <w:numId w:val="1"/>
        </w:numPr>
        <w:shd w:val="clear" w:color="auto" w:fill="auto"/>
        <w:tabs>
          <w:tab w:val="left" w:pos="728"/>
        </w:tabs>
        <w:ind w:firstLine="300"/>
        <w:jc w:val="both"/>
      </w:pPr>
      <w:r>
        <w:t>ZÁKAZNÍK je povinen v místě všech používaných IT řešení nebo poskytovaných Služeb vždy dodržovat a prosazovat bezpečnostní a ochranné postupy, které jsou minimálně: (a) stejné jako odvětvové standardy pro tato místa; (b) stejně přísné jako postupy, které jsou platné pro jiné podobné produkty, které v té době vlastní nebo kontroluje ZÁKAZNÍK; a (c) v souladu s jakýmikoliv přiměřenými bezpečnostními a ochrannými požadavky požadovanými společností ROCHE v průběhu platnosti této Smlouvy.</w:t>
      </w:r>
    </w:p>
    <w:p w:rsidR="00855A23" w:rsidRDefault="00AB4B35">
      <w:pPr>
        <w:pStyle w:val="Zkladntext1"/>
        <w:numPr>
          <w:ilvl w:val="1"/>
          <w:numId w:val="1"/>
        </w:numPr>
        <w:shd w:val="clear" w:color="auto" w:fill="auto"/>
        <w:tabs>
          <w:tab w:val="left" w:pos="728"/>
        </w:tabs>
        <w:ind w:firstLine="300"/>
        <w:jc w:val="both"/>
      </w:pPr>
      <w:r>
        <w:t>ZÁKAZNÍK zabezpečí, aby do IT řešení nebo Služeb nebyl zaváděn žádný jiný software třetích stran než aplikace třetích stran poskytované společností ROCHE.</w:t>
      </w:r>
    </w:p>
    <w:p w:rsidR="00855A23" w:rsidRDefault="00AB4B35">
      <w:pPr>
        <w:pStyle w:val="Zkladntext1"/>
        <w:numPr>
          <w:ilvl w:val="1"/>
          <w:numId w:val="1"/>
        </w:numPr>
        <w:shd w:val="clear" w:color="auto" w:fill="auto"/>
        <w:tabs>
          <w:tab w:val="left" w:pos="728"/>
        </w:tabs>
        <w:spacing w:after="420"/>
        <w:ind w:firstLine="300"/>
        <w:jc w:val="both"/>
      </w:pPr>
      <w:r>
        <w:t xml:space="preserve">ZÁKAZNÍK odpovídá za údržbu, bezpečnost, obnovu po havárii a integritu IT infrastruktury, zejména za hardware, systémový software, ochranu proti </w:t>
      </w:r>
      <w:proofErr w:type="spellStart"/>
      <w:r>
        <w:t>malwaru</w:t>
      </w:r>
      <w:proofErr w:type="spellEnd"/>
      <w:r>
        <w:t>, antivirový software a za její průběžnou správu a síťové prostředí. ZÁKAZNÍK je povinen zabezpečit, aby operační systém obsahoval všechny bezpečnostní aktualizace vydané společností Microsoft a aby byly aktualizované i všechny aplikace třetích stran. ZÁKAZNÍK je odpovědný za zabezpečení zálohování všech IT řešení nebo Služeb podle standardních provozních postupů ZÁKAZNÍKA.</w:t>
      </w:r>
    </w:p>
    <w:p w:rsidR="00855A23" w:rsidRDefault="00AB4B35">
      <w:pPr>
        <w:pStyle w:val="Nadpis50"/>
        <w:keepNext/>
        <w:keepLines/>
        <w:numPr>
          <w:ilvl w:val="0"/>
          <w:numId w:val="1"/>
        </w:numPr>
        <w:shd w:val="clear" w:color="auto" w:fill="auto"/>
        <w:tabs>
          <w:tab w:val="left" w:pos="270"/>
        </w:tabs>
        <w:spacing w:after="100"/>
        <w:jc w:val="both"/>
      </w:pPr>
      <w:bookmarkStart w:id="20" w:name="bookmark22"/>
      <w:bookmarkStart w:id="21" w:name="bookmark23"/>
      <w:r>
        <w:t>Pozastavení</w:t>
      </w:r>
      <w:bookmarkEnd w:id="20"/>
      <w:bookmarkEnd w:id="21"/>
    </w:p>
    <w:p w:rsidR="00855A23" w:rsidRDefault="00AB4B35">
      <w:pPr>
        <w:pStyle w:val="Zkladntext1"/>
        <w:numPr>
          <w:ilvl w:val="1"/>
          <w:numId w:val="1"/>
        </w:numPr>
        <w:shd w:val="clear" w:color="auto" w:fill="auto"/>
        <w:tabs>
          <w:tab w:val="left" w:pos="728"/>
        </w:tabs>
        <w:spacing w:after="420"/>
        <w:ind w:firstLine="300"/>
        <w:jc w:val="both"/>
      </w:pPr>
      <w:r>
        <w:rPr>
          <w:u w:val="single"/>
        </w:rPr>
        <w:t>Pozastavení Služeb.</w:t>
      </w:r>
      <w:r>
        <w:t xml:space="preserve"> Společnost </w:t>
      </w:r>
      <w:r>
        <w:rPr>
          <w:lang w:val="en-US" w:eastAsia="en-US" w:bidi="en-US"/>
        </w:rPr>
        <w:t xml:space="preserve">ROCHE </w:t>
      </w:r>
      <w:r>
        <w:t xml:space="preserve">nebo kterákoli z jejích Přidružených společností může pozastavit přístup k </w:t>
      </w:r>
      <w:r>
        <w:rPr>
          <w:lang w:val="en-US" w:eastAsia="en-US" w:bidi="en-US"/>
        </w:rPr>
        <w:t xml:space="preserve">IT </w:t>
      </w:r>
      <w:r>
        <w:t>řešením a Službám poskytovaným na základě Objednávky, pokud: (i) ZÁKAZNÍK nebo Oprávněný uživatel nebo jakákoli třetí strana se zapojí do činností, které společnost ROCHE důvodně považuje za riziko pro bezpečnost nebo integritu společnosti ROCHE a jejích Přidružených společností, Služeb nebo jakýchkoli Osobních údajů nebo které jsou zakázány podle této Smlouvy; (</w:t>
      </w:r>
      <w:proofErr w:type="spellStart"/>
      <w:r>
        <w:t>ii</w:t>
      </w:r>
      <w:proofErr w:type="spellEnd"/>
      <w:r>
        <w:t>) ZÁKAZNÍK nezaplatí Poplatky v souladu s článkem 4.1 (Poplatky) a jakoukoli platnou Objednávkou anebo nesplní nákupní objem produktů uvedený v Objednávce; (</w:t>
      </w:r>
      <w:proofErr w:type="spellStart"/>
      <w:r>
        <w:t>iii</w:t>
      </w:r>
      <w:proofErr w:type="spellEnd"/>
      <w:r>
        <w:t>) ZÁKAZNÍK nedodrží jakoukoli z podmínek této Smlouvy; nebo (</w:t>
      </w:r>
      <w:proofErr w:type="spellStart"/>
      <w:r>
        <w:t>iv</w:t>
      </w:r>
      <w:proofErr w:type="spellEnd"/>
      <w:r>
        <w:t>) podle podloženého názoru společnosti ROCHE je to od společnosti ROCHE nebo kterékoli z jejích Přidružených společností vyžadováno zákonem. V každém případě ROCHE poskytne předběžné oznámení, pokud je to možné, jinak toto oznámení poskytne neprodleně po zjištění dané skutečnosti, přičemž pozastavení potrvá pouze po dobu, kterou ROCHE považuje za nezbytnou k vyřešení příslušného problému. ZÁKAZNÍK je odpovědný za všechny Poplatky vzniklé do data pozastavení a zůstává odpovědný za všechny Poplatky spojené s částečným pokračováním přístupu během jakéhokoli pozastavení (pokud společnost ROCHE nebo některá z jejích Přidružených společností pozastaví Služby pouze částečně).</w:t>
      </w:r>
    </w:p>
    <w:p w:rsidR="00855A23" w:rsidRDefault="00AB4B35">
      <w:pPr>
        <w:pStyle w:val="Nadpis50"/>
        <w:keepNext/>
        <w:keepLines/>
        <w:numPr>
          <w:ilvl w:val="0"/>
          <w:numId w:val="1"/>
        </w:numPr>
        <w:shd w:val="clear" w:color="auto" w:fill="auto"/>
        <w:tabs>
          <w:tab w:val="left" w:pos="361"/>
        </w:tabs>
        <w:spacing w:after="100"/>
        <w:jc w:val="both"/>
      </w:pPr>
      <w:bookmarkStart w:id="22" w:name="bookmark24"/>
      <w:bookmarkStart w:id="23" w:name="bookmark25"/>
      <w:r>
        <w:t>Platnost a ukončení</w:t>
      </w:r>
      <w:bookmarkEnd w:id="22"/>
      <w:bookmarkEnd w:id="23"/>
    </w:p>
    <w:p w:rsidR="00855A23" w:rsidRDefault="00AB4B35">
      <w:pPr>
        <w:pStyle w:val="Zkladntext1"/>
        <w:numPr>
          <w:ilvl w:val="1"/>
          <w:numId w:val="1"/>
        </w:numPr>
        <w:shd w:val="clear" w:color="auto" w:fill="auto"/>
        <w:tabs>
          <w:tab w:val="left" w:pos="764"/>
        </w:tabs>
        <w:ind w:firstLine="300"/>
        <w:jc w:val="both"/>
      </w:pPr>
      <w:r>
        <w:rPr>
          <w:u w:val="single"/>
        </w:rPr>
        <w:t>Doba platnosti</w:t>
      </w:r>
      <w:r>
        <w:t>. Doba platnosti této Smlouvy začíná Dnem účinnosti a trvá až do jejího ukončení v souladu s podmínkami této Smlouvy („</w:t>
      </w:r>
      <w:r>
        <w:rPr>
          <w:b/>
          <w:bCs/>
        </w:rPr>
        <w:t>Doba platnosti</w:t>
      </w:r>
      <w:r>
        <w:t>“). Doba platnosti každé Objednávky („</w:t>
      </w:r>
      <w:r>
        <w:rPr>
          <w:b/>
          <w:bCs/>
        </w:rPr>
        <w:t>Doba platnosti objednávky'</w:t>
      </w:r>
      <w:r>
        <w:t>) je uvedena na příslušné Objednávce, přičemž pokud Objednávka neuvádí konkrétní Dobu platnosti objednávky, platí tato Smlouva po dobu, po kterou ZÁKAZNÍK používá IT řešení.</w:t>
      </w:r>
    </w:p>
    <w:p w:rsidR="00855A23" w:rsidRDefault="00AB4B35">
      <w:pPr>
        <w:pStyle w:val="Zkladntext1"/>
        <w:numPr>
          <w:ilvl w:val="1"/>
          <w:numId w:val="1"/>
        </w:numPr>
        <w:shd w:val="clear" w:color="auto" w:fill="auto"/>
        <w:tabs>
          <w:tab w:val="left" w:pos="764"/>
        </w:tabs>
        <w:spacing w:after="0"/>
        <w:ind w:firstLine="300"/>
        <w:jc w:val="both"/>
      </w:pPr>
      <w:r>
        <w:rPr>
          <w:u w:val="single"/>
        </w:rPr>
        <w:t>Ukončení z důvodu porušení</w:t>
      </w:r>
      <w:r>
        <w:t>. V případě porušení jakéhokoli ustanovení této Smlouvy v jakémkoli podstatném ohledu kteroukoli ze stran, které nebude napraveno do pětačtyřiceti (45) dnů od obdržení písemného oznámení druhé strany, může strana, která toto ustanovení neporušila, na základě písemného oznámení straně, která toto ustanovení porušila, (i) vypovědět tuto Smlouvu,</w:t>
      </w:r>
    </w:p>
    <w:p w:rsidR="00855A23" w:rsidRDefault="00AB4B35">
      <w:pPr>
        <w:pStyle w:val="Zkladntext1"/>
        <w:numPr>
          <w:ilvl w:val="0"/>
          <w:numId w:val="2"/>
        </w:numPr>
        <w:shd w:val="clear" w:color="auto" w:fill="auto"/>
        <w:tabs>
          <w:tab w:val="left" w:pos="318"/>
          <w:tab w:val="left" w:pos="734"/>
        </w:tabs>
        <w:jc w:val="both"/>
      </w:pPr>
      <w:r>
        <w:t>ukončit nebo pozastavit poskytování jakýchkoli Služeb nebo IT řešení nebo (</w:t>
      </w:r>
      <w:proofErr w:type="spellStart"/>
      <w:r>
        <w:t>iii</w:t>
      </w:r>
      <w:proofErr w:type="spellEnd"/>
      <w:r>
        <w:t>) uplatnit další zákonná práva a opravné prostředky, na které může mít nárok. Kromě toho může společnost ROCHE okamžitě ukončit licence podle této Smlouvy, pokud ZÁKAZNÍK poruší ustanovení článků 2.4 (Licence), 2.5 (Oprávnění uživatelé), 2.6 (Omezení a povinnosti ZÁKAZNÍKA) nebo 14 (Důvěrnost).</w:t>
      </w:r>
    </w:p>
    <w:p w:rsidR="00855A23" w:rsidRDefault="00AB4B35">
      <w:pPr>
        <w:pStyle w:val="Zkladntext1"/>
        <w:numPr>
          <w:ilvl w:val="1"/>
          <w:numId w:val="1"/>
        </w:numPr>
        <w:shd w:val="clear" w:color="auto" w:fill="auto"/>
        <w:tabs>
          <w:tab w:val="left" w:pos="764"/>
        </w:tabs>
        <w:ind w:firstLine="300"/>
        <w:jc w:val="both"/>
      </w:pPr>
      <w:r>
        <w:rPr>
          <w:u w:val="single"/>
        </w:rPr>
        <w:t>Ukončení z důvodu probíhajícího pozastavení</w:t>
      </w:r>
      <w:r>
        <w:t xml:space="preserve">. Společnost </w:t>
      </w:r>
      <w:r>
        <w:rPr>
          <w:lang w:val="en-US" w:eastAsia="en-US" w:bidi="en-US"/>
        </w:rPr>
        <w:t xml:space="preserve">ROCHE </w:t>
      </w:r>
      <w:r>
        <w:t>může tuto Smlouvu nebo jakoukoli platnou Objednávku vypovědět, pokud se ZÁKAZNÍK nebo Oprávněný uživatel dopustí jednání, které je důvodem k pozastavení podle článku 9.1 (Pozastavení služeb), a toto jednání není vyřešeno do třiceti (30) dnů.</w:t>
      </w:r>
    </w:p>
    <w:p w:rsidR="00855A23" w:rsidRDefault="00AB4B35">
      <w:pPr>
        <w:pStyle w:val="Zkladntext1"/>
        <w:numPr>
          <w:ilvl w:val="1"/>
          <w:numId w:val="1"/>
        </w:numPr>
        <w:shd w:val="clear" w:color="auto" w:fill="auto"/>
        <w:tabs>
          <w:tab w:val="left" w:pos="759"/>
        </w:tabs>
        <w:ind w:firstLine="300"/>
        <w:jc w:val="both"/>
      </w:pPr>
      <w:r>
        <w:rPr>
          <w:u w:val="single"/>
        </w:rPr>
        <w:t>Ukončení z důvodu insolvence</w:t>
      </w:r>
      <w:r>
        <w:t>. Kterákoli strana může tuto Smlouvu vypovědět písemným oznámením druhé straně, pokud druhá strana ukončí svou podnikatelskou činnost nebo se stane předmětem konkurzního, reorganizačního nebo insolvenčního řízení a toto řízení nebylo vyřešeno po uplynutí pětačtyřiceti (45) dnů.</w:t>
      </w:r>
    </w:p>
    <w:p w:rsidR="00855A23" w:rsidRDefault="00AB4B35">
      <w:pPr>
        <w:pStyle w:val="Zkladntext1"/>
        <w:numPr>
          <w:ilvl w:val="1"/>
          <w:numId w:val="1"/>
        </w:numPr>
        <w:shd w:val="clear" w:color="auto" w:fill="auto"/>
        <w:tabs>
          <w:tab w:val="left" w:pos="769"/>
        </w:tabs>
        <w:spacing w:after="420"/>
        <w:ind w:firstLine="300"/>
        <w:jc w:val="both"/>
      </w:pPr>
      <w:r>
        <w:rPr>
          <w:u w:val="single"/>
        </w:rPr>
        <w:t>Účinek ukončení</w:t>
      </w:r>
      <w:r>
        <w:t>. S výjimkou případů uvedených v této Smlouvě v případě ukončení této Smlouvy: (i) práva a povinnosti vyplývající z této Smlouvy okamžitě zanikají; (</w:t>
      </w:r>
      <w:proofErr w:type="spellStart"/>
      <w:r>
        <w:t>ii</w:t>
      </w:r>
      <w:proofErr w:type="spellEnd"/>
      <w:r>
        <w:t>) jakákoli platba nebo jiný závazek, který vznikl ke dni ukončení, zůstává v platnosti i po tomto ukončení; (</w:t>
      </w:r>
      <w:proofErr w:type="spellStart"/>
      <w:r>
        <w:t>iii</w:t>
      </w:r>
      <w:proofErr w:type="spellEnd"/>
      <w:r>
        <w:t>) práva a povinnosti stran uvedené v článcích 2.8, 4.1, 4.2, 5.1, 7, 10.5, 11, 12, 13, 14 a 15.2, spolu s jakýmikoliv dalšími ustanoveními, která jsou nutná k vymáhání práv a povinností stran podle této Smlouvy nebo která podle svých podmínek trvají i po ukončení, přetrvají ukončení a zůstanou v platnosti, jak je v nich popsáno; (</w:t>
      </w:r>
      <w:proofErr w:type="spellStart"/>
      <w:r>
        <w:t>iv</w:t>
      </w:r>
      <w:proofErr w:type="spellEnd"/>
      <w:r>
        <w:t>) společnost ROCHE deaktivuje účty ZÁKAZNÍKA a odstraní související údaje ZÁKAZNÍKA (včetně zničení nebo vymazání archivovaných kopií těchto údajů), k nimž společnost ROCHE nezískala vlastnická nebo jiná práva k jejich použití; (v) společnost ROCHE a její Přidružené společnosti si ponechávají licenci k Anonymizovaným údajům a Neosobním údajům, jak je uvedeno v článku 6.3 a 6.4; (</w:t>
      </w:r>
      <w:proofErr w:type="spellStart"/>
      <w:r>
        <w:t>vi</w:t>
      </w:r>
      <w:proofErr w:type="spellEnd"/>
      <w:r>
        <w:t>) veškeré Důvěrné informace jedné strany, které má druhá strana v držení, budou neprodleně zničeny; a (</w:t>
      </w:r>
      <w:proofErr w:type="spellStart"/>
      <w:r>
        <w:t>vii</w:t>
      </w:r>
      <w:proofErr w:type="spellEnd"/>
      <w:r>
        <w:t>) zbývající případné Objednávky zůstanou plně platné a účinné a podmínky této Smlouvy se na tyto Objednávky budou vztahovat po dobu trvání těchto Objednávek.</w:t>
      </w:r>
    </w:p>
    <w:p w:rsidR="00AB1033" w:rsidRDefault="00AB1033" w:rsidP="00AB1033">
      <w:pPr>
        <w:pStyle w:val="Zkladntext1"/>
        <w:shd w:val="clear" w:color="auto" w:fill="auto"/>
        <w:tabs>
          <w:tab w:val="left" w:pos="769"/>
        </w:tabs>
        <w:spacing w:after="420"/>
        <w:jc w:val="both"/>
      </w:pPr>
    </w:p>
    <w:p w:rsidR="00855A23" w:rsidRDefault="00AB4B35">
      <w:pPr>
        <w:pStyle w:val="Nadpis50"/>
        <w:keepNext/>
        <w:keepLines/>
        <w:numPr>
          <w:ilvl w:val="0"/>
          <w:numId w:val="1"/>
        </w:numPr>
        <w:shd w:val="clear" w:color="auto" w:fill="auto"/>
        <w:tabs>
          <w:tab w:val="left" w:pos="361"/>
        </w:tabs>
        <w:spacing w:after="100"/>
        <w:jc w:val="both"/>
      </w:pPr>
      <w:bookmarkStart w:id="24" w:name="bookmark26"/>
      <w:bookmarkStart w:id="25" w:name="bookmark27"/>
      <w:r>
        <w:lastRenderedPageBreak/>
        <w:t>Záruky a vyloučení odpovědnosti</w:t>
      </w:r>
      <w:bookmarkEnd w:id="24"/>
      <w:bookmarkEnd w:id="25"/>
    </w:p>
    <w:p w:rsidR="00855A23" w:rsidRDefault="00AB4B35">
      <w:pPr>
        <w:pStyle w:val="Zkladntext1"/>
        <w:numPr>
          <w:ilvl w:val="1"/>
          <w:numId w:val="1"/>
        </w:numPr>
        <w:shd w:val="clear" w:color="auto" w:fill="auto"/>
        <w:tabs>
          <w:tab w:val="left" w:pos="764"/>
        </w:tabs>
        <w:spacing w:after="0"/>
        <w:ind w:firstLine="320"/>
        <w:jc w:val="both"/>
      </w:pPr>
      <w:r>
        <w:rPr>
          <w:u w:val="single"/>
        </w:rPr>
        <w:t>Prohlášení a záruky ZÁKAZNÍKA</w:t>
      </w:r>
      <w:r>
        <w:t xml:space="preserve">. ZÁKAZNÍK prohlašuje, zaručuje a zavazuje se, že: (i) ZÁKAZNÍK má veškerá práva, oprávnění, souhlasy a licence nezbytné k tomu, aby mohl společnosti </w:t>
      </w:r>
      <w:r>
        <w:rPr>
          <w:lang w:val="en-US" w:eastAsia="en-US" w:bidi="en-US"/>
        </w:rPr>
        <w:t xml:space="preserve">ROCHE </w:t>
      </w:r>
      <w:r>
        <w:t>poskytnout data ZÁKAZNÍKA v souladu s touto Smlouvou a aby mohl společnosti ROCHE a jejím Přidruženým společnostem udělit práva uvedená v této Smlouvě; (</w:t>
      </w:r>
      <w:proofErr w:type="spellStart"/>
      <w:r>
        <w:t>ii</w:t>
      </w:r>
      <w:proofErr w:type="spellEnd"/>
      <w:r>
        <w:t>) uzavření této Smlouvy a plnění povinností ZÁKAZNÍKA podle této Smlouvy neporušuje žádnou jinou smlouvu, jíž je ZÁKAZNÍK smluvní stranou; a</w:t>
      </w:r>
    </w:p>
    <w:p w:rsidR="00855A23" w:rsidRDefault="00AB4B35">
      <w:pPr>
        <w:pStyle w:val="Zkladntext1"/>
        <w:numPr>
          <w:ilvl w:val="0"/>
          <w:numId w:val="2"/>
        </w:numPr>
        <w:shd w:val="clear" w:color="auto" w:fill="auto"/>
        <w:tabs>
          <w:tab w:val="left" w:pos="342"/>
          <w:tab w:val="left" w:pos="734"/>
        </w:tabs>
        <w:jc w:val="both"/>
      </w:pPr>
      <w:r>
        <w:t>osoby identifikované ZÁKAZNÍKEM nebo jeho jménem společnosti ROCHE jako Oprávnění uživatelé mají povolení k přístupu ke všem Osobním údajům spojeným se ZÁKAZNÍKEM, které byly nahrány nebo zpracovány pomocí Služeb a IT řešení, a ZÁKAZNÍK dodržoval a nadále bude dodržovat všechny Platné právní předpisy, aby si tato povolení zachoval (mimo jiné včetně zajištění všech požadovaných souhlasů od Subjektů údajů).</w:t>
      </w:r>
    </w:p>
    <w:p w:rsidR="00855A23" w:rsidRDefault="00AB4B35">
      <w:pPr>
        <w:pStyle w:val="Zkladntext1"/>
        <w:numPr>
          <w:ilvl w:val="1"/>
          <w:numId w:val="1"/>
        </w:numPr>
        <w:shd w:val="clear" w:color="auto" w:fill="auto"/>
        <w:tabs>
          <w:tab w:val="left" w:pos="754"/>
        </w:tabs>
        <w:ind w:firstLine="320"/>
        <w:jc w:val="both"/>
      </w:pPr>
      <w:r>
        <w:rPr>
          <w:u w:val="single"/>
        </w:rPr>
        <w:t xml:space="preserve">Prohlášení a záruky společnosti </w:t>
      </w:r>
      <w:r>
        <w:rPr>
          <w:u w:val="single"/>
          <w:lang w:val="en-US" w:eastAsia="en-US" w:bidi="en-US"/>
        </w:rPr>
        <w:t>ROCHE</w:t>
      </w:r>
      <w:r>
        <w:rPr>
          <w:lang w:val="en-US" w:eastAsia="en-US" w:bidi="en-US"/>
        </w:rPr>
        <w:t xml:space="preserve">. </w:t>
      </w:r>
      <w:r>
        <w:t xml:space="preserve">Společnost </w:t>
      </w:r>
      <w:r>
        <w:rPr>
          <w:lang w:val="en-US" w:eastAsia="en-US" w:bidi="en-US"/>
        </w:rPr>
        <w:t xml:space="preserve">ROCHE </w:t>
      </w:r>
      <w:r>
        <w:t>prohlašuje a zaručuje ZÁKAZNÍKOVI, že Služby budou poskytnuty v souladu s příslušnou Objednávkou.</w:t>
      </w:r>
    </w:p>
    <w:p w:rsidR="00855A23" w:rsidRDefault="00AB4B35">
      <w:pPr>
        <w:pStyle w:val="Zkladntext1"/>
        <w:numPr>
          <w:ilvl w:val="1"/>
          <w:numId w:val="1"/>
        </w:numPr>
        <w:shd w:val="clear" w:color="auto" w:fill="auto"/>
        <w:tabs>
          <w:tab w:val="left" w:pos="769"/>
        </w:tabs>
        <w:spacing w:after="420"/>
        <w:ind w:firstLine="320"/>
        <w:jc w:val="both"/>
      </w:pPr>
      <w:r>
        <w:rPr>
          <w:u w:val="single"/>
        </w:rPr>
        <w:t>Vyloučení odpovědnosti</w:t>
      </w:r>
      <w:r>
        <w:t xml:space="preserve">. S VÝJIMKOU PROHLÁŠENÍ A ZÁRUK VÝSLOVNĚ UVEDENÝCH V TOMTO ČLÁNKU 11 A ZÁRUK PRO </w:t>
      </w:r>
      <w:proofErr w:type="gramStart"/>
      <w:r>
        <w:t>ŘEŠENI</w:t>
      </w:r>
      <w:proofErr w:type="gramEnd"/>
      <w:r>
        <w:t xml:space="preserve"> NA MÍSTĚ A HYBRIDNÍ ŘEŠENÍ (DLE SITUACE), JAK JE UVEDENO V ČLÁNKU 16, JSOU SLUŽBY, </w:t>
      </w:r>
      <w:r>
        <w:rPr>
          <w:lang w:val="en-US" w:eastAsia="en-US" w:bidi="en-US"/>
        </w:rPr>
        <w:t xml:space="preserve">IT </w:t>
      </w:r>
      <w:r>
        <w:t xml:space="preserve">ŘEŠENÍ </w:t>
      </w:r>
      <w:r>
        <w:rPr>
          <w:lang w:val="en-US" w:eastAsia="en-US" w:bidi="en-US"/>
        </w:rPr>
        <w:t xml:space="preserve">A OBSAH ROCHE </w:t>
      </w:r>
      <w:r>
        <w:t xml:space="preserve">POSKYTOVÁNY </w:t>
      </w:r>
      <w:r>
        <w:rPr>
          <w:lang w:val="en-US" w:eastAsia="en-US" w:bidi="en-US"/>
        </w:rPr>
        <w:t xml:space="preserve">„TAK, JAK JSOU“, A BEZ </w:t>
      </w:r>
      <w:r>
        <w:t xml:space="preserve">JAKÝCHKOLI VÝSLOVNÝCH </w:t>
      </w:r>
      <w:r>
        <w:rPr>
          <w:lang w:val="en-US" w:eastAsia="en-US" w:bidi="en-US"/>
        </w:rPr>
        <w:t xml:space="preserve">NEBO </w:t>
      </w:r>
      <w:r>
        <w:t xml:space="preserve">PŘEDPOKLÁDANÝCH PROHLÁŠENÍ </w:t>
      </w:r>
      <w:r>
        <w:rPr>
          <w:lang w:val="en-US" w:eastAsia="en-US" w:bidi="en-US"/>
        </w:rPr>
        <w:t xml:space="preserve">NEBO </w:t>
      </w:r>
      <w:r>
        <w:t xml:space="preserve">ZÁRUK JAKÉHOKOLI </w:t>
      </w:r>
      <w:r>
        <w:rPr>
          <w:lang w:val="en-US" w:eastAsia="en-US" w:bidi="en-US"/>
        </w:rPr>
        <w:t xml:space="preserve">DRUHU, </w:t>
      </w:r>
      <w:r>
        <w:t xml:space="preserve">VČETNĚ JAKÝCHKOLI PROHLÁŠENÍ </w:t>
      </w:r>
      <w:r>
        <w:rPr>
          <w:lang w:val="en-US" w:eastAsia="en-US" w:bidi="en-US"/>
        </w:rPr>
        <w:t xml:space="preserve">NEBO </w:t>
      </w:r>
      <w:r>
        <w:t xml:space="preserve">ZÁRUK TÝKAJÍCÍCH </w:t>
      </w:r>
      <w:r>
        <w:rPr>
          <w:lang w:val="en-US" w:eastAsia="en-US" w:bidi="en-US"/>
        </w:rPr>
        <w:t xml:space="preserve">SE </w:t>
      </w:r>
      <w:r>
        <w:t xml:space="preserve">PŘESNOSTI, FUNKČNOSTI, POUŽITÍ, </w:t>
      </w:r>
      <w:r>
        <w:rPr>
          <w:lang w:val="en-US" w:eastAsia="en-US" w:bidi="en-US"/>
        </w:rPr>
        <w:t xml:space="preserve">TITULU, </w:t>
      </w:r>
      <w:r>
        <w:t xml:space="preserve">NEPORUŠOVÁNÍ PRÁV, </w:t>
      </w:r>
      <w:r>
        <w:rPr>
          <w:lang w:val="en-US" w:eastAsia="en-US" w:bidi="en-US"/>
        </w:rPr>
        <w:t xml:space="preserve">PRODEJNOSTI NEBO VHODNOSTI PRO </w:t>
      </w:r>
      <w:r>
        <w:t xml:space="preserve">URČITÝ ÚČEL, </w:t>
      </w:r>
      <w:r>
        <w:rPr>
          <w:lang w:val="en-US" w:eastAsia="en-US" w:bidi="en-US"/>
        </w:rPr>
        <w:t xml:space="preserve">A </w:t>
      </w:r>
      <w:r>
        <w:t xml:space="preserve">KAŽDÁ </w:t>
      </w:r>
      <w:r>
        <w:rPr>
          <w:lang w:val="en-US" w:eastAsia="en-US" w:bidi="en-US"/>
        </w:rPr>
        <w:t xml:space="preserve">STRANA SE </w:t>
      </w:r>
      <w:r>
        <w:t xml:space="preserve">TÍMTO ZŘÍKÁ VŠECH TAKOVÝCH PROHLÁŠENÍ </w:t>
      </w:r>
      <w:r>
        <w:rPr>
          <w:lang w:val="en-US" w:eastAsia="en-US" w:bidi="en-US"/>
        </w:rPr>
        <w:t xml:space="preserve">A </w:t>
      </w:r>
      <w:r>
        <w:t xml:space="preserve">ZÁRUK. </w:t>
      </w:r>
      <w:r>
        <w:rPr>
          <w:lang w:val="en-US" w:eastAsia="en-US" w:bidi="en-US"/>
        </w:rPr>
        <w:t xml:space="preserve">BEZ </w:t>
      </w:r>
      <w:r>
        <w:t xml:space="preserve">OMEZENÍ </w:t>
      </w:r>
      <w:r>
        <w:rPr>
          <w:lang w:val="en-US" w:eastAsia="en-US" w:bidi="en-US"/>
        </w:rPr>
        <w:t xml:space="preserve">PLATNOSTI </w:t>
      </w:r>
      <w:r>
        <w:t xml:space="preserve">VÝŠE UVEDENÉHO SPOLEČNOST </w:t>
      </w:r>
      <w:r>
        <w:rPr>
          <w:lang w:val="en-US" w:eastAsia="en-US" w:bidi="en-US"/>
        </w:rPr>
        <w:t xml:space="preserve">ROCHE A </w:t>
      </w:r>
      <w:r>
        <w:t xml:space="preserve">JEJÍ PŘIDRUŽENÉ SPOLEČNOSTI NEPOSKYTUJÍ ŽÁDNÉ VÝSLOVNÉ </w:t>
      </w:r>
      <w:r>
        <w:rPr>
          <w:lang w:val="en-US" w:eastAsia="en-US" w:bidi="en-US"/>
        </w:rPr>
        <w:t xml:space="preserve">ANI </w:t>
      </w:r>
      <w:r>
        <w:t xml:space="preserve">PŘEDPOKLÁDANÉ ZÁRUKY, ŽE SLUŽBY </w:t>
      </w:r>
      <w:r>
        <w:rPr>
          <w:lang w:val="en-US" w:eastAsia="en-US" w:bidi="en-US"/>
        </w:rPr>
        <w:t xml:space="preserve">NEBO JEJICH </w:t>
      </w:r>
      <w:r>
        <w:t xml:space="preserve">POUŽÍVÁNÍ </w:t>
      </w:r>
      <w:r>
        <w:rPr>
          <w:lang w:val="en-US" w:eastAsia="en-US" w:bidi="en-US"/>
        </w:rPr>
        <w:t xml:space="preserve">BUDOU </w:t>
      </w:r>
      <w:r>
        <w:t xml:space="preserve">BEZPEČNÉ, NEPŘERUŠOVANÉ </w:t>
      </w:r>
      <w:r>
        <w:rPr>
          <w:lang w:val="en-US" w:eastAsia="en-US" w:bidi="en-US"/>
        </w:rPr>
        <w:t xml:space="preserve">NEBO </w:t>
      </w:r>
      <w:r>
        <w:t xml:space="preserve">BEZCHYBNÉ (ZEJMÉNA </w:t>
      </w:r>
      <w:r>
        <w:rPr>
          <w:lang w:val="en-US" w:eastAsia="en-US" w:bidi="en-US"/>
        </w:rPr>
        <w:t xml:space="preserve">Z </w:t>
      </w:r>
      <w:r>
        <w:t xml:space="preserve">DŮVODU ÚDRŽBY </w:t>
      </w:r>
      <w:r>
        <w:rPr>
          <w:lang w:val="en-US" w:eastAsia="en-US" w:bidi="en-US"/>
        </w:rPr>
        <w:t xml:space="preserve">A </w:t>
      </w:r>
      <w:r>
        <w:t xml:space="preserve">OBDOBNÝCH DŮVODŮ). SPOLEČNOST </w:t>
      </w:r>
      <w:r>
        <w:rPr>
          <w:lang w:val="en-US" w:eastAsia="en-US" w:bidi="en-US"/>
        </w:rPr>
        <w:t xml:space="preserve">ROCHE ANI </w:t>
      </w:r>
      <w:r>
        <w:t xml:space="preserve">ŽÁDNÁ </w:t>
      </w:r>
      <w:r>
        <w:rPr>
          <w:lang w:val="en-US" w:eastAsia="en-US" w:bidi="en-US"/>
        </w:rPr>
        <w:t xml:space="preserve">Z </w:t>
      </w:r>
      <w:r>
        <w:t xml:space="preserve">JEJÍCH PŘIDRUŽENÝCH SPOLEČNOSTÍ NESMÍ BÝT </w:t>
      </w:r>
      <w:r>
        <w:rPr>
          <w:lang w:val="en-US" w:eastAsia="en-US" w:bidi="en-US"/>
        </w:rPr>
        <w:t xml:space="preserve">V </w:t>
      </w:r>
      <w:r>
        <w:t xml:space="preserve">ŽÁDNÉM PŘÍPADĚ POVAŽOVÁNA </w:t>
      </w:r>
      <w:r>
        <w:rPr>
          <w:lang w:val="en-US" w:eastAsia="en-US" w:bidi="en-US"/>
        </w:rPr>
        <w:t xml:space="preserve">ZA </w:t>
      </w:r>
      <w:r>
        <w:t xml:space="preserve">SPOLEČNOST, KTERÁ </w:t>
      </w:r>
      <w:r>
        <w:rPr>
          <w:lang w:val="en-US" w:eastAsia="en-US" w:bidi="en-US"/>
        </w:rPr>
        <w:t xml:space="preserve">SE </w:t>
      </w:r>
      <w:r>
        <w:t xml:space="preserve">PŘÍMO ČI NEPŘÍMO ZABÝVÁ LÉKAŘSKOU PRAXÍ </w:t>
      </w:r>
      <w:r>
        <w:rPr>
          <w:lang w:val="en-US" w:eastAsia="en-US" w:bidi="en-US"/>
        </w:rPr>
        <w:t xml:space="preserve">NEBO </w:t>
      </w:r>
      <w:r>
        <w:t>POSKYTOVÁNÍM LÉKAŘSKÝCH SLUŽEB.</w:t>
      </w:r>
    </w:p>
    <w:p w:rsidR="00855A23" w:rsidRDefault="00AB4B35">
      <w:pPr>
        <w:pStyle w:val="Nadpis50"/>
        <w:keepNext/>
        <w:keepLines/>
        <w:numPr>
          <w:ilvl w:val="0"/>
          <w:numId w:val="1"/>
        </w:numPr>
        <w:shd w:val="clear" w:color="auto" w:fill="auto"/>
        <w:tabs>
          <w:tab w:val="left" w:pos="361"/>
        </w:tabs>
        <w:spacing w:after="100"/>
        <w:jc w:val="both"/>
      </w:pPr>
      <w:bookmarkStart w:id="26" w:name="bookmark28"/>
      <w:bookmarkStart w:id="27" w:name="bookmark29"/>
      <w:r>
        <w:t>Omezení odpovědnosti</w:t>
      </w:r>
      <w:bookmarkEnd w:id="26"/>
      <w:bookmarkEnd w:id="27"/>
    </w:p>
    <w:p w:rsidR="00855A23" w:rsidRDefault="00AB4B35">
      <w:pPr>
        <w:pStyle w:val="Zkladntext1"/>
        <w:numPr>
          <w:ilvl w:val="1"/>
          <w:numId w:val="1"/>
        </w:numPr>
        <w:shd w:val="clear" w:color="auto" w:fill="auto"/>
        <w:tabs>
          <w:tab w:val="left" w:pos="764"/>
        </w:tabs>
        <w:spacing w:after="420"/>
        <w:ind w:firstLine="320"/>
        <w:jc w:val="both"/>
      </w:pPr>
      <w:r>
        <w:rPr>
          <w:u w:val="single"/>
        </w:rPr>
        <w:t>Omezení odpovědnosti</w:t>
      </w:r>
      <w:r>
        <w:t xml:space="preserve">. V rozsahu povoleném Platnými právními předpisy je v článcích 11.1, 11.3 a 16 (výhradně pro Řešení na místě a případně pro Hybridní řešení) uvedena veškerá odpovědnost společnosti </w:t>
      </w:r>
      <w:r>
        <w:rPr>
          <w:lang w:val="en-US" w:eastAsia="en-US" w:bidi="en-US"/>
        </w:rPr>
        <w:t xml:space="preserve">ROCHE </w:t>
      </w:r>
      <w:r>
        <w:t>vyplývající ze Smlouvy nebo v souvislosti s ní. Společnost ROCHE nebude za žádných okolností (ať už z důvodu nedbalosti, porušení smlouvy, uvedení v omyl nebo z jiného důvodu) odpovědná za jakoukoli ekonomickou ztrátu, škodu nebo výdaje, ať už přímé, nepřímé nebo následné (včetně, aniž by tím byla dotčena obecnost výše uvedeného, ušlého zisku, přerušení činnosti, ztráty dobré pověsti nebo dobrého jména), které vznikly v důsledku nebo v jakékoliv souvislosti se Službami, ať už ze strany ZÁKAZNÍKA nebo třetí strany. Žádné ustanovení tohoto článku 12 neomezuje ani nesnižuje odpovědnost společnosti za jakoukoli záležitost, u které by bylo nezákonné vyloučit, omezit nebo se pokusit vyloučit nebo omezit odpovědnost společnosti ROCHE. Pokud to dovolují Platné právní předpisy, celková souhrnná odpovědnost společnosti ROCHE, ať už vznikla v souvislosti s touto Smlouvou a jakoukoli Objednávkou nesmí v žádném případě přesáhnout celkovou hodnotu Poplatků zaplacených ZÁKAZNÍKEM za příslušná IT řešení (která vedla ke vzniku odpovědnosti) v průběhu dvanácti (12) měsíců před událostí, která vedla ke vzniku příslušného nároku. Cena Poplatků byla vypočtena na základě toho, že společnost ROCHE vyloučí nebo omezí svou odpovědnost, jak je uvedeno ve Smlouvě.</w:t>
      </w:r>
    </w:p>
    <w:p w:rsidR="00855A23" w:rsidRDefault="00AB4B35">
      <w:pPr>
        <w:pStyle w:val="Nadpis50"/>
        <w:keepNext/>
        <w:keepLines/>
        <w:numPr>
          <w:ilvl w:val="0"/>
          <w:numId w:val="1"/>
        </w:numPr>
        <w:shd w:val="clear" w:color="auto" w:fill="auto"/>
        <w:tabs>
          <w:tab w:val="left" w:pos="361"/>
        </w:tabs>
        <w:spacing w:after="100"/>
        <w:jc w:val="both"/>
      </w:pPr>
      <w:bookmarkStart w:id="28" w:name="bookmark30"/>
      <w:bookmarkStart w:id="29" w:name="bookmark31"/>
      <w:r>
        <w:t>Odškodnění</w:t>
      </w:r>
      <w:bookmarkEnd w:id="28"/>
      <w:bookmarkEnd w:id="29"/>
    </w:p>
    <w:p w:rsidR="00855A23" w:rsidRDefault="00AB4B35">
      <w:pPr>
        <w:pStyle w:val="Zkladntext1"/>
        <w:numPr>
          <w:ilvl w:val="1"/>
          <w:numId w:val="1"/>
        </w:numPr>
        <w:shd w:val="clear" w:color="auto" w:fill="auto"/>
        <w:tabs>
          <w:tab w:val="left" w:pos="774"/>
        </w:tabs>
        <w:ind w:firstLine="320"/>
        <w:jc w:val="both"/>
      </w:pPr>
      <w:r>
        <w:rPr>
          <w:u w:val="single"/>
        </w:rPr>
        <w:t xml:space="preserve">Odškodnění ze strany společnosti </w:t>
      </w:r>
      <w:r>
        <w:rPr>
          <w:u w:val="single"/>
          <w:lang w:val="en-US" w:eastAsia="en-US" w:bidi="en-US"/>
        </w:rPr>
        <w:t>ROCHE</w:t>
      </w:r>
      <w:r>
        <w:rPr>
          <w:lang w:val="en-US" w:eastAsia="en-US" w:bidi="en-US"/>
        </w:rPr>
        <w:t xml:space="preserve">. </w:t>
      </w:r>
      <w:r>
        <w:t xml:space="preserve">Společnost </w:t>
      </w:r>
      <w:r>
        <w:rPr>
          <w:lang w:val="en-US" w:eastAsia="en-US" w:bidi="en-US"/>
        </w:rPr>
        <w:t xml:space="preserve">ROCHE </w:t>
      </w:r>
      <w:r>
        <w:t>bude na vlastní náklady bránit ZÁKAZNÍKA a jeho vedoucí pracovníky, statutární orgány, zaměstnance a zástupce (společně dále jen „</w:t>
      </w:r>
      <w:r>
        <w:rPr>
          <w:b/>
          <w:bCs/>
        </w:rPr>
        <w:t>Odškodněné strany ZÁKAZNÍKA</w:t>
      </w:r>
      <w:r>
        <w:t>'“) před Jakýmikoliv nároky třetích stran a zaplatí částky, které byly pravomocně přiznány příslušným soudem Odškodněným stranám ZÁKAZNÍKA (včetně náhrady škody, úroků, nákladů a poplatků za právní zastoupení), nebo které jsou splatné na základě dohody, s níž společnost ROCHE souhlasila v souvislosti s těmito nároky, pokud tyto nároky vyplývají z nároku třetí strany nebo se týkají nároku třetí strany, která tvrdí, že použití Služeb, IT řešení nebo Obsahu ROCHE ze strany ZÁKAZNÍKA, jak je povoleno podle této Smlouvy, představuje přímé porušení nebo zneužití práv duševního vlastnictví jakékoli třetí strany podle Platných právních předpisů („</w:t>
      </w:r>
      <w:r>
        <w:rPr>
          <w:b/>
          <w:bCs/>
        </w:rPr>
        <w:t>Nárok</w:t>
      </w:r>
      <w:r>
        <w:t>“). Společnost ROCHE nebude mít podle tohoto čl. 13.1 žádné povinnosti pokud Nárok vznikl na základě níže uvedeného výčtu nebo v souvislosti s ním, nebo by bylo možné se Nároku vyhnout, kdyby neexistovaly (i) data nebo vstupy ZÁKAZNÍKA, (</w:t>
      </w:r>
      <w:proofErr w:type="spellStart"/>
      <w:r>
        <w:t>ii</w:t>
      </w:r>
      <w:proofErr w:type="spellEnd"/>
      <w:r>
        <w:t>) použití jakékoli Služby, IT řešení nebo Obsahu ROCHE jiným způsobem, než jak je výslovně povoleno v této Smlouvě, (</w:t>
      </w:r>
      <w:proofErr w:type="spellStart"/>
      <w:r>
        <w:t>ii</w:t>
      </w:r>
      <w:proofErr w:type="spellEnd"/>
      <w:r>
        <w:t>) úprava Služeb, IT řešení nebo Obsahu ROCHE jinou osobou nebo subjektem než ROCHE, (</w:t>
      </w:r>
      <w:proofErr w:type="spellStart"/>
      <w:r>
        <w:t>iii</w:t>
      </w:r>
      <w:proofErr w:type="spellEnd"/>
      <w:r>
        <w:t>) kombinace Služeb, IT řešení nebo Obsahu ROCHE s daty třetích stran, obsahem, IT řešeními, produkty, technologiemi nebo službami, které nedodává společnost ROCHE, (</w:t>
      </w:r>
      <w:proofErr w:type="spellStart"/>
      <w:r>
        <w:t>iv</w:t>
      </w:r>
      <w:proofErr w:type="spellEnd"/>
      <w:r>
        <w:t>) soulad společnosti ROCHE s požadavky, návrhy nebo specifikacemi vyžadovanými ZÁKAZNÍKEM, (v) pokračující používání jakékoli Služby, IT řešení nebo Obsahu ROCHE ZÁKAZNÍKEM poté, co společnost ROCHE dala ZÁKAZNÍKOVI pokyn, aby takové používání ukončil, nebo (</w:t>
      </w:r>
      <w:proofErr w:type="spellStart"/>
      <w:r>
        <w:t>vi</w:t>
      </w:r>
      <w:proofErr w:type="spellEnd"/>
      <w:r>
        <w:t xml:space="preserve">) soudem uznané úmyslné porušení práv namířenými proti komukoli jinému než společnosti ROCHE a jejím Přidruženým společnostem. V případě vzniku </w:t>
      </w:r>
      <w:proofErr w:type="gramStart"/>
      <w:r>
        <w:t>Nároku nebo</w:t>
      </w:r>
      <w:proofErr w:type="gramEnd"/>
      <w:r>
        <w:t xml:space="preserve"> pokud se společnost ROCHE důvodně domnívá, že je tento Nárok pravděpodobný, může společnost ROCHE podle vlastního uvážení a bez jakýchkoli nákladů pro ZÁKAZNÍKA upravit nebo nahradit Službu, IT Řešení nebo Obsah ROCHE tak, aby se vzniku Nároku předešlo, aniž by došlo k podstatnému omezení funkčnosti, může získat licenci pro další používání Služeb, IT Řešení nebo Obsahu ROCHE ZÁKAZNÍKEM, nebo ukončit jakoukoli příslušnou Objednávku a vrátit ZÁKAZNÍKOVI veškeré předem zaplacené částky v poměrné výši k datu ukončení. Článek 13.1 stanoví výhradní odpovědnost společnosti ROCHE vůči ZÁKAZNÍKOVI a výhradní prostředek nápravy ZÁKAZNÍKA vůči společnosti ROCHE v souvislosti s jakýmkoli Nárokem.</w:t>
      </w: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rPr>
          <w:u w:val="single"/>
        </w:rPr>
      </w:pPr>
    </w:p>
    <w:p w:rsidR="00AB1033" w:rsidRDefault="00AB1033" w:rsidP="00AB1033">
      <w:pPr>
        <w:pStyle w:val="Zkladntext1"/>
        <w:shd w:val="clear" w:color="auto" w:fill="auto"/>
        <w:tabs>
          <w:tab w:val="left" w:pos="774"/>
        </w:tabs>
        <w:ind w:left="320"/>
        <w:jc w:val="both"/>
      </w:pPr>
    </w:p>
    <w:p w:rsidR="00855A23" w:rsidRDefault="00AB4B35">
      <w:pPr>
        <w:pStyle w:val="Zkladntext1"/>
        <w:numPr>
          <w:ilvl w:val="1"/>
          <w:numId w:val="1"/>
        </w:numPr>
        <w:shd w:val="clear" w:color="auto" w:fill="auto"/>
        <w:tabs>
          <w:tab w:val="left" w:pos="774"/>
        </w:tabs>
        <w:spacing w:after="120"/>
        <w:ind w:firstLine="320"/>
        <w:jc w:val="both"/>
      </w:pPr>
      <w:r>
        <w:rPr>
          <w:u w:val="single"/>
        </w:rPr>
        <w:lastRenderedPageBreak/>
        <w:t>Odškodnění ze strany ZÁKAZNÍKA</w:t>
      </w:r>
      <w:r>
        <w:t xml:space="preserve">. ZÁKAZNÍK bude na vlastní náklady hájit společnost </w:t>
      </w:r>
      <w:r>
        <w:rPr>
          <w:lang w:val="en-US" w:eastAsia="en-US" w:bidi="en-US"/>
        </w:rPr>
        <w:t xml:space="preserve">ROCHE </w:t>
      </w:r>
      <w:r>
        <w:t>nebo její Přidružené společnosti a jejich příslušné vedoucí pracovníky, statutární orgány, zaměstnance, dodavatele a zástupce (společně dále jen „</w:t>
      </w:r>
      <w:r>
        <w:rPr>
          <w:b/>
          <w:bCs/>
        </w:rPr>
        <w:t>Odškodněné strany společnosti ROCHE</w:t>
      </w:r>
      <w:r>
        <w:t>“) před jakýmikoliv nároky třetích stran a zaplatí částky, které byly pravomocně přiznány příslušným soudem proti Odškodněným stranám společnosti ROCHE (včetně náhrady škody, úroků, nákladů a poplatků za právní zastoupení) nebo které mají být zaplaceny na základě dohody, s nímž společnost ROCHE v souvislosti s těmito nároky souhlasila, pokud tyto nároky vyplývají z nároku třetí strany nebo se k němu vztahují, kdy se tento nárok týká údajného: (a) porušení této Smlouvy ze strany ZÁKAZNÍKA; (b) porušení jakéhokoli právního předpisu nebo práv jakékoli třetí strany ze strany ZÁKAZNÍKA; (c) toho, že jakákoli data ZÁKAZNÍKA porušují nebo zneužívají práva duševního vlastnictví jakékoli třetí strany, porušují jakékoli právo na soukromí nebo porušují jakýkoli Platný právní předpis; nebo (d) toho, že ZÁKAZNÍK používá jakoukoli Službu, IT řešení nebo Obsah ROCHE jiným způsobem, než jak je výslovně povoleno v této Smlouvě.</w:t>
      </w:r>
    </w:p>
    <w:p w:rsidR="00855A23" w:rsidRDefault="00AB4B35">
      <w:pPr>
        <w:pStyle w:val="Zkladntext1"/>
        <w:numPr>
          <w:ilvl w:val="1"/>
          <w:numId w:val="1"/>
        </w:numPr>
        <w:shd w:val="clear" w:color="auto" w:fill="auto"/>
        <w:tabs>
          <w:tab w:val="left" w:pos="764"/>
        </w:tabs>
        <w:spacing w:after="120"/>
        <w:ind w:firstLine="320"/>
        <w:jc w:val="both"/>
      </w:pPr>
      <w:r>
        <w:rPr>
          <w:u w:val="single"/>
        </w:rPr>
        <w:t>Žádné další závazky</w:t>
      </w:r>
      <w:r>
        <w:t xml:space="preserve">. Tento článek 13 stanoví veškerou odpovědnost společnosti </w:t>
      </w:r>
      <w:r>
        <w:rPr>
          <w:lang w:val="en-US" w:eastAsia="en-US" w:bidi="en-US"/>
        </w:rPr>
        <w:t xml:space="preserve">ROCHE </w:t>
      </w:r>
      <w:r>
        <w:t xml:space="preserve">v souvislosti s jakýmikoliv nároky za porušení nebo zneužití práv duševního vlastnictví týkajících se dat, Služeb, </w:t>
      </w:r>
      <w:r>
        <w:rPr>
          <w:lang w:val="en-US" w:eastAsia="en-US" w:bidi="en-US"/>
        </w:rPr>
        <w:t xml:space="preserve">IT </w:t>
      </w:r>
      <w:r>
        <w:t xml:space="preserve">řešení a Obsahu </w:t>
      </w:r>
      <w:r>
        <w:rPr>
          <w:lang w:val="en-US" w:eastAsia="en-US" w:bidi="en-US"/>
        </w:rPr>
        <w:t>ROCHE.</w:t>
      </w:r>
    </w:p>
    <w:p w:rsidR="00855A23" w:rsidRDefault="00AB4B35">
      <w:pPr>
        <w:pStyle w:val="Zkladntext1"/>
        <w:numPr>
          <w:ilvl w:val="1"/>
          <w:numId w:val="1"/>
        </w:numPr>
        <w:shd w:val="clear" w:color="auto" w:fill="auto"/>
        <w:tabs>
          <w:tab w:val="left" w:pos="759"/>
        </w:tabs>
        <w:spacing w:after="420"/>
        <w:ind w:firstLine="320"/>
        <w:jc w:val="both"/>
      </w:pPr>
      <w:r>
        <w:rPr>
          <w:u w:val="single"/>
        </w:rPr>
        <w:t>Proces</w:t>
      </w:r>
      <w:r>
        <w:t>. Povinnosti smluvní strany podle článku 13.1 nebo 13.2 (podle toho, co je relevantní) jsou podmíněny tím, že odškodňovaná strana („</w:t>
      </w:r>
      <w:r>
        <w:rPr>
          <w:b/>
          <w:bCs/>
        </w:rPr>
        <w:t>Odškodňovaný'</w:t>
      </w:r>
      <w:r>
        <w:t>) poskytne odškodňující straně („</w:t>
      </w:r>
      <w:proofErr w:type="gramStart"/>
      <w:r>
        <w:rPr>
          <w:b/>
          <w:bCs/>
        </w:rPr>
        <w:t>Odškodňující</w:t>
      </w:r>
      <w:r>
        <w:t>“) (i) neprodlené</w:t>
      </w:r>
      <w:proofErr w:type="gramEnd"/>
      <w:r>
        <w:t xml:space="preserve"> písemné oznámení o jakémkoli nároku třetí strany za předpokladu, že neoznámení nezbavuje Odškodňujícího odpovědnosti za odškodnění, s výjimkou rozsahu, v jakém je Odškodňovaný neposkytnutím neprodleného oznámení podstatně poškozen, (</w:t>
      </w:r>
      <w:proofErr w:type="spellStart"/>
      <w:r>
        <w:t>ii</w:t>
      </w:r>
      <w:proofErr w:type="spellEnd"/>
      <w:r>
        <w:t>) výhradní kontrolu nad obhajobou před nárokem a jakýmikoliv souvisejícími jednáními o dohodě a medializací nároků a obvinění, za předpokladu, že Odškodňující neuzavře žádnou dohodu o vyrovnání, která by ukládala povinnosti nebo omezení Odškodňovanému (kromě povinností Odškodňujícího zaplatit peněžní prostředky), bez předchozího písemného souhlasu Odškodňovaného, přičemž tento souhlas nesmí být bezdůvodně odepřen, odložen nebo podmíněn, a (</w:t>
      </w:r>
      <w:proofErr w:type="spellStart"/>
      <w:r>
        <w:t>iii</w:t>
      </w:r>
      <w:proofErr w:type="spellEnd"/>
      <w:r>
        <w:t>) přiměřenou spolupráci při takové obhajobě nebo dohodě na náklady Odškodňujícího. Odškodňovaný přijme přiměřená opatření ke zmírnění veškerých nákladů a škod, které mohou vzniknout v souvislosti s jakýmkoli nárokem, na který se vztahuje článek 13.1 nebo 13.2 (podle toho, co je relevantní), a bez předchozího písemného souhlasu Odškodňujícího neuzavře v souvislosti s jakýmkoli obdobným nárokem dohodu o smíru nebo vyrovnání. Odškodňující bude zproštěn svých povinností podle článku 13.1 nebo 13.2 (podle toho, co je relevantní) v rozsahu, v jakém nárok třetí strany vznikl, souvisí nebo by mu bylo zabráněno, pokud by nedošlo k nedbalosti, úmyslnému pochybení nebo porušení této Smlouvy ze strany Odškodňovaného. Strana, která nemá kontrolu, se může (na vlastní náklady) účastnit obhajoby a dohody o vyrovnání s vlastním právním zástupcem. Odškodňovaný může převzít kontrolu nad obhajobou, pokud Odškodňující nepřevezme kontrolu nad obhajobou do třiceti (30) dnů poté, co obdrží písemné oznámení o příslušném nároku třetí strany.</w:t>
      </w:r>
    </w:p>
    <w:p w:rsidR="00855A23" w:rsidRDefault="00AB4B35">
      <w:pPr>
        <w:pStyle w:val="Nadpis50"/>
        <w:keepNext/>
        <w:keepLines/>
        <w:numPr>
          <w:ilvl w:val="0"/>
          <w:numId w:val="1"/>
        </w:numPr>
        <w:shd w:val="clear" w:color="auto" w:fill="auto"/>
        <w:tabs>
          <w:tab w:val="left" w:pos="361"/>
        </w:tabs>
        <w:jc w:val="both"/>
      </w:pPr>
      <w:bookmarkStart w:id="30" w:name="bookmark32"/>
      <w:bookmarkStart w:id="31" w:name="bookmark33"/>
      <w:r>
        <w:t>Důvěrnost</w:t>
      </w:r>
      <w:bookmarkEnd w:id="30"/>
      <w:bookmarkEnd w:id="31"/>
    </w:p>
    <w:p w:rsidR="00855A23" w:rsidRDefault="00AB4B35">
      <w:pPr>
        <w:pStyle w:val="Zkladntext1"/>
        <w:numPr>
          <w:ilvl w:val="1"/>
          <w:numId w:val="1"/>
        </w:numPr>
        <w:shd w:val="clear" w:color="auto" w:fill="auto"/>
        <w:tabs>
          <w:tab w:val="left" w:pos="759"/>
        </w:tabs>
        <w:spacing w:after="120"/>
        <w:ind w:firstLine="320"/>
        <w:jc w:val="both"/>
      </w:pPr>
      <w:r>
        <w:rPr>
          <w:u w:val="single"/>
        </w:rPr>
        <w:t>Povinnost mlčenlivosti</w:t>
      </w:r>
      <w:r>
        <w:t>. Pokud není v této Smlouvě nebo v jakékoli Objednávce výslovně stanoveno jinak, obě strany se dohodly, že po Dobu platnosti této Smlouvy a po dobu pěti (5) let po jejím skončení:</w:t>
      </w:r>
    </w:p>
    <w:p w:rsidR="00855A23" w:rsidRDefault="00AB4B35">
      <w:pPr>
        <w:pStyle w:val="Zkladntext1"/>
        <w:numPr>
          <w:ilvl w:val="0"/>
          <w:numId w:val="3"/>
        </w:numPr>
        <w:shd w:val="clear" w:color="auto" w:fill="auto"/>
        <w:tabs>
          <w:tab w:val="left" w:pos="295"/>
        </w:tabs>
        <w:spacing w:after="0"/>
        <w:jc w:val="both"/>
      </w:pPr>
      <w:r>
        <w:t>budou zachovávat důvěrnost a neposkytovat žádné Důvěrné informace sdělující strany žádným osobám s výjimkou zaměstnanců, zástupců, poradců, prodejců nebo Přidružených společností přijímající strany, kteří potřebují znát Důvěrné informace pro účely Smlouvy a jakékoli Objednávky, kteří jsou seznámeni s důvěrností Důvěrných informací a kteří mají obdobné závazky důvěrnosti a nepoužívání;</w:t>
      </w:r>
    </w:p>
    <w:p w:rsidR="00855A23" w:rsidRDefault="00AB4B35">
      <w:pPr>
        <w:pStyle w:val="Zkladntext1"/>
        <w:numPr>
          <w:ilvl w:val="0"/>
          <w:numId w:val="3"/>
        </w:numPr>
        <w:shd w:val="clear" w:color="auto" w:fill="auto"/>
        <w:tabs>
          <w:tab w:val="left" w:pos="318"/>
        </w:tabs>
        <w:spacing w:after="0"/>
        <w:jc w:val="both"/>
      </w:pPr>
      <w:r>
        <w:t>nebudou užívat ani napodobovat Důvěrné informace, zejména prostřednictvím zpětné analýzy, mimo účel Smlouvy a jakékoli Objednávky;</w:t>
      </w:r>
    </w:p>
    <w:p w:rsidR="00855A23" w:rsidRDefault="00AB4B35">
      <w:pPr>
        <w:pStyle w:val="Zkladntext1"/>
        <w:numPr>
          <w:ilvl w:val="0"/>
          <w:numId w:val="3"/>
        </w:numPr>
        <w:shd w:val="clear" w:color="auto" w:fill="auto"/>
        <w:tabs>
          <w:tab w:val="left" w:pos="351"/>
        </w:tabs>
        <w:spacing w:after="0"/>
        <w:jc w:val="both"/>
      </w:pPr>
      <w:r>
        <w:t>nebudou kopírovat, vyhotovovat písemné podoby ani jinak zaznamenávat Důvěrné informace, s výjimkou případů, kdy je to nezbytně nutné pro účely Smlouvy a jakékoli Objednávky; veškeré takové kopie, písemná vyhotovení a záznamy jsou majetkem sdělující strany; a</w:t>
      </w:r>
    </w:p>
    <w:p w:rsidR="00855A23" w:rsidRDefault="00AB4B35">
      <w:pPr>
        <w:pStyle w:val="Zkladntext1"/>
        <w:numPr>
          <w:ilvl w:val="0"/>
          <w:numId w:val="3"/>
        </w:numPr>
        <w:shd w:val="clear" w:color="auto" w:fill="auto"/>
        <w:tabs>
          <w:tab w:val="left" w:pos="361"/>
        </w:tabs>
        <w:spacing w:after="240"/>
        <w:jc w:val="both"/>
      </w:pPr>
      <w:r>
        <w:t>budou zachovávat mlčenlivost o existenci a podmínkách Smlouvy a jakékoli Objednávky a tyto nezveřejňovat, vyjma povinnosti uveřejnit Smlouvu a Objednávky v souladu se zákonem č. 340/2015 Sb., o zvláštních podmínkách účinnosti některých smluv, uveřejňování těchto smluv a o registru smluv (zákon o registru smluv), ve znění pozdějších předpisů</w:t>
      </w:r>
    </w:p>
    <w:p w:rsidR="00855A23" w:rsidRDefault="00AB4B35">
      <w:pPr>
        <w:pStyle w:val="Zkladntext1"/>
        <w:numPr>
          <w:ilvl w:val="1"/>
          <w:numId w:val="1"/>
        </w:numPr>
        <w:shd w:val="clear" w:color="auto" w:fill="auto"/>
        <w:tabs>
          <w:tab w:val="left" w:pos="766"/>
        </w:tabs>
        <w:spacing w:after="120"/>
        <w:ind w:firstLine="300"/>
        <w:jc w:val="both"/>
      </w:pPr>
      <w:r>
        <w:rPr>
          <w:u w:val="single"/>
        </w:rPr>
        <w:t>Výjimky.</w:t>
      </w:r>
      <w:r>
        <w:t xml:space="preserve"> Povinnosti definované v článku 14.1 se nevztahují na informace, u nichž je přijímající strana schopna prokázat, že</w:t>
      </w:r>
    </w:p>
    <w:p w:rsidR="00855A23" w:rsidRDefault="00AB4B35">
      <w:pPr>
        <w:pStyle w:val="Zkladntext1"/>
        <w:numPr>
          <w:ilvl w:val="0"/>
          <w:numId w:val="4"/>
        </w:numPr>
        <w:shd w:val="clear" w:color="auto" w:fill="auto"/>
        <w:tabs>
          <w:tab w:val="left" w:pos="295"/>
        </w:tabs>
        <w:spacing w:after="0"/>
        <w:jc w:val="both"/>
      </w:pPr>
      <w:r>
        <w:t>byly v oprávněném držení přijímající strany před jejím zveřejněním sdělující stranou;</w:t>
      </w:r>
    </w:p>
    <w:p w:rsidR="00855A23" w:rsidRDefault="00AB4B35">
      <w:pPr>
        <w:pStyle w:val="Zkladntext1"/>
        <w:numPr>
          <w:ilvl w:val="0"/>
          <w:numId w:val="4"/>
        </w:numPr>
        <w:shd w:val="clear" w:color="auto" w:fill="auto"/>
        <w:tabs>
          <w:tab w:val="left" w:pos="318"/>
        </w:tabs>
        <w:spacing w:after="0"/>
        <w:jc w:val="both"/>
      </w:pPr>
      <w:r>
        <w:t>jsou nebo se později bez zavinění přijímající strany stanou veřejně dostupnými;</w:t>
      </w:r>
    </w:p>
    <w:p w:rsidR="00855A23" w:rsidRDefault="00AB4B35">
      <w:pPr>
        <w:pStyle w:val="Zkladntext1"/>
        <w:numPr>
          <w:ilvl w:val="0"/>
          <w:numId w:val="4"/>
        </w:numPr>
        <w:shd w:val="clear" w:color="auto" w:fill="auto"/>
        <w:tabs>
          <w:tab w:val="left" w:pos="351"/>
        </w:tabs>
        <w:spacing w:after="0"/>
        <w:jc w:val="both"/>
      </w:pPr>
      <w:r>
        <w:t>je přijímající strana oprávněně obdržela od třetí strany bez povinnosti mlčenlivosti;</w:t>
      </w:r>
    </w:p>
    <w:p w:rsidR="00855A23" w:rsidRDefault="00AB4B35">
      <w:pPr>
        <w:pStyle w:val="Zkladntext1"/>
        <w:numPr>
          <w:ilvl w:val="0"/>
          <w:numId w:val="4"/>
        </w:numPr>
        <w:shd w:val="clear" w:color="auto" w:fill="auto"/>
        <w:tabs>
          <w:tab w:val="left" w:pos="361"/>
        </w:tabs>
        <w:spacing w:after="0"/>
        <w:jc w:val="both"/>
      </w:pPr>
      <w:r>
        <w:t>jsou nezávisle vyvinuty zaměstnanci, zástupci, prodejci, konzultanty nebo přidruženými společnostmi přijímající strany;</w:t>
      </w:r>
    </w:p>
    <w:p w:rsidR="00855A23" w:rsidRDefault="00AB4B35">
      <w:pPr>
        <w:pStyle w:val="Zkladntext1"/>
        <w:numPr>
          <w:ilvl w:val="0"/>
          <w:numId w:val="4"/>
        </w:numPr>
        <w:shd w:val="clear" w:color="auto" w:fill="auto"/>
        <w:tabs>
          <w:tab w:val="left" w:pos="361"/>
        </w:tabs>
        <w:spacing w:after="0"/>
        <w:ind w:left="300" w:hanging="300"/>
        <w:jc w:val="both"/>
      </w:pPr>
      <w:r>
        <w:t>jsou zveřejněny na základě příkazu nebo požadavku soudu, správního orgánu nebo jiného státního orgánu, avšak za předpokladu, že strana, na kterou se tento příkaz nebo požadavek vztahuje, o něm neprodleně informuje druhou stranu, aby mohla požádat o vydání ochranného příkazu nebo jinak zabránit tomuto zveřejnění či je jinak omezit, a omezí zveřejnění Důvěrných informací na nejmenší možnou míru; nebo</w:t>
      </w:r>
    </w:p>
    <w:p w:rsidR="00855A23" w:rsidRDefault="00AB4B35">
      <w:pPr>
        <w:pStyle w:val="Zkladntext1"/>
        <w:numPr>
          <w:ilvl w:val="0"/>
          <w:numId w:val="4"/>
        </w:numPr>
        <w:shd w:val="clear" w:color="auto" w:fill="auto"/>
        <w:tabs>
          <w:tab w:val="left" w:pos="361"/>
        </w:tabs>
        <w:spacing w:after="120"/>
        <w:jc w:val="both"/>
      </w:pPr>
      <w:r>
        <w:t>sdělující strana písemně souhlasila s tím, že tyto informace nejsou důvěrné.</w:t>
      </w:r>
    </w:p>
    <w:p w:rsidR="00855A23" w:rsidRDefault="00AB4B35">
      <w:pPr>
        <w:pStyle w:val="Zkladntext1"/>
        <w:numPr>
          <w:ilvl w:val="1"/>
          <w:numId w:val="1"/>
        </w:numPr>
        <w:shd w:val="clear" w:color="auto" w:fill="auto"/>
        <w:tabs>
          <w:tab w:val="left" w:pos="764"/>
        </w:tabs>
        <w:spacing w:after="120"/>
        <w:ind w:firstLine="320"/>
        <w:jc w:val="both"/>
      </w:pPr>
      <w:r>
        <w:rPr>
          <w:u w:val="single"/>
        </w:rPr>
        <w:t>Vhodná opatření</w:t>
      </w:r>
      <w:r>
        <w:t>. Přijímající strana je povinna chránit Důvěrné informace technickými, organizačními a právními opatřeními odpovídajícími jejich hodnotě, minimálně však opatřeními, která přijímající strana uplatňuje na své vlastní důvěrné informace srovnatelné hodnoty.</w:t>
      </w:r>
    </w:p>
    <w:p w:rsidR="00855A23" w:rsidRDefault="00AB4B35">
      <w:pPr>
        <w:pStyle w:val="Zkladntext1"/>
        <w:numPr>
          <w:ilvl w:val="1"/>
          <w:numId w:val="1"/>
        </w:numPr>
        <w:shd w:val="clear" w:color="auto" w:fill="auto"/>
        <w:tabs>
          <w:tab w:val="left" w:pos="764"/>
        </w:tabs>
        <w:spacing w:after="120"/>
        <w:ind w:firstLine="320"/>
        <w:jc w:val="both"/>
      </w:pPr>
      <w:r>
        <w:rPr>
          <w:u w:val="single"/>
        </w:rPr>
        <w:t>Vrácení nebo zničení.</w:t>
      </w:r>
      <w:r>
        <w:t xml:space="preserve"> Na zvláštní žádost poskytující strany a za předpokladu dodržení podmínek uvedených v této Smlouvě a v jakékoli Objednávce přijímající strana vrátí nebo zničí veškeré Důvěrné informace, které obdržela od poskytující strany, včetně všech jejich kopií, a to ve lhůtě deseti (10) pracovních dnů od žádosti, s výjimkou důvěrných informací, které (i) je přijímající strana povinna uchovávat ze zákona nebo (</w:t>
      </w:r>
      <w:proofErr w:type="spellStart"/>
      <w:r>
        <w:t>ii</w:t>
      </w:r>
      <w:proofErr w:type="spellEnd"/>
      <w:r>
        <w:t>) které nelze technicky vymazat z důvodu automatických elektronických zálohovacích postupů. Na žádost sdělující strany je přijímající strana povinna písemně potvrdit splnění výše uvedených povinností.</w:t>
      </w:r>
    </w:p>
    <w:p w:rsidR="00AB1033" w:rsidRDefault="00AB1033" w:rsidP="00AB1033">
      <w:pPr>
        <w:pStyle w:val="Zkladntext1"/>
        <w:shd w:val="clear" w:color="auto" w:fill="auto"/>
        <w:tabs>
          <w:tab w:val="left" w:pos="764"/>
        </w:tabs>
        <w:spacing w:after="120"/>
        <w:jc w:val="both"/>
      </w:pPr>
    </w:p>
    <w:p w:rsidR="00AB1033" w:rsidRDefault="00AB1033" w:rsidP="00AB1033">
      <w:pPr>
        <w:pStyle w:val="Zkladntext1"/>
        <w:shd w:val="clear" w:color="auto" w:fill="auto"/>
        <w:tabs>
          <w:tab w:val="left" w:pos="764"/>
        </w:tabs>
        <w:spacing w:after="120"/>
        <w:jc w:val="both"/>
      </w:pPr>
    </w:p>
    <w:p w:rsidR="00AB1033" w:rsidRDefault="00AB1033" w:rsidP="00AB1033">
      <w:pPr>
        <w:pStyle w:val="Zkladntext1"/>
        <w:shd w:val="clear" w:color="auto" w:fill="auto"/>
        <w:tabs>
          <w:tab w:val="left" w:pos="764"/>
        </w:tabs>
        <w:spacing w:after="120"/>
        <w:jc w:val="both"/>
      </w:pPr>
    </w:p>
    <w:p w:rsidR="00AB1033" w:rsidRDefault="00AB1033" w:rsidP="00AB1033">
      <w:pPr>
        <w:pStyle w:val="Zkladntext1"/>
        <w:shd w:val="clear" w:color="auto" w:fill="auto"/>
        <w:tabs>
          <w:tab w:val="left" w:pos="764"/>
        </w:tabs>
        <w:spacing w:after="120"/>
        <w:jc w:val="both"/>
      </w:pPr>
    </w:p>
    <w:p w:rsidR="00AB1033" w:rsidRDefault="00AB1033" w:rsidP="00AB1033">
      <w:pPr>
        <w:pStyle w:val="Zkladntext1"/>
        <w:shd w:val="clear" w:color="auto" w:fill="auto"/>
        <w:tabs>
          <w:tab w:val="left" w:pos="764"/>
        </w:tabs>
        <w:spacing w:after="120"/>
        <w:jc w:val="both"/>
      </w:pPr>
    </w:p>
    <w:p w:rsidR="00AB1033" w:rsidRDefault="00AB1033" w:rsidP="00AB1033">
      <w:pPr>
        <w:pStyle w:val="Zkladntext1"/>
        <w:shd w:val="clear" w:color="auto" w:fill="auto"/>
        <w:tabs>
          <w:tab w:val="left" w:pos="764"/>
        </w:tabs>
        <w:spacing w:after="120"/>
        <w:jc w:val="both"/>
      </w:pPr>
    </w:p>
    <w:p w:rsidR="00855A23" w:rsidRDefault="00AB4B35">
      <w:pPr>
        <w:pStyle w:val="Zkladntext1"/>
        <w:numPr>
          <w:ilvl w:val="1"/>
          <w:numId w:val="1"/>
        </w:numPr>
        <w:shd w:val="clear" w:color="auto" w:fill="auto"/>
        <w:tabs>
          <w:tab w:val="left" w:pos="764"/>
        </w:tabs>
        <w:ind w:firstLine="320"/>
        <w:jc w:val="both"/>
      </w:pPr>
      <w:r>
        <w:rPr>
          <w:u w:val="single"/>
        </w:rPr>
        <w:lastRenderedPageBreak/>
        <w:t>Neexistence záruk.</w:t>
      </w:r>
      <w:r>
        <w:t xml:space="preserve"> Tato Smlouva neobsahuje žádné prohlášení ani záruku ohledně úplnosti nebo přesnosti Důvěrných informací a žádná ze stran nemá vůči druhé straně žádnou takovou odpovědnost, ledaže by takové prohlášení nebo záruka byly výslovně uvedeny v samostatné písemné dohodě.</w:t>
      </w:r>
    </w:p>
    <w:p w:rsidR="00855A23" w:rsidRDefault="00AB4B35">
      <w:pPr>
        <w:pStyle w:val="Zkladntext1"/>
        <w:numPr>
          <w:ilvl w:val="1"/>
          <w:numId w:val="1"/>
        </w:numPr>
        <w:shd w:val="clear" w:color="auto" w:fill="auto"/>
        <w:tabs>
          <w:tab w:val="left" w:pos="754"/>
        </w:tabs>
        <w:spacing w:after="420"/>
        <w:ind w:firstLine="320"/>
        <w:jc w:val="both"/>
      </w:pPr>
      <w:r>
        <w:rPr>
          <w:u w:val="single"/>
        </w:rPr>
        <w:t>Další osoby</w:t>
      </w:r>
      <w:r>
        <w:t>. Smluvní strany zabezpečí, aby se tato povinnost mlčenlivosti vztahovala i na všechny osoby, které poskytují Služby.</w:t>
      </w:r>
    </w:p>
    <w:p w:rsidR="00855A23" w:rsidRDefault="00AB4B35">
      <w:pPr>
        <w:pStyle w:val="Nadpis50"/>
        <w:keepNext/>
        <w:keepLines/>
        <w:numPr>
          <w:ilvl w:val="0"/>
          <w:numId w:val="1"/>
        </w:numPr>
        <w:shd w:val="clear" w:color="auto" w:fill="auto"/>
        <w:tabs>
          <w:tab w:val="left" w:pos="361"/>
        </w:tabs>
        <w:spacing w:after="100"/>
        <w:jc w:val="both"/>
      </w:pPr>
      <w:bookmarkStart w:id="32" w:name="bookmark34"/>
      <w:bookmarkStart w:id="33" w:name="bookmark35"/>
      <w:r>
        <w:t>Další ustanovení</w:t>
      </w:r>
      <w:bookmarkEnd w:id="32"/>
      <w:bookmarkEnd w:id="33"/>
    </w:p>
    <w:p w:rsidR="00855A23" w:rsidRDefault="00AB4B35">
      <w:pPr>
        <w:pStyle w:val="Zkladntext1"/>
        <w:numPr>
          <w:ilvl w:val="1"/>
          <w:numId w:val="1"/>
        </w:numPr>
        <w:shd w:val="clear" w:color="auto" w:fill="auto"/>
        <w:tabs>
          <w:tab w:val="left" w:pos="764"/>
        </w:tabs>
        <w:ind w:firstLine="320"/>
        <w:jc w:val="both"/>
      </w:pPr>
      <w:r>
        <w:rPr>
          <w:u w:val="single"/>
        </w:rPr>
        <w:t>Zveřejnění</w:t>
      </w:r>
      <w:r>
        <w:t xml:space="preserve">. Společnost </w:t>
      </w:r>
      <w:r>
        <w:rPr>
          <w:lang w:val="en-US" w:eastAsia="en-US" w:bidi="en-US"/>
        </w:rPr>
        <w:t xml:space="preserve">ROCHE </w:t>
      </w:r>
      <w:r>
        <w:t xml:space="preserve">může uvést jméno a logo ZÁKAZNÍKA na svém seznamu ZÁKAZNÍKŮ a v tiskové zprávě oznamující výběr společnosti </w:t>
      </w:r>
      <w:r>
        <w:rPr>
          <w:lang w:val="en-US" w:eastAsia="en-US" w:bidi="en-US"/>
        </w:rPr>
        <w:t xml:space="preserve">ROCHE </w:t>
      </w:r>
      <w:r>
        <w:t>jako poskytovatele Služeb pro ZÁKAZNÍKA, přičemž vždy po kontrole a schválení ZÁKAZNÍKA z hlediska dodržování jeho pokynů pro používání ochranných známek. ZÁKAZNÍK nesmí bez předchozího písemného souhlasu společnosti ROCHE používat její jméno nebo ochranné známky, ani přímo či nepřímo odkazovat na tuto Smlouvu nebo závazky z ní vyplývající nebo je zveřejňovat.</w:t>
      </w:r>
    </w:p>
    <w:p w:rsidR="00855A23" w:rsidRDefault="00AB4B35">
      <w:pPr>
        <w:pStyle w:val="Zkladntext1"/>
        <w:numPr>
          <w:ilvl w:val="1"/>
          <w:numId w:val="1"/>
        </w:numPr>
        <w:shd w:val="clear" w:color="auto" w:fill="auto"/>
        <w:tabs>
          <w:tab w:val="left" w:pos="759"/>
        </w:tabs>
        <w:ind w:firstLine="320"/>
        <w:jc w:val="both"/>
      </w:pPr>
      <w:r>
        <w:rPr>
          <w:u w:val="single"/>
        </w:rPr>
        <w:t>Rozhodné právo.</w:t>
      </w:r>
      <w:r>
        <w:t xml:space="preserve"> Tato Smlouva a případně jakékoli další vztahy z ní vyplývající, se řídí právním řádem České republiky a vykládají se v souladu s ním.</w:t>
      </w:r>
    </w:p>
    <w:p w:rsidR="00855A23" w:rsidRDefault="00AB4B35">
      <w:pPr>
        <w:pStyle w:val="Zkladntext1"/>
        <w:numPr>
          <w:ilvl w:val="1"/>
          <w:numId w:val="1"/>
        </w:numPr>
        <w:shd w:val="clear" w:color="auto" w:fill="auto"/>
        <w:tabs>
          <w:tab w:val="left" w:pos="764"/>
        </w:tabs>
        <w:ind w:firstLine="320"/>
        <w:jc w:val="both"/>
      </w:pPr>
      <w:r>
        <w:rPr>
          <w:u w:val="single"/>
        </w:rPr>
        <w:t>Dodržování Platných právních předpisů</w:t>
      </w:r>
      <w:r>
        <w:t xml:space="preserve">. Každá strana je povinna dodržovat a podávat veškerá oznámení jakémukoli státnímu orgánu vyžadovaná všemi Platnými právními předpisy, které se vztahují na používání </w:t>
      </w:r>
      <w:r>
        <w:rPr>
          <w:lang w:val="en-US" w:eastAsia="en-US" w:bidi="en-US"/>
        </w:rPr>
        <w:t xml:space="preserve">IT </w:t>
      </w:r>
      <w:r>
        <w:t>řešení a Služeb a plnění Smlouvy touto stranou. ZÁKAZNÍK je povinen informovat společnost ROCHE, pokud se dozví o jakémkoli nedodržení Platných právních předpisů, a podniknout veškerá vhodná opatření nezbytná k dodržení těchto Platných právních předpisů. Společnost ROCHE může ukončit tuto Smlouvu a jakoukoli platnou Objednávku, pokud se dodržování Platných právních předpisů stane obtížným, a v takovém případě vrátí ZÁKAZNÍKOVI veškeré předem zaplacené částky za nevyužitá IT řešení nebo Služby, a to v poměrné výši ke dni ukončení Smlouvy.</w:t>
      </w:r>
    </w:p>
    <w:p w:rsidR="00855A23" w:rsidRDefault="00AB4B35">
      <w:pPr>
        <w:pStyle w:val="Zkladntext1"/>
        <w:numPr>
          <w:ilvl w:val="1"/>
          <w:numId w:val="1"/>
        </w:numPr>
        <w:shd w:val="clear" w:color="auto" w:fill="auto"/>
        <w:tabs>
          <w:tab w:val="left" w:pos="774"/>
        </w:tabs>
        <w:ind w:firstLine="320"/>
        <w:jc w:val="both"/>
      </w:pPr>
      <w:r>
        <w:rPr>
          <w:u w:val="single"/>
        </w:rPr>
        <w:t>Úplná dohoda; změny</w:t>
      </w:r>
      <w:r>
        <w:t>. Tato Smlouva nahrazuje všechny předchozí rozhovory a písemnosti týkající se předmětu této Smlouvy a představuje úplnou dohodu mezi stranami ohledně jejího předmětu. Pro vyloučení pochybností je tato Smlouva platná, jakmile ji obě strany uzavřou, i když není uzavřena žádná Objednávka. Účinnosti pak nabývá dnem uveřejnění v informačním systému veřejné správy - Registru smluv.</w:t>
      </w:r>
    </w:p>
    <w:p w:rsidR="00855A23" w:rsidRDefault="00AB4B35">
      <w:pPr>
        <w:pStyle w:val="Zkladntext1"/>
        <w:numPr>
          <w:ilvl w:val="1"/>
          <w:numId w:val="1"/>
        </w:numPr>
        <w:shd w:val="clear" w:color="auto" w:fill="auto"/>
        <w:tabs>
          <w:tab w:val="left" w:pos="754"/>
        </w:tabs>
        <w:ind w:firstLine="320"/>
        <w:jc w:val="both"/>
      </w:pPr>
      <w:r>
        <w:rPr>
          <w:u w:val="single"/>
        </w:rPr>
        <w:t>Oddělitelnost ustanovení</w:t>
      </w:r>
      <w:r>
        <w:t>. Pokud bude některé ustanovení této Smlouvy z jakéhokoli důvodu v jakémkoliv ohledu shledáno neplatným, nezákonným nebo nevymahatelným podle Platných právních předpisů, pak tato neplatnost, nezákonnost nebo nevymahatelnost nebude mít vliv na ostatní ustanovení této Smlouvy, tato Smlouva bude vykládána tak, jako by toto neplatné, nezákonné nebo nevymahatelné ustanovení bylo z této Smlouvy vyloučeno, a soud může podle svého uvážení nahradit vyloučené ustanovení vymahatelným ustanovením, které se svou ekonomickou podstatou přiměřeně blíží vyloučenému ustanovení.</w:t>
      </w:r>
    </w:p>
    <w:p w:rsidR="00855A23" w:rsidRDefault="00AB4B35">
      <w:pPr>
        <w:pStyle w:val="Zkladntext1"/>
        <w:numPr>
          <w:ilvl w:val="1"/>
          <w:numId w:val="1"/>
        </w:numPr>
        <w:shd w:val="clear" w:color="auto" w:fill="auto"/>
        <w:tabs>
          <w:tab w:val="left" w:pos="774"/>
        </w:tabs>
        <w:ind w:firstLine="320"/>
        <w:jc w:val="both"/>
      </w:pPr>
      <w:r>
        <w:rPr>
          <w:u w:val="single"/>
        </w:rPr>
        <w:t xml:space="preserve">Vzdaní </w:t>
      </w:r>
      <w:proofErr w:type="gramStart"/>
      <w:r>
        <w:rPr>
          <w:u w:val="single"/>
        </w:rPr>
        <w:t>se</w:t>
      </w:r>
      <w:proofErr w:type="gramEnd"/>
      <w:r>
        <w:rPr>
          <w:u w:val="single"/>
        </w:rPr>
        <w:t xml:space="preserve"> práv</w:t>
      </w:r>
      <w:r>
        <w:t>. Zřeknutí se nároků jedné ze stran vyplývajících z porušení nebo neplnění některého ustanovení této Smlouvy druhou stranou nebude vykládáno jako zřeknutí se nároků z jakéhokoli následného porušení nebo nedodržení téhož nebo jiného ustanovení druhou stranou.</w:t>
      </w:r>
    </w:p>
    <w:p w:rsidR="00855A23" w:rsidRDefault="00AB4B35">
      <w:pPr>
        <w:pStyle w:val="Zkladntext1"/>
        <w:numPr>
          <w:ilvl w:val="1"/>
          <w:numId w:val="1"/>
        </w:numPr>
        <w:shd w:val="clear" w:color="auto" w:fill="auto"/>
        <w:tabs>
          <w:tab w:val="left" w:pos="764"/>
        </w:tabs>
        <w:ind w:firstLine="320"/>
        <w:jc w:val="both"/>
      </w:pPr>
      <w:r>
        <w:rPr>
          <w:u w:val="single"/>
        </w:rPr>
        <w:t>Postoupení.</w:t>
      </w:r>
      <w:r>
        <w:t xml:space="preserve"> Žádná ze stran nepostoupí, nedeleguje ani jinak nepřevede (dobrovolně, ze zákona ani jinak) tuto Smlouvu ani žádná ze svých práv či povinností vyplývajících z této Smlouvy bez předchozího písemného souhlasu druhé strany; společnost </w:t>
      </w:r>
      <w:r>
        <w:rPr>
          <w:lang w:val="en-US" w:eastAsia="en-US" w:bidi="en-US"/>
        </w:rPr>
        <w:t xml:space="preserve">ROCHE </w:t>
      </w:r>
      <w:r>
        <w:t xml:space="preserve">však může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postoupit</w:t>
      </w:r>
      <w:proofErr w:type="spellEnd"/>
      <w:r>
        <w:rPr>
          <w:lang w:val="en-US" w:eastAsia="en-US" w:bidi="en-US"/>
        </w:rPr>
        <w:t xml:space="preserve"> bez </w:t>
      </w:r>
      <w:r>
        <w:t xml:space="preserve">písemného </w:t>
      </w:r>
      <w:proofErr w:type="spellStart"/>
      <w:r>
        <w:rPr>
          <w:lang w:val="en-US" w:eastAsia="en-US" w:bidi="en-US"/>
        </w:rPr>
        <w:t>souhlasu</w:t>
      </w:r>
      <w:proofErr w:type="spellEnd"/>
      <w:r>
        <w:rPr>
          <w:lang w:val="en-US" w:eastAsia="en-US" w:bidi="en-US"/>
        </w:rPr>
        <w:t xml:space="preserve"> </w:t>
      </w:r>
      <w:r>
        <w:t xml:space="preserve">ZÁKAZNÍKA </w:t>
      </w:r>
      <w:proofErr w:type="spellStart"/>
      <w:r>
        <w:rPr>
          <w:lang w:val="en-US" w:eastAsia="en-US" w:bidi="en-US"/>
        </w:rPr>
        <w:t>na</w:t>
      </w:r>
      <w:proofErr w:type="spellEnd"/>
      <w:r>
        <w:rPr>
          <w:lang w:val="en-US" w:eastAsia="en-US" w:bidi="en-US"/>
        </w:rPr>
        <w:t xml:space="preserve"> </w:t>
      </w:r>
      <w:r>
        <w:t xml:space="preserve">Přidruženou společnost </w:t>
      </w:r>
      <w:proofErr w:type="spellStart"/>
      <w:r>
        <w:rPr>
          <w:lang w:val="en-US" w:eastAsia="en-US" w:bidi="en-US"/>
        </w:rPr>
        <w:t>nebo</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jakýkoli </w:t>
      </w:r>
      <w:proofErr w:type="spellStart"/>
      <w:r>
        <w:rPr>
          <w:lang w:val="en-US" w:eastAsia="en-US" w:bidi="en-US"/>
        </w:rPr>
        <w:t>subjekt</w:t>
      </w:r>
      <w:proofErr w:type="spellEnd"/>
      <w:r>
        <w:rPr>
          <w:lang w:val="en-US" w:eastAsia="en-US" w:bidi="en-US"/>
        </w:rPr>
        <w:t xml:space="preserve">, se </w:t>
      </w:r>
      <w:r>
        <w:t xml:space="preserve">kterým </w:t>
      </w:r>
      <w:r>
        <w:rPr>
          <w:lang w:val="en-US" w:eastAsia="en-US" w:bidi="en-US"/>
        </w:rPr>
        <w:t xml:space="preserve">se </w:t>
      </w:r>
      <w:r>
        <w:t xml:space="preserve">společnost </w:t>
      </w:r>
      <w:r>
        <w:rPr>
          <w:lang w:val="en-US" w:eastAsia="en-US" w:bidi="en-US"/>
        </w:rPr>
        <w:t xml:space="preserve">ROCHE </w:t>
      </w:r>
      <w:r>
        <w:t xml:space="preserve">sloučí </w:t>
      </w:r>
      <w:proofErr w:type="spellStart"/>
      <w:r>
        <w:rPr>
          <w:lang w:val="en-US" w:eastAsia="en-US" w:bidi="en-US"/>
        </w:rPr>
        <w:t>nebo</w:t>
      </w:r>
      <w:proofErr w:type="spellEnd"/>
      <w:r>
        <w:rPr>
          <w:lang w:val="en-US" w:eastAsia="en-US" w:bidi="en-US"/>
        </w:rPr>
        <w:t xml:space="preserve"> </w:t>
      </w:r>
      <w:proofErr w:type="spellStart"/>
      <w:r>
        <w:rPr>
          <w:lang w:val="en-US" w:eastAsia="en-US" w:bidi="en-US"/>
        </w:rPr>
        <w:t>konsoliduje</w:t>
      </w:r>
      <w:proofErr w:type="spellEnd"/>
      <w:r>
        <w:rPr>
          <w:lang w:val="en-US" w:eastAsia="en-US" w:bidi="en-US"/>
        </w:rPr>
        <w:t xml:space="preserve"> </w:t>
      </w:r>
      <w:proofErr w:type="spellStart"/>
      <w:r>
        <w:rPr>
          <w:lang w:val="en-US" w:eastAsia="en-US" w:bidi="en-US"/>
        </w:rPr>
        <w:t>nebo</w:t>
      </w:r>
      <w:proofErr w:type="spellEnd"/>
      <w:r>
        <w:rPr>
          <w:lang w:val="en-US" w:eastAsia="en-US" w:bidi="en-US"/>
        </w:rPr>
        <w:t xml:space="preserve"> </w:t>
      </w:r>
      <w:r>
        <w:t xml:space="preserve">kterému společnost </w:t>
      </w:r>
      <w:r>
        <w:rPr>
          <w:lang w:val="en-US" w:eastAsia="en-US" w:bidi="en-US"/>
        </w:rPr>
        <w:t xml:space="preserve">ROCHE </w:t>
      </w:r>
      <w:r>
        <w:t xml:space="preserve">prodá veškerá svá </w:t>
      </w:r>
      <w:proofErr w:type="spellStart"/>
      <w:r>
        <w:rPr>
          <w:lang w:val="en-US" w:eastAsia="en-US" w:bidi="en-US"/>
        </w:rPr>
        <w:t>aktiva</w:t>
      </w:r>
      <w:proofErr w:type="spellEnd"/>
      <w:r>
        <w:rPr>
          <w:lang w:val="en-US" w:eastAsia="en-US" w:bidi="en-US"/>
        </w:rPr>
        <w:t xml:space="preserve"> </w:t>
      </w:r>
      <w:proofErr w:type="spellStart"/>
      <w:r>
        <w:rPr>
          <w:lang w:val="en-US" w:eastAsia="en-US" w:bidi="en-US"/>
        </w:rPr>
        <w:t>nebo</w:t>
      </w:r>
      <w:proofErr w:type="spellEnd"/>
      <w:r>
        <w:rPr>
          <w:lang w:val="en-US" w:eastAsia="en-US" w:bidi="en-US"/>
        </w:rPr>
        <w:t xml:space="preserve"> </w:t>
      </w:r>
      <w:proofErr w:type="spellStart"/>
      <w:r>
        <w:rPr>
          <w:lang w:val="en-US" w:eastAsia="en-US" w:bidi="en-US"/>
        </w:rPr>
        <w:t>jejich</w:t>
      </w:r>
      <w:proofErr w:type="spellEnd"/>
      <w:r>
        <w:rPr>
          <w:lang w:val="en-US" w:eastAsia="en-US" w:bidi="en-US"/>
        </w:rPr>
        <w:t xml:space="preserve"> </w:t>
      </w:r>
      <w:proofErr w:type="spellStart"/>
      <w:r>
        <w:rPr>
          <w:lang w:val="en-US" w:eastAsia="en-US" w:bidi="en-US"/>
        </w:rPr>
        <w:t>podstatnou</w:t>
      </w:r>
      <w:proofErr w:type="spellEnd"/>
      <w:r>
        <w:rPr>
          <w:lang w:val="en-US" w:eastAsia="en-US" w:bidi="en-US"/>
        </w:rPr>
        <w:t xml:space="preserve"> </w:t>
      </w:r>
      <w:r>
        <w:t xml:space="preserve">část. Jakýkoli </w:t>
      </w:r>
      <w:proofErr w:type="spellStart"/>
      <w:r>
        <w:rPr>
          <w:lang w:val="en-US" w:eastAsia="en-US" w:bidi="en-US"/>
        </w:rPr>
        <w:t>pokus</w:t>
      </w:r>
      <w:proofErr w:type="spellEnd"/>
      <w:r>
        <w:rPr>
          <w:lang w:val="en-US" w:eastAsia="en-US" w:bidi="en-US"/>
        </w:rPr>
        <w:t xml:space="preserve"> o </w:t>
      </w:r>
      <w:r>
        <w:t xml:space="preserve">postoupení </w:t>
      </w:r>
      <w:r>
        <w:rPr>
          <w:lang w:val="en-US" w:eastAsia="en-US" w:bidi="en-US"/>
        </w:rPr>
        <w:t xml:space="preserve">v </w:t>
      </w:r>
      <w:proofErr w:type="spellStart"/>
      <w:r>
        <w:rPr>
          <w:lang w:val="en-US" w:eastAsia="en-US" w:bidi="en-US"/>
        </w:rPr>
        <w:t>rozporu</w:t>
      </w:r>
      <w:proofErr w:type="spellEnd"/>
      <w:r>
        <w:rPr>
          <w:lang w:val="en-US" w:eastAsia="en-US" w:bidi="en-US"/>
        </w:rPr>
        <w:t xml:space="preserve"> s </w:t>
      </w:r>
      <w:r>
        <w:t xml:space="preserve">tímto článkem </w:t>
      </w:r>
      <w:proofErr w:type="spellStart"/>
      <w:r>
        <w:rPr>
          <w:lang w:val="en-US" w:eastAsia="en-US" w:bidi="en-US"/>
        </w:rPr>
        <w:t>bude</w:t>
      </w:r>
      <w:proofErr w:type="spellEnd"/>
      <w:r>
        <w:rPr>
          <w:lang w:val="en-US" w:eastAsia="en-US" w:bidi="en-US"/>
        </w:rPr>
        <w:t xml:space="preserve"> </w:t>
      </w:r>
      <w:r>
        <w:t xml:space="preserve">neplatný </w:t>
      </w:r>
      <w:r>
        <w:rPr>
          <w:lang w:val="en-US" w:eastAsia="en-US" w:bidi="en-US"/>
        </w:rPr>
        <w:t xml:space="preserve">a </w:t>
      </w:r>
      <w:r>
        <w:t xml:space="preserve">neúčinný. </w:t>
      </w:r>
      <w:r>
        <w:rPr>
          <w:lang w:val="en-US" w:eastAsia="en-US" w:bidi="en-US"/>
        </w:rPr>
        <w:t xml:space="preserve">S </w:t>
      </w:r>
      <w:r>
        <w:t xml:space="preserve">výhradou výše uvedeného </w:t>
      </w:r>
      <w:proofErr w:type="spellStart"/>
      <w:r>
        <w:rPr>
          <w:lang w:val="en-US" w:eastAsia="en-US" w:bidi="en-US"/>
        </w:rPr>
        <w:t>bude</w:t>
      </w:r>
      <w:proofErr w:type="spellEnd"/>
      <w:r>
        <w:rPr>
          <w:lang w:val="en-US" w:eastAsia="en-US" w:bidi="en-US"/>
        </w:rPr>
        <w:t xml:space="preserve"> </w:t>
      </w:r>
      <w:proofErr w:type="spellStart"/>
      <w:r>
        <w:rPr>
          <w:lang w:val="en-US" w:eastAsia="en-US" w:bidi="en-US"/>
        </w:rPr>
        <w:t>tato</w:t>
      </w:r>
      <w:proofErr w:type="spellEnd"/>
      <w:r>
        <w:rPr>
          <w:lang w:val="en-US" w:eastAsia="en-US" w:bidi="en-US"/>
        </w:rPr>
        <w:t xml:space="preserve"> </w:t>
      </w:r>
      <w:proofErr w:type="spellStart"/>
      <w:r>
        <w:rPr>
          <w:lang w:val="en-US" w:eastAsia="en-US" w:bidi="en-US"/>
        </w:rPr>
        <w:t>Smlouva</w:t>
      </w:r>
      <w:proofErr w:type="spellEnd"/>
      <w:r>
        <w:rPr>
          <w:lang w:val="en-US" w:eastAsia="en-US" w:bidi="en-US"/>
        </w:rPr>
        <w:t xml:space="preserve"> </w:t>
      </w:r>
      <w:proofErr w:type="spellStart"/>
      <w:r>
        <w:rPr>
          <w:lang w:val="en-US" w:eastAsia="en-US" w:bidi="en-US"/>
        </w:rPr>
        <w:t>ke</w:t>
      </w:r>
      <w:proofErr w:type="spellEnd"/>
      <w:r>
        <w:rPr>
          <w:lang w:val="en-US" w:eastAsia="en-US" w:bidi="en-US"/>
        </w:rPr>
        <w:t xml:space="preserve"> </w:t>
      </w:r>
      <w:r>
        <w:t xml:space="preserve">prospěchu </w:t>
      </w:r>
      <w:r>
        <w:rPr>
          <w:lang w:val="en-US" w:eastAsia="en-US" w:bidi="en-US"/>
        </w:rPr>
        <w:t xml:space="preserve">a </w:t>
      </w:r>
      <w:r>
        <w:t xml:space="preserve">vázat nástupce </w:t>
      </w:r>
      <w:proofErr w:type="gramStart"/>
      <w:r>
        <w:rPr>
          <w:lang w:val="en-US" w:eastAsia="en-US" w:bidi="en-US"/>
        </w:rPr>
        <w:t>a</w:t>
      </w:r>
      <w:proofErr w:type="gramEnd"/>
      <w:r>
        <w:rPr>
          <w:lang w:val="en-US" w:eastAsia="en-US" w:bidi="en-US"/>
        </w:rPr>
        <w:t xml:space="preserve"> </w:t>
      </w:r>
      <w:r>
        <w:t xml:space="preserve">oprávněné postupníky </w:t>
      </w:r>
      <w:proofErr w:type="spellStart"/>
      <w:r>
        <w:rPr>
          <w:lang w:val="en-US" w:eastAsia="en-US" w:bidi="en-US"/>
        </w:rPr>
        <w:t>stran</w:t>
      </w:r>
      <w:proofErr w:type="spellEnd"/>
      <w:r>
        <w:rPr>
          <w:lang w:val="en-US" w:eastAsia="en-US" w:bidi="en-US"/>
        </w:rPr>
        <w:t>.</w:t>
      </w:r>
    </w:p>
    <w:p w:rsidR="00855A23" w:rsidRDefault="00AB4B35">
      <w:pPr>
        <w:pStyle w:val="Zkladntext1"/>
        <w:numPr>
          <w:ilvl w:val="1"/>
          <w:numId w:val="1"/>
        </w:numPr>
        <w:shd w:val="clear" w:color="auto" w:fill="auto"/>
        <w:tabs>
          <w:tab w:val="left" w:pos="764"/>
        </w:tabs>
        <w:ind w:firstLine="320"/>
        <w:jc w:val="both"/>
      </w:pPr>
      <w:r>
        <w:rPr>
          <w:u w:val="single"/>
        </w:rPr>
        <w:t>Vyšší moc.</w:t>
      </w:r>
      <w:r>
        <w:t xml:space="preserve"> Pokud kterákoliv strana není schopna plnit své povinnosti podle této Smlouvy z důvodu nepříznivého počasí, přírodních katastrof, zásahů vyšší moci, nepokojů, válek, krádeží, vládních opatření nebo jiných událostí, které nemůže ovlivnit, je příslušná strana osvobozena od plnění těchto povinností v rozsahu a po dobu, po kterou je toto plnění těmito událostmi znemožněno. Pro vyloučení pochybností se má za to, že za událost vyšší moci se považuje rovněž jakékoliv opatření či omezení nařízené orgány veřejné moci spojené s onemocněním COVID-19 či jinou pandemií.</w:t>
      </w:r>
    </w:p>
    <w:p w:rsidR="00855A23" w:rsidRDefault="00AB4B35">
      <w:pPr>
        <w:pStyle w:val="Zkladntext1"/>
        <w:numPr>
          <w:ilvl w:val="1"/>
          <w:numId w:val="1"/>
        </w:numPr>
        <w:shd w:val="clear" w:color="auto" w:fill="auto"/>
        <w:tabs>
          <w:tab w:val="left" w:pos="754"/>
        </w:tabs>
        <w:ind w:firstLine="320"/>
        <w:jc w:val="both"/>
      </w:pPr>
      <w:r>
        <w:rPr>
          <w:u w:val="single"/>
        </w:rPr>
        <w:t>Jazyk</w:t>
      </w:r>
      <w:r>
        <w:t xml:space="preserve">. Tato Smlouva je vyhotovena a podepsána </w:t>
      </w:r>
      <w:proofErr w:type="spellStart"/>
      <w:r>
        <w:t>včeském</w:t>
      </w:r>
      <w:proofErr w:type="spellEnd"/>
      <w:r>
        <w:t xml:space="preserve"> a anglickém jazyce </w:t>
      </w:r>
      <w:proofErr w:type="spellStart"/>
      <w:r>
        <w:t>Vpřípadě</w:t>
      </w:r>
      <w:proofErr w:type="spellEnd"/>
      <w:r>
        <w:t xml:space="preserve"> rozporu jazykových znění této Smlouvy má české znění přednost.</w:t>
      </w:r>
    </w:p>
    <w:p w:rsidR="00855A23" w:rsidRDefault="00AB4B35">
      <w:pPr>
        <w:pStyle w:val="Zkladntext1"/>
        <w:numPr>
          <w:ilvl w:val="1"/>
          <w:numId w:val="1"/>
        </w:numPr>
        <w:shd w:val="clear" w:color="auto" w:fill="auto"/>
        <w:tabs>
          <w:tab w:val="left" w:pos="817"/>
        </w:tabs>
        <w:spacing w:after="420"/>
        <w:ind w:firstLine="320"/>
        <w:jc w:val="both"/>
      </w:pPr>
      <w:r>
        <w:rPr>
          <w:u w:val="single"/>
        </w:rPr>
        <w:t>Počet vyhotovení.</w:t>
      </w:r>
      <w:r>
        <w:t xml:space="preserve"> Tato Smlouva a Objednávky podle této Smlouvy uskutečněné jsou vždy podepsány ve dvou (2) vyhotoveních, přičemž každé z nich se považuje po podepsání a doručení za originál; strany se však mohou individuálně dohodnout, že konkrétní Objednávka bude podepsána ve více vyhotoveních. Strany se dohodly, že uzavření této Smlouvy a jakékoli Objednávky výměnou PDF nebo elektronickým podpisem (jak je definováno níže) má stejnou právní sílu a účinky jako výměna originálních podpisů. Elektronickým podpisem se podle této Smlouvy rozumí podpis, který se skládá z jednoho nebo více písmen, znaků, číslic nebo jiných symbolů v digitální podobě začleněných do elektronického dokumentu, připojených k němu nebo s ním spojených, jako jsou elektronické podpisy vyžadované nařízením (EU) č. 910/2014.</w:t>
      </w:r>
    </w:p>
    <w:p w:rsidR="00AB1033" w:rsidRDefault="00AB1033" w:rsidP="00AB1033">
      <w:pPr>
        <w:pStyle w:val="Zkladntext1"/>
        <w:shd w:val="clear" w:color="auto" w:fill="auto"/>
        <w:tabs>
          <w:tab w:val="left" w:pos="817"/>
        </w:tabs>
        <w:spacing w:after="420"/>
        <w:jc w:val="both"/>
      </w:pPr>
    </w:p>
    <w:p w:rsidR="00AB1033" w:rsidRDefault="00AB1033" w:rsidP="00AB1033">
      <w:pPr>
        <w:pStyle w:val="Zkladntext1"/>
        <w:shd w:val="clear" w:color="auto" w:fill="auto"/>
        <w:tabs>
          <w:tab w:val="left" w:pos="817"/>
        </w:tabs>
        <w:spacing w:after="420"/>
        <w:jc w:val="both"/>
      </w:pPr>
    </w:p>
    <w:p w:rsidR="00AB1033" w:rsidRDefault="00AB1033" w:rsidP="00AB1033">
      <w:pPr>
        <w:pStyle w:val="Zkladntext1"/>
        <w:shd w:val="clear" w:color="auto" w:fill="auto"/>
        <w:tabs>
          <w:tab w:val="left" w:pos="817"/>
        </w:tabs>
        <w:spacing w:after="420"/>
        <w:jc w:val="both"/>
      </w:pPr>
    </w:p>
    <w:p w:rsidR="00AB1033" w:rsidRDefault="00AB1033" w:rsidP="00AB1033">
      <w:pPr>
        <w:pStyle w:val="Zkladntext1"/>
        <w:shd w:val="clear" w:color="auto" w:fill="auto"/>
        <w:tabs>
          <w:tab w:val="left" w:pos="817"/>
        </w:tabs>
        <w:spacing w:after="420"/>
        <w:jc w:val="both"/>
      </w:pPr>
    </w:p>
    <w:p w:rsidR="00AB1033" w:rsidRDefault="00AB1033" w:rsidP="00AB1033">
      <w:pPr>
        <w:pStyle w:val="Zkladntext1"/>
        <w:shd w:val="clear" w:color="auto" w:fill="auto"/>
        <w:tabs>
          <w:tab w:val="left" w:pos="817"/>
        </w:tabs>
        <w:spacing w:after="420"/>
        <w:jc w:val="both"/>
      </w:pPr>
    </w:p>
    <w:p w:rsidR="00AB1033" w:rsidRDefault="00AB4B35" w:rsidP="00AB1033">
      <w:pPr>
        <w:pStyle w:val="Nadpis50"/>
        <w:keepNext/>
        <w:keepLines/>
        <w:numPr>
          <w:ilvl w:val="0"/>
          <w:numId w:val="1"/>
        </w:numPr>
        <w:shd w:val="clear" w:color="auto" w:fill="auto"/>
        <w:tabs>
          <w:tab w:val="left" w:pos="361"/>
        </w:tabs>
        <w:spacing w:after="100"/>
        <w:ind w:left="280" w:hanging="280"/>
        <w:jc w:val="both"/>
      </w:pPr>
      <w:bookmarkStart w:id="34" w:name="bookmark36"/>
      <w:bookmarkStart w:id="35" w:name="bookmark37"/>
      <w:r>
        <w:lastRenderedPageBreak/>
        <w:t>Následující podmínky se vztahují výhradně na (i) Řešení na místě a (</w:t>
      </w:r>
      <w:proofErr w:type="spellStart"/>
      <w:r>
        <w:t>ii</w:t>
      </w:r>
      <w:proofErr w:type="spellEnd"/>
      <w:r>
        <w:t>) části Hybridních řešení, které jsou nainstalovány na serveru v rámci IT infrastruktury ZÁKAZNÍKA:</w:t>
      </w:r>
      <w:bookmarkEnd w:id="34"/>
      <w:bookmarkEnd w:id="35"/>
    </w:p>
    <w:p w:rsidR="00855A23" w:rsidRDefault="00AB4B35">
      <w:pPr>
        <w:pStyle w:val="Zkladntext1"/>
        <w:shd w:val="clear" w:color="auto" w:fill="auto"/>
        <w:spacing w:after="120"/>
        <w:ind w:firstLine="320"/>
        <w:jc w:val="both"/>
      </w:pPr>
      <w:proofErr w:type="gramStart"/>
      <w:r>
        <w:t>16.1. ZÁKAZNÍK</w:t>
      </w:r>
      <w:proofErr w:type="gramEnd"/>
      <w:r>
        <w:t xml:space="preserve"> bude používat Řešení na místě/Hybridní řešení pouze na datových serverech uvedených v příslušné Objednávce. Pokud je licencovaný datový server dočasně nepoužitelný, lze jej vyměnit za jiný server, který splňuje požadavky uvedené v Objednávce. Použití Řešení na místě/Hybridních řešení na jiných datových serverech, než které jsou uvedeny v Objednávce, vyžaduje předchozí písemný souhlas společnosti ROCHE.</w:t>
      </w:r>
    </w:p>
    <w:p w:rsidR="00855A23" w:rsidRDefault="00AB4B35">
      <w:pPr>
        <w:pStyle w:val="Zkladntext1"/>
        <w:numPr>
          <w:ilvl w:val="0"/>
          <w:numId w:val="5"/>
        </w:numPr>
        <w:shd w:val="clear" w:color="auto" w:fill="auto"/>
        <w:tabs>
          <w:tab w:val="left" w:pos="778"/>
        </w:tabs>
        <w:spacing w:after="120"/>
        <w:ind w:firstLine="300"/>
        <w:jc w:val="both"/>
      </w:pPr>
      <w:r>
        <w:t>Řešení na místě/Hybridní řešení se považují za převzatá ZÁKAZNÍKEM, pokud ZÁKAZNÍK písemně nenahlásí společnosti ROCHE jakékoliv závady do čtrnácti (14) dnů od zahájení běžného používání Řešení na místě/Hybridních řešení ZÁKAZNÍKEM.</w:t>
      </w:r>
    </w:p>
    <w:p w:rsidR="00855A23" w:rsidRDefault="00AB4B35">
      <w:pPr>
        <w:pStyle w:val="Zkladntext1"/>
        <w:numPr>
          <w:ilvl w:val="0"/>
          <w:numId w:val="5"/>
        </w:numPr>
        <w:shd w:val="clear" w:color="auto" w:fill="auto"/>
        <w:tabs>
          <w:tab w:val="left" w:pos="778"/>
        </w:tabs>
        <w:spacing w:after="120"/>
        <w:ind w:firstLine="300"/>
        <w:jc w:val="both"/>
      </w:pPr>
      <w:r>
        <w:t>Společnost ROCHE je odpovědná za poskytování, aktivaci a údržbu standardních technických rozhraní Řešení na místě/Hybridních řešení, ke kterým má ZÁKAZNÍK licenci. Pokud se tato technická standardní rozhraní změní, může společnost ROCHE Řešení na místě/Hybridní řešení dále vyvíjet a může ZÁKAZNÍKOVI poskytnout takto vyvinutý nový software pro interakci s novými technickými standardními rozhraními. ZÁKAZNÍK je odpovědný za poskytování, aktivaci a údržbu standardních technických rozhraní, která umožňují komunikaci mezi softwarem třetích stran a Řešeními na místě/Hybridními řešeními. Na základě písemného souhlasu bude společnost ROCHE pomáhat ZÁKAZNÍKOVI s vývojem těchto rozhraní podle aktuálních sazeb společnosti ROCHE.</w:t>
      </w:r>
    </w:p>
    <w:p w:rsidR="00855A23" w:rsidRDefault="00AB4B35">
      <w:pPr>
        <w:pStyle w:val="Zkladntext1"/>
        <w:numPr>
          <w:ilvl w:val="0"/>
          <w:numId w:val="5"/>
        </w:numPr>
        <w:shd w:val="clear" w:color="auto" w:fill="auto"/>
        <w:tabs>
          <w:tab w:val="left" w:pos="755"/>
        </w:tabs>
        <w:spacing w:after="120"/>
        <w:ind w:firstLine="260"/>
        <w:jc w:val="both"/>
      </w:pPr>
      <w:r>
        <w:t>ZÁKAZNÍK není oprávněn:</w:t>
      </w:r>
    </w:p>
    <w:p w:rsidR="00855A23" w:rsidRDefault="00AB4B35">
      <w:pPr>
        <w:pStyle w:val="Zkladntext1"/>
        <w:shd w:val="clear" w:color="auto" w:fill="auto"/>
        <w:spacing w:after="120"/>
        <w:ind w:firstLine="740"/>
        <w:jc w:val="both"/>
      </w:pPr>
      <w:r>
        <w:t>■ vytvářet kopie (duplikáty) Řešení na místě/Hybridních řešení s výjimkou zálohování svých dat;</w:t>
      </w:r>
    </w:p>
    <w:p w:rsidR="00855A23" w:rsidRDefault="00AB4B35">
      <w:pPr>
        <w:pStyle w:val="Zkladntext1"/>
        <w:shd w:val="clear" w:color="auto" w:fill="auto"/>
        <w:spacing w:after="120"/>
        <w:ind w:left="1040" w:hanging="300"/>
        <w:jc w:val="both"/>
      </w:pPr>
      <w:r>
        <w:t>■ vytvářet kopie jakékoli Dokumentace dodané v papírové nebo elektronické podobě, pokud tyto kopie nejsou určeny výhradně pro použití ZÁKAZNÍKEM;</w:t>
      </w:r>
    </w:p>
    <w:p w:rsidR="00855A23" w:rsidRDefault="00AB4B35">
      <w:pPr>
        <w:pStyle w:val="Zkladntext1"/>
        <w:shd w:val="clear" w:color="auto" w:fill="auto"/>
        <w:spacing w:after="120"/>
        <w:ind w:left="1040" w:hanging="300"/>
        <w:jc w:val="both"/>
      </w:pPr>
      <w:r>
        <w:t>■ instalovat nebo používat Řešení na místě/Hybridní řešení na serverech, než je popsáno v příslušné Objednávce. Pokud si ZÁKAZNÍK přeje instalovat nebo používat Řešení na místě/Hybridní řešení na více serverech současně, musí si před instalací nebo používáním Řešení na místě/Hybridních řešení na více serverech zakoupit odpovídající počet licencí od společnosti ROCHE; a</w:t>
      </w:r>
    </w:p>
    <w:p w:rsidR="00855A23" w:rsidRDefault="00AB4B35">
      <w:pPr>
        <w:pStyle w:val="Zkladntext1"/>
        <w:shd w:val="clear" w:color="auto" w:fill="auto"/>
        <w:spacing w:after="120"/>
        <w:ind w:left="1040" w:hanging="300"/>
        <w:jc w:val="both"/>
      </w:pPr>
      <w:r>
        <w:t>■ měnit databázi připojenou k Řešením na místě/Hybridním řešením, zejména měnit strukturu databáze nebo datový model. To se nevztahuje na změny nebo používání databází, které jsou vytvořeny v souladu s touto Smlouvou, např. databází s údaji o pacientech.</w:t>
      </w:r>
    </w:p>
    <w:p w:rsidR="00855A23" w:rsidRDefault="00AB4B35">
      <w:pPr>
        <w:pStyle w:val="Zkladntext1"/>
        <w:numPr>
          <w:ilvl w:val="0"/>
          <w:numId w:val="5"/>
        </w:numPr>
        <w:shd w:val="clear" w:color="auto" w:fill="auto"/>
        <w:tabs>
          <w:tab w:val="left" w:pos="778"/>
        </w:tabs>
        <w:spacing w:after="120"/>
        <w:ind w:firstLine="300"/>
        <w:jc w:val="both"/>
      </w:pPr>
      <w:r>
        <w:t>Společnost ROCHE zaručuje ZÁKAZNÍKOVI, že Řešení na místě/Hybridní řešení budou správně fungovat po dobu jednoho roku od zahájení běžného používání Řešení na místě/Hybridních řešení ZÁKAZNÍKEM a za předpokladu, že budou používána za určených provozních podmínek. Řešení na místě se považuje za správně fungující za předpokládaných provozních podmínek, pokud jsou licencované moduly používány v souladu se Smlouvou a provozovány na určené IT infrastruktuře. ZÁKAZNÍK zabezpečí, aby IT infrastruktura byla vhodná pro provozování Řešení na místě/Hybridních řešení a aby žádný jiný než Schválený software třetích stran nezasahoval do Řešení na místě/Hybridních řešení nebo je negativně neovlivňoval. Společnost ROCHE nezaručuje, že jiný než Schválený software třetích stran nebude mít negativní vliv na Řešení na místě nebo jejich výkon a naopak. Společnost ROCHE na žádost ZÁKAZNÍKA vynaloží přiměřené obchodní úsilí, aby zajistila řešení v případě, že k takovému vlivu dojde. Jakákoli odpovědnost společnosti ROCHE v případě, že je nainstalován software třetí strany, který není Schváleným softwarem třetí strany, je vyloučena.</w:t>
      </w:r>
    </w:p>
    <w:p w:rsidR="00855A23" w:rsidRDefault="00AB4B35">
      <w:pPr>
        <w:pStyle w:val="Zkladntext1"/>
        <w:numPr>
          <w:ilvl w:val="0"/>
          <w:numId w:val="5"/>
        </w:numPr>
        <w:shd w:val="clear" w:color="auto" w:fill="auto"/>
        <w:tabs>
          <w:tab w:val="left" w:pos="778"/>
        </w:tabs>
        <w:spacing w:after="120"/>
        <w:ind w:firstLine="300"/>
        <w:jc w:val="both"/>
      </w:pPr>
      <w:r>
        <w:t>ZÁKAZNÍK bere na vědomí, že stav technologie neumožňuje vytvořit Řešení na místě/Hybridní řešení tak, aby fungovala bezchybně a bez přerušení se všemi aplikacemi a kombinacemi aplikací a se všemi zpracovateli dat nebo aby je bylo možné používat za všech provozních podmínek nebo aby Řešení na místě/Hybridní řešení odpovídala požadavkům ZÁKAZNÍKA.</w:t>
      </w:r>
    </w:p>
    <w:p w:rsidR="00855A23" w:rsidRDefault="00AB4B35">
      <w:pPr>
        <w:pStyle w:val="Zkladntext1"/>
        <w:numPr>
          <w:ilvl w:val="0"/>
          <w:numId w:val="5"/>
        </w:numPr>
        <w:shd w:val="clear" w:color="auto" w:fill="auto"/>
        <w:tabs>
          <w:tab w:val="left" w:pos="778"/>
        </w:tabs>
        <w:spacing w:after="120"/>
        <w:ind w:firstLine="300"/>
        <w:jc w:val="both"/>
      </w:pPr>
      <w:r>
        <w:t>ZÁKAZNÍK je povinen písemně ohlásit společnosti ROCHE veškeré vady v Řešeních na místě/Hybridních řešeních do deseti (10) dnů od jejich zjištění. Veškeré vady v Řešeních na místě/Hybridních řešeních musí být reprodukovatelné a podrobně zdokumentované.</w:t>
      </w:r>
    </w:p>
    <w:p w:rsidR="00855A23" w:rsidRDefault="00AB4B35">
      <w:pPr>
        <w:pStyle w:val="Zkladntext1"/>
        <w:numPr>
          <w:ilvl w:val="0"/>
          <w:numId w:val="5"/>
        </w:numPr>
        <w:shd w:val="clear" w:color="auto" w:fill="auto"/>
        <w:tabs>
          <w:tab w:val="left" w:pos="778"/>
        </w:tabs>
        <w:spacing w:after="120"/>
        <w:ind w:firstLine="300"/>
        <w:jc w:val="both"/>
      </w:pPr>
      <w:r>
        <w:t xml:space="preserve">Záruka společnosti ROCHE za Řešení na místě/Hybridní řešení je omezena na odstranění vad v Řešeních na místě/Hybridních řešeních nebo na dodání bezvadných Řešení na místě/Hybridních řešení, a to podle volby společnosti ROCHE, pokud ZÁKAZNÍK nahlásí společnosti ROCHE vady v souladu s výše uvedeným článkem 16.7. Řešení společnosti ROCHE může zahrnovat vydání aktualizace, poskytnutí opravené verze nebo nalezení </w:t>
      </w:r>
      <w:proofErr w:type="spellStart"/>
      <w:r>
        <w:t>work-around</w:t>
      </w:r>
      <w:proofErr w:type="spellEnd"/>
      <w:r>
        <w:t xml:space="preserve"> řešení pro ZÁKAZNÍKA. Společnost ROCHE je oprávněna odmítnout následné plnění, pokud není možné vadu odstranit s vynaložením přiměřeného úsilí (závažnost vady v porovnání s úsilím vynaloženým na její odstranění).</w:t>
      </w:r>
    </w:p>
    <w:p w:rsidR="00855A23" w:rsidRDefault="00AB4B35">
      <w:pPr>
        <w:pStyle w:val="Zkladntext1"/>
        <w:numPr>
          <w:ilvl w:val="0"/>
          <w:numId w:val="5"/>
        </w:numPr>
        <w:shd w:val="clear" w:color="auto" w:fill="auto"/>
        <w:tabs>
          <w:tab w:val="left" w:pos="778"/>
        </w:tabs>
        <w:spacing w:after="120"/>
        <w:ind w:firstLine="300"/>
        <w:jc w:val="both"/>
      </w:pPr>
      <w:r>
        <w:t>Reklamace ZÁKAZNÍKA na základě vad jsou vyloučeny, pokud jsou tyto vady nepodstatné. O nevýznamnou vadu jde v případě, že hodnota Řešení na místě/Hybridních řešení nebo jejich vhodnost pro běžné použití je snížena v nevýznamné míře, tedy míře, která neznemožňuje ZÁKAZNÍKOVI využívat IT řešení.</w:t>
      </w:r>
    </w:p>
    <w:p w:rsidR="00855A23" w:rsidRDefault="00AB4B35">
      <w:pPr>
        <w:pStyle w:val="Zkladntext1"/>
        <w:numPr>
          <w:ilvl w:val="0"/>
          <w:numId w:val="5"/>
        </w:numPr>
        <w:shd w:val="clear" w:color="auto" w:fill="auto"/>
        <w:tabs>
          <w:tab w:val="left" w:pos="831"/>
        </w:tabs>
        <w:spacing w:after="120"/>
        <w:ind w:firstLine="300"/>
        <w:jc w:val="both"/>
      </w:pPr>
      <w:r>
        <w:t>Jakékoliv záruky společnosti ROCHE ohledně systémového výkonu nebo bezpečnosti a integrity dat, pokud jsou v Objednávce uvedeny pro Řešení na místě/Hybridní řešení, budou vyloučeny, včetně mj. případu, kdy IT infrastruktura, na které jsou Řešení na místě/Hybridní řešení nainstalována, neumožňuje běh Řešení na místě/Hybridních řešení, a případu, kdy na té samé IT infrastruktuře poběží jakékoliv řešení třetích stran s výjimkou Schváleného softwaru třetích stran. Totéž platí v případě, pokud a nakolik jakýkoliv software třetích stran s výjimkou Schváleného softwaru třetích stran bude mít negativní dopad na výkon systému nebo bezpečnost a integritu dat.</w:t>
      </w:r>
    </w:p>
    <w:p w:rsidR="00855A23" w:rsidRDefault="00AB4B35">
      <w:pPr>
        <w:pStyle w:val="Zkladntext1"/>
        <w:numPr>
          <w:ilvl w:val="0"/>
          <w:numId w:val="5"/>
        </w:numPr>
        <w:shd w:val="clear" w:color="auto" w:fill="auto"/>
        <w:tabs>
          <w:tab w:val="left" w:pos="831"/>
        </w:tabs>
        <w:spacing w:after="120"/>
        <w:ind w:firstLine="300"/>
        <w:jc w:val="both"/>
      </w:pPr>
      <w:r>
        <w:t>Jakákoliv záruka podle této Smlouvy nadále neplatí, pokud dojde ke změně nebo úpravě Řešení na místě/Hybridních řešení ZÁKAZNÍKEM. Pokud společnost ROCHE odstraní vadu na žádost ZÁKAZNÍKA nebo pokud bude po dokončení záruční opravy stanoveno, že vada neexistovala, může společnost ROCHE účtovat příslušnou odměnu podle svých stávajících sazeb.</w:t>
      </w:r>
    </w:p>
    <w:p w:rsidR="00855A23" w:rsidRDefault="00AB4B35">
      <w:pPr>
        <w:pStyle w:val="Zkladntext1"/>
        <w:numPr>
          <w:ilvl w:val="0"/>
          <w:numId w:val="5"/>
        </w:numPr>
        <w:shd w:val="clear" w:color="auto" w:fill="auto"/>
        <w:tabs>
          <w:tab w:val="left" w:pos="831"/>
        </w:tabs>
        <w:spacing w:after="120"/>
        <w:ind w:firstLine="300"/>
        <w:jc w:val="both"/>
      </w:pPr>
      <w:r>
        <w:t xml:space="preserve">U softwaru třetích stran, který je ZÁKAZNÍKOVI předáván v souvislosti s Řešeními na místě/Hybridními řešeními, má ZÁKAZNÍK nárok na záruky podle licenčních podmínek a případně v souladu s funkčním popisem příslušné třetí strany. Společnost ROCHE může na základě svého uvážení buď postoupit jakoukoliv reklamaci vůči příslušné třetí straně na </w:t>
      </w:r>
      <w:proofErr w:type="gramStart"/>
      <w:r>
        <w:t>ZÁKAZNÍKA nebo</w:t>
      </w:r>
      <w:proofErr w:type="gramEnd"/>
      <w:r>
        <w:t xml:space="preserve"> reklamaci vyřešit sama. V tomto případě je společnost ROCHE oprávněna k řešení reklamace pověřit třetí strany.</w:t>
      </w:r>
    </w:p>
    <w:p w:rsidR="00AB1033" w:rsidRDefault="00AB1033" w:rsidP="00AB1033">
      <w:pPr>
        <w:pStyle w:val="Zkladntext1"/>
        <w:shd w:val="clear" w:color="auto" w:fill="auto"/>
        <w:tabs>
          <w:tab w:val="left" w:pos="831"/>
        </w:tabs>
        <w:spacing w:after="120"/>
        <w:jc w:val="both"/>
      </w:pPr>
    </w:p>
    <w:p w:rsidR="00AB1033" w:rsidRDefault="00AB1033" w:rsidP="00AB1033">
      <w:pPr>
        <w:pStyle w:val="Zkladntext1"/>
        <w:shd w:val="clear" w:color="auto" w:fill="auto"/>
        <w:tabs>
          <w:tab w:val="left" w:pos="831"/>
        </w:tabs>
        <w:spacing w:after="120"/>
        <w:jc w:val="both"/>
      </w:pPr>
    </w:p>
    <w:p w:rsidR="00AB1033" w:rsidRDefault="00AB1033" w:rsidP="00AB1033">
      <w:pPr>
        <w:pStyle w:val="Zkladntext1"/>
        <w:shd w:val="clear" w:color="auto" w:fill="auto"/>
        <w:tabs>
          <w:tab w:val="left" w:pos="831"/>
        </w:tabs>
        <w:spacing w:after="120"/>
        <w:jc w:val="both"/>
      </w:pPr>
    </w:p>
    <w:p w:rsidR="00855A23" w:rsidRDefault="00AB4B35">
      <w:pPr>
        <w:pStyle w:val="Zkladntext1"/>
        <w:numPr>
          <w:ilvl w:val="0"/>
          <w:numId w:val="5"/>
        </w:numPr>
        <w:shd w:val="clear" w:color="auto" w:fill="auto"/>
        <w:tabs>
          <w:tab w:val="left" w:pos="831"/>
        </w:tabs>
        <w:spacing w:after="120"/>
        <w:ind w:firstLine="260"/>
        <w:jc w:val="both"/>
      </w:pPr>
      <w:r>
        <w:lastRenderedPageBreak/>
        <w:t>ZÁKAZNÍK zabezpečí, že vzhledem ke společnosti ROCHE budou v Době platnosti objednávky příslušné Objednávky splněny následující požadavky, a to bezplatně:</w:t>
      </w:r>
    </w:p>
    <w:p w:rsidR="00855A23" w:rsidRDefault="00AB4B35">
      <w:pPr>
        <w:pStyle w:val="Zkladntext1"/>
        <w:numPr>
          <w:ilvl w:val="0"/>
          <w:numId w:val="6"/>
        </w:numPr>
        <w:shd w:val="clear" w:color="auto" w:fill="auto"/>
        <w:tabs>
          <w:tab w:val="left" w:pos="765"/>
        </w:tabs>
        <w:spacing w:after="0"/>
        <w:ind w:firstLine="260"/>
        <w:jc w:val="both"/>
      </w:pPr>
      <w:r>
        <w:t>poskytnutí přístupu k produkční instalaci a spolupráce odpovědných databázových a systémových správců na umožnění poskytnutí Služeb;</w:t>
      </w:r>
    </w:p>
    <w:p w:rsidR="00855A23" w:rsidRDefault="00AB4B35">
      <w:pPr>
        <w:pStyle w:val="Zkladntext1"/>
        <w:numPr>
          <w:ilvl w:val="0"/>
          <w:numId w:val="6"/>
        </w:numPr>
        <w:shd w:val="clear" w:color="auto" w:fill="auto"/>
        <w:tabs>
          <w:tab w:val="left" w:pos="765"/>
        </w:tabs>
        <w:spacing w:after="120"/>
        <w:ind w:firstLine="260"/>
      </w:pPr>
      <w:r>
        <w:t>poskytnutí širokopásmového přístupu pro servisní účely 24 hodin denně / 365 dní v roce.</w:t>
      </w:r>
    </w:p>
    <w:p w:rsidR="00855A23" w:rsidRDefault="00AB4B35">
      <w:pPr>
        <w:pStyle w:val="Zkladntext1"/>
        <w:numPr>
          <w:ilvl w:val="0"/>
          <w:numId w:val="5"/>
        </w:numPr>
        <w:shd w:val="clear" w:color="auto" w:fill="auto"/>
        <w:tabs>
          <w:tab w:val="left" w:pos="826"/>
        </w:tabs>
        <w:spacing w:after="120"/>
        <w:ind w:firstLine="260"/>
        <w:jc w:val="both"/>
      </w:pPr>
      <w:r>
        <w:t>Poskytování Služeb společností ROCHE vyžaduje, aby měl ZÁKAZNÍK na IT infrastruktuře nainstalovanou a spuštěnou současnou verzi Řešení na místě/Hybridních řešení, jak je poskytla společnost ROCHE. Společnost ROCHE není povinna poskytnout Služby pro žádnou verzi Řešení na místě kromě nejnovější verze, pokud nebude v této Smlouvě uvedeno jinak.</w:t>
      </w:r>
    </w:p>
    <w:p w:rsidR="00855A23" w:rsidRDefault="00AB4B35">
      <w:pPr>
        <w:pStyle w:val="Zkladntext1"/>
        <w:numPr>
          <w:ilvl w:val="0"/>
          <w:numId w:val="5"/>
        </w:numPr>
        <w:shd w:val="clear" w:color="auto" w:fill="auto"/>
        <w:tabs>
          <w:tab w:val="left" w:pos="831"/>
        </w:tabs>
        <w:spacing w:after="120"/>
        <w:ind w:firstLine="260"/>
        <w:jc w:val="both"/>
      </w:pPr>
      <w:r>
        <w:t>Pokud ZÁKAZNÍK souhlasí s nahrazením staré verze Řešení na místě/Hybridních řešení novou verzí později než šest (6) měsíců poté, co byla tato nová verze nabídnuta ZÁKAZNÍKOVI společností ROCHE, je ZÁKAZNÍK povinen zakoupit veškerá vylepšení a verze, které byly vydány mezi starou verzí ZÁKAZNÍKA a nově vydanou verzí.</w:t>
      </w:r>
    </w:p>
    <w:p w:rsidR="00855A23" w:rsidRDefault="00AB4B35">
      <w:pPr>
        <w:pStyle w:val="Zkladntext1"/>
        <w:numPr>
          <w:ilvl w:val="0"/>
          <w:numId w:val="5"/>
        </w:numPr>
        <w:shd w:val="clear" w:color="auto" w:fill="auto"/>
        <w:tabs>
          <w:tab w:val="left" w:pos="831"/>
        </w:tabs>
        <w:spacing w:after="120"/>
        <w:ind w:firstLine="260"/>
        <w:jc w:val="both"/>
      </w:pPr>
      <w:r>
        <w:t>ZÁKAZNÍK bude odpovídat za veškeré náklady vzniklé v souvislosti s opravami vad, pokud jsou jako důvod této vady zjištěny neschválené změny Řešení na místě/Hybridních řešení provedené ZÁKAZNÍKEM nebo třetí stranou nebo jiné okolnosti, za které společnost ROCHE nemůže nést odpovědnost.</w:t>
      </w:r>
    </w:p>
    <w:p w:rsidR="00855A23" w:rsidRDefault="00AB4B35">
      <w:pPr>
        <w:pStyle w:val="Zkladntext1"/>
        <w:numPr>
          <w:ilvl w:val="0"/>
          <w:numId w:val="5"/>
        </w:numPr>
        <w:shd w:val="clear" w:color="auto" w:fill="auto"/>
        <w:tabs>
          <w:tab w:val="left" w:pos="842"/>
        </w:tabs>
        <w:spacing w:after="120"/>
        <w:ind w:firstLine="260"/>
        <w:jc w:val="both"/>
      </w:pPr>
      <w:r>
        <w:t xml:space="preserve">ZÁKAZNÍK výhradně odpovídá </w:t>
      </w:r>
      <w:proofErr w:type="gramStart"/>
      <w:r>
        <w:t>za</w:t>
      </w:r>
      <w:proofErr w:type="gramEnd"/>
      <w:r>
        <w:t>:</w:t>
      </w:r>
    </w:p>
    <w:p w:rsidR="00855A23" w:rsidRDefault="00AB4B35">
      <w:pPr>
        <w:pStyle w:val="Zkladntext1"/>
        <w:shd w:val="clear" w:color="auto" w:fill="auto"/>
        <w:spacing w:after="120"/>
        <w:ind w:left="1040" w:hanging="300"/>
        <w:jc w:val="both"/>
      </w:pPr>
      <w:r>
        <w:t>■ vyhodnocení, zavedení a údržbu ZÁKAZNICKÝCH dat a dat třetích stran, které souvisejí s Řešeními na místě/Hybridními řešeními. Společnost ROCHE bude ZÁKAZNÍKOVI poskytovat podporu do doby, než budou Řešení na místě/Hybridní řešení moci být úspěšně připojena k databázím, které používá ZÁKAZNÍK. Vedle toho ZÁKAZNÍK výhradně odpovídá za správu dat, a tedy za bezpečnost a integritu dat a za fungování a údržbu hardwaru, na kterém databáze běží. ZÁKAZNÍK je zejména povinen vytvářet a vhodným způsobem skladovat záložní kopie.</w:t>
      </w:r>
    </w:p>
    <w:p w:rsidR="00855A23" w:rsidRDefault="00AB4B35">
      <w:pPr>
        <w:pStyle w:val="Zkladntext1"/>
        <w:shd w:val="clear" w:color="auto" w:fill="auto"/>
        <w:spacing w:after="120"/>
        <w:ind w:left="1040" w:hanging="300"/>
        <w:jc w:val="both"/>
      </w:pPr>
      <w:r>
        <w:t>■ obsah dokumentů, formulářů, datových prvků, datových katalogů a rozhodovacích stromů, které náležejí ZÁKAZNÍKOVI a které zpracovávají Řešení na místě/Hybridní řešení. Společnost ROCHE dále neodpovídá za bezpečnost dat ZÁKAZNÍKA. ZÁKAZNÍK je povinen nejvhodnějšími bezpečnostními postupy zajistit, že data je možné kdykoliv s vynaložením přijatelného množství práce obnovit.</w:t>
      </w:r>
    </w:p>
    <w:p w:rsidR="00855A23" w:rsidRDefault="00AB4B35">
      <w:pPr>
        <w:pStyle w:val="Zkladntext1"/>
        <w:shd w:val="clear" w:color="auto" w:fill="auto"/>
        <w:spacing w:after="120"/>
        <w:ind w:left="1040" w:hanging="300"/>
        <w:jc w:val="both"/>
      </w:pPr>
      <w:r>
        <w:t>■ za všechny dopady a důsledky nahrání jakýchkoliv aktualizací třetích stran do operačního systému nebo systémového softwaru v rámci IT infrastruktury. Výjimkou jsou a poskytnuté společností ROCHE za účelem splnění jejích smluvních povinností a opravy Schváleného softwaru třetích stran schválené společností ROCHE.</w:t>
      </w:r>
    </w:p>
    <w:p w:rsidR="00855A23" w:rsidRDefault="00AB4B35">
      <w:pPr>
        <w:pStyle w:val="Zkladntext1"/>
        <w:shd w:val="clear" w:color="auto" w:fill="auto"/>
        <w:spacing w:after="120"/>
        <w:ind w:left="1040" w:hanging="300"/>
        <w:jc w:val="both"/>
      </w:pPr>
      <w:r>
        <w:t>■ za údržbu, bezpečnost a integritu IT infrastruktury, zejména za hardware, systémový software, antivirový software a za jejich průběžnou správu a síťové prostředí.</w:t>
      </w:r>
    </w:p>
    <w:p w:rsidR="00855A23" w:rsidRDefault="00AB4B35">
      <w:pPr>
        <w:pStyle w:val="Zkladntext1"/>
        <w:shd w:val="clear" w:color="auto" w:fill="auto"/>
        <w:spacing w:after="120"/>
        <w:ind w:left="1040" w:hanging="300"/>
        <w:jc w:val="both"/>
      </w:pPr>
      <w:r>
        <w:t>■ za obsah, strukturu, konzistentnost a správnost všech uplatněných pravidel, např. vícefázových diagnostických rozhodovacích stromů nebo validačních pravidel.</w:t>
      </w:r>
    </w:p>
    <w:p w:rsidR="00855A23" w:rsidRDefault="00AB4B35">
      <w:pPr>
        <w:pStyle w:val="Zkladntext1"/>
        <w:numPr>
          <w:ilvl w:val="0"/>
          <w:numId w:val="5"/>
        </w:numPr>
        <w:shd w:val="clear" w:color="auto" w:fill="auto"/>
        <w:tabs>
          <w:tab w:val="left" w:pos="831"/>
        </w:tabs>
        <w:spacing w:after="120"/>
        <w:ind w:firstLine="260"/>
        <w:jc w:val="both"/>
        <w:sectPr w:rsidR="00855A23">
          <w:headerReference w:type="default" r:id="rId8"/>
          <w:footerReference w:type="default" r:id="rId9"/>
          <w:pgSz w:w="12240" w:h="15840"/>
          <w:pgMar w:top="865" w:right="1145" w:bottom="891" w:left="1327" w:header="0" w:footer="3" w:gutter="0"/>
          <w:pgNumType w:start="1"/>
          <w:cols w:space="720"/>
          <w:noEndnote/>
          <w:docGrid w:linePitch="360"/>
        </w:sectPr>
      </w:pPr>
      <w:r>
        <w:t xml:space="preserve">S </w:t>
      </w:r>
      <w:proofErr w:type="gramStart"/>
      <w:r>
        <w:t>výjimku</w:t>
      </w:r>
      <w:proofErr w:type="gramEnd"/>
      <w:r>
        <w:t xml:space="preserve"> vad Řešení na místě, které pokrývá záruka společnosti ROCHE, používá ZÁKAZNÍK Řešení na místě/Hybridní řešení na své vlastní riziko. ZÁKAZNÍK prohlašuje, že se seznámil s Řešeními na místě/Hybridními řešením a ubezpečil se, že jsou pro jeho účely vhodná.</w:t>
      </w:r>
    </w:p>
    <w:p w:rsidR="00855A23" w:rsidRDefault="00AB4B35">
      <w:pPr>
        <w:pStyle w:val="Nadpis50"/>
        <w:keepNext/>
        <w:keepLines/>
        <w:shd w:val="clear" w:color="auto" w:fill="auto"/>
        <w:spacing w:after="320"/>
      </w:pPr>
      <w:bookmarkStart w:id="36" w:name="bookmark38"/>
      <w:bookmarkStart w:id="37" w:name="bookmark39"/>
      <w:r>
        <w:lastRenderedPageBreak/>
        <w:t>NA DŮKAZ VÝŠE UVEDENÉHO podepsaly společnost ROCHE a ZÁKAZNÍK prostřednictvím svých náležitě oprávněných zástupců tuto Smlouvu.</w:t>
      </w:r>
      <w:bookmarkEnd w:id="36"/>
      <w:bookmarkEnd w:id="3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91"/>
        <w:gridCol w:w="3802"/>
      </w:tblGrid>
      <w:tr w:rsidR="00855A23" w:rsidRPr="00AB1033">
        <w:trPr>
          <w:trHeight w:hRule="exact" w:val="1037"/>
        </w:trPr>
        <w:tc>
          <w:tcPr>
            <w:tcW w:w="1291" w:type="dxa"/>
            <w:shd w:val="clear" w:color="auto" w:fill="FFFFFF"/>
          </w:tcPr>
          <w:p w:rsidR="00855A23" w:rsidRPr="00AB1033" w:rsidRDefault="00AB4B35">
            <w:pPr>
              <w:pStyle w:val="Jin0"/>
              <w:shd w:val="clear" w:color="auto" w:fill="auto"/>
              <w:spacing w:after="0"/>
            </w:pPr>
            <w:r w:rsidRPr="00AB1033">
              <w:rPr>
                <w:b/>
                <w:bCs/>
              </w:rPr>
              <w:t>ROCHE</w:t>
            </w:r>
          </w:p>
        </w:tc>
        <w:tc>
          <w:tcPr>
            <w:tcW w:w="3802" w:type="dxa"/>
            <w:shd w:val="clear" w:color="auto" w:fill="FFFFFF"/>
          </w:tcPr>
          <w:p w:rsidR="00855A23" w:rsidRPr="00AB1033" w:rsidRDefault="006C320E">
            <w:pPr>
              <w:pStyle w:val="Jin0"/>
              <w:shd w:val="clear" w:color="auto" w:fill="auto"/>
              <w:tabs>
                <w:tab w:val="left" w:pos="1929"/>
              </w:tabs>
              <w:spacing w:after="0" w:line="187" w:lineRule="auto"/>
              <w:ind w:firstLine="220"/>
              <w:rPr>
                <w:sz w:val="20"/>
                <w:szCs w:val="20"/>
              </w:rPr>
            </w:pPr>
            <w:r w:rsidRPr="00AB1033">
              <w:rPr>
                <w:sz w:val="15"/>
                <w:szCs w:val="15"/>
              </w:rPr>
              <w:t>XXXX</w:t>
            </w:r>
          </w:p>
        </w:tc>
      </w:tr>
    </w:tbl>
    <w:p w:rsidR="00855A23" w:rsidRPr="00AB1033" w:rsidRDefault="00AB4B35">
      <w:pPr>
        <w:pStyle w:val="Titulektabulky0"/>
        <w:shd w:val="clear" w:color="auto" w:fill="auto"/>
      </w:pPr>
      <w:r w:rsidRPr="00AB1033">
        <w:t>Datum a podpis:</w:t>
      </w:r>
      <w:r w:rsidR="006C320E" w:rsidRPr="00AB1033">
        <w:t xml:space="preserve">    </w:t>
      </w:r>
      <w:proofErr w:type="gramStart"/>
      <w:r w:rsidR="006C320E" w:rsidRPr="00AB1033">
        <w:t>21.06.2024</w:t>
      </w:r>
      <w:proofErr w:type="gramEnd"/>
    </w:p>
    <w:p w:rsidR="00855A23" w:rsidRPr="00AB1033" w:rsidRDefault="00855A23">
      <w:pPr>
        <w:spacing w:after="59"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91"/>
        <w:gridCol w:w="3802"/>
      </w:tblGrid>
      <w:tr w:rsidR="00855A23" w:rsidRPr="00AB1033">
        <w:trPr>
          <w:trHeight w:hRule="exact" w:val="341"/>
        </w:trPr>
        <w:tc>
          <w:tcPr>
            <w:tcW w:w="1291" w:type="dxa"/>
            <w:shd w:val="clear" w:color="auto" w:fill="FFFFFF"/>
            <w:vAlign w:val="bottom"/>
          </w:tcPr>
          <w:p w:rsidR="00855A23" w:rsidRPr="00AB1033" w:rsidRDefault="00AB4B35">
            <w:pPr>
              <w:pStyle w:val="Jin0"/>
              <w:shd w:val="clear" w:color="auto" w:fill="auto"/>
              <w:spacing w:after="0"/>
              <w:rPr>
                <w:sz w:val="15"/>
                <w:szCs w:val="15"/>
              </w:rPr>
            </w:pPr>
            <w:r w:rsidRPr="00AB1033">
              <w:rPr>
                <w:sz w:val="15"/>
                <w:szCs w:val="15"/>
              </w:rPr>
              <w:t>Jméno:</w:t>
            </w:r>
          </w:p>
        </w:tc>
        <w:tc>
          <w:tcPr>
            <w:tcW w:w="3802" w:type="dxa"/>
            <w:shd w:val="clear" w:color="auto" w:fill="FFFFFF"/>
            <w:vAlign w:val="bottom"/>
          </w:tcPr>
          <w:p w:rsidR="00855A23" w:rsidRPr="00AB1033" w:rsidRDefault="006C320E">
            <w:pPr>
              <w:pStyle w:val="Jin0"/>
              <w:shd w:val="clear" w:color="auto" w:fill="auto"/>
              <w:spacing w:after="0"/>
              <w:ind w:firstLine="140"/>
              <w:rPr>
                <w:sz w:val="15"/>
                <w:szCs w:val="15"/>
              </w:rPr>
            </w:pPr>
            <w:r w:rsidRPr="00AB1033">
              <w:rPr>
                <w:sz w:val="15"/>
                <w:szCs w:val="15"/>
              </w:rPr>
              <w:t>XXXX</w:t>
            </w:r>
          </w:p>
        </w:tc>
      </w:tr>
      <w:tr w:rsidR="00855A23" w:rsidRPr="00AB1033">
        <w:trPr>
          <w:trHeight w:hRule="exact" w:val="1349"/>
        </w:trPr>
        <w:tc>
          <w:tcPr>
            <w:tcW w:w="1291" w:type="dxa"/>
            <w:shd w:val="clear" w:color="auto" w:fill="FFFFFF"/>
          </w:tcPr>
          <w:p w:rsidR="00855A23" w:rsidRPr="00AB1033" w:rsidRDefault="00AB4B35">
            <w:pPr>
              <w:pStyle w:val="Jin0"/>
              <w:shd w:val="clear" w:color="auto" w:fill="auto"/>
              <w:spacing w:after="0"/>
              <w:rPr>
                <w:sz w:val="15"/>
                <w:szCs w:val="15"/>
              </w:rPr>
            </w:pPr>
            <w:r w:rsidRPr="00AB1033">
              <w:rPr>
                <w:sz w:val="15"/>
                <w:szCs w:val="15"/>
              </w:rPr>
              <w:t>Funkce:</w:t>
            </w:r>
          </w:p>
        </w:tc>
        <w:tc>
          <w:tcPr>
            <w:tcW w:w="3802" w:type="dxa"/>
            <w:shd w:val="clear" w:color="auto" w:fill="FFFFFF"/>
            <w:vAlign w:val="center"/>
          </w:tcPr>
          <w:p w:rsidR="00855A23" w:rsidRPr="00AB1033" w:rsidRDefault="006C320E">
            <w:pPr>
              <w:pStyle w:val="Jin0"/>
              <w:shd w:val="clear" w:color="auto" w:fill="auto"/>
              <w:spacing w:after="260"/>
              <w:ind w:firstLine="140"/>
            </w:pPr>
            <w:r w:rsidRPr="00AB1033">
              <w:t>XXXX</w:t>
            </w:r>
          </w:p>
          <w:p w:rsidR="00855A23" w:rsidRPr="00AB1033" w:rsidRDefault="006C320E">
            <w:pPr>
              <w:pStyle w:val="Jin0"/>
              <w:shd w:val="clear" w:color="auto" w:fill="auto"/>
              <w:spacing w:after="160" w:line="180" w:lineRule="auto"/>
              <w:ind w:firstLine="140"/>
            </w:pPr>
            <w:r w:rsidRPr="00AB1033">
              <w:rPr>
                <w:sz w:val="24"/>
                <w:szCs w:val="24"/>
                <w:lang w:val="en-US" w:eastAsia="en-US" w:bidi="en-US"/>
              </w:rPr>
              <w:t>XXXX</w:t>
            </w:r>
            <w:r w:rsidR="00AB4B35" w:rsidRPr="00AB1033">
              <w:t>.</w:t>
            </w:r>
          </w:p>
        </w:tc>
      </w:tr>
    </w:tbl>
    <w:p w:rsidR="00855A23" w:rsidRPr="00AB1033" w:rsidRDefault="00AB4B35">
      <w:pPr>
        <w:pStyle w:val="Titulektabulky0"/>
        <w:shd w:val="clear" w:color="auto" w:fill="auto"/>
      </w:pPr>
      <w:r w:rsidRPr="00AB1033">
        <w:t>Datum a podpis:</w:t>
      </w:r>
      <w:r w:rsidR="006C320E" w:rsidRPr="00AB1033">
        <w:t xml:space="preserve">    </w:t>
      </w:r>
      <w:proofErr w:type="gramStart"/>
      <w:r w:rsidR="006C320E" w:rsidRPr="00AB1033">
        <w:t>21.06.2024</w:t>
      </w:r>
      <w:proofErr w:type="gramEnd"/>
    </w:p>
    <w:p w:rsidR="00855A23" w:rsidRPr="00AB1033" w:rsidRDefault="00855A23">
      <w:pPr>
        <w:spacing w:after="59"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91"/>
        <w:gridCol w:w="3802"/>
      </w:tblGrid>
      <w:tr w:rsidR="00855A23" w:rsidRPr="00AB1033">
        <w:trPr>
          <w:trHeight w:hRule="exact" w:val="341"/>
        </w:trPr>
        <w:tc>
          <w:tcPr>
            <w:tcW w:w="1291" w:type="dxa"/>
            <w:shd w:val="clear" w:color="auto" w:fill="FFFFFF"/>
            <w:vAlign w:val="bottom"/>
          </w:tcPr>
          <w:p w:rsidR="00855A23" w:rsidRPr="00AB1033" w:rsidRDefault="00AB4B35">
            <w:pPr>
              <w:pStyle w:val="Jin0"/>
              <w:shd w:val="clear" w:color="auto" w:fill="auto"/>
              <w:spacing w:after="0"/>
              <w:rPr>
                <w:sz w:val="15"/>
                <w:szCs w:val="15"/>
              </w:rPr>
            </w:pPr>
            <w:r w:rsidRPr="00AB1033">
              <w:rPr>
                <w:sz w:val="15"/>
                <w:szCs w:val="15"/>
              </w:rPr>
              <w:t>Jméno:</w:t>
            </w:r>
          </w:p>
        </w:tc>
        <w:tc>
          <w:tcPr>
            <w:tcW w:w="3802" w:type="dxa"/>
            <w:shd w:val="clear" w:color="auto" w:fill="FFFFFF"/>
            <w:vAlign w:val="bottom"/>
          </w:tcPr>
          <w:p w:rsidR="00855A23" w:rsidRPr="00AB1033" w:rsidRDefault="006C320E">
            <w:pPr>
              <w:pStyle w:val="Jin0"/>
              <w:shd w:val="clear" w:color="auto" w:fill="auto"/>
              <w:spacing w:after="0"/>
              <w:ind w:firstLine="140"/>
              <w:rPr>
                <w:sz w:val="15"/>
                <w:szCs w:val="15"/>
              </w:rPr>
            </w:pPr>
            <w:r w:rsidRPr="00AB1033">
              <w:rPr>
                <w:sz w:val="15"/>
                <w:szCs w:val="15"/>
              </w:rPr>
              <w:t>XXXX</w:t>
            </w:r>
          </w:p>
        </w:tc>
      </w:tr>
      <w:tr w:rsidR="00855A23" w:rsidRPr="00AB1033">
        <w:trPr>
          <w:trHeight w:hRule="exact" w:val="864"/>
        </w:trPr>
        <w:tc>
          <w:tcPr>
            <w:tcW w:w="1291" w:type="dxa"/>
            <w:shd w:val="clear" w:color="auto" w:fill="FFFFFF"/>
          </w:tcPr>
          <w:p w:rsidR="00855A23" w:rsidRPr="00AB1033" w:rsidRDefault="00AB4B35">
            <w:pPr>
              <w:pStyle w:val="Jin0"/>
              <w:shd w:val="clear" w:color="auto" w:fill="auto"/>
              <w:spacing w:after="0"/>
              <w:rPr>
                <w:sz w:val="15"/>
                <w:szCs w:val="15"/>
              </w:rPr>
            </w:pPr>
            <w:r w:rsidRPr="00AB1033">
              <w:rPr>
                <w:sz w:val="15"/>
                <w:szCs w:val="15"/>
              </w:rPr>
              <w:t>Funkce:</w:t>
            </w:r>
          </w:p>
        </w:tc>
        <w:tc>
          <w:tcPr>
            <w:tcW w:w="3802" w:type="dxa"/>
            <w:shd w:val="clear" w:color="auto" w:fill="FFFFFF"/>
            <w:vAlign w:val="bottom"/>
          </w:tcPr>
          <w:p w:rsidR="00855A23" w:rsidRPr="00AB1033" w:rsidRDefault="006C320E">
            <w:pPr>
              <w:pStyle w:val="Jin0"/>
              <w:shd w:val="clear" w:color="auto" w:fill="auto"/>
              <w:spacing w:after="400"/>
              <w:ind w:firstLine="140"/>
              <w:rPr>
                <w:sz w:val="20"/>
                <w:szCs w:val="20"/>
              </w:rPr>
            </w:pPr>
            <w:r w:rsidRPr="00AB1033">
              <w:rPr>
                <w:rFonts w:ascii="Calibri" w:eastAsia="Calibri" w:hAnsi="Calibri" w:cs="Calibri"/>
                <w:sz w:val="20"/>
                <w:szCs w:val="20"/>
              </w:rPr>
              <w:t>XXXX</w:t>
            </w:r>
          </w:p>
          <w:p w:rsidR="00855A23" w:rsidRPr="00AB1033" w:rsidRDefault="00855A23">
            <w:pPr>
              <w:pStyle w:val="Jin0"/>
              <w:shd w:val="clear" w:color="auto" w:fill="auto"/>
              <w:spacing w:after="0"/>
              <w:ind w:left="1960"/>
              <w:rPr>
                <w:sz w:val="20"/>
                <w:szCs w:val="20"/>
              </w:rPr>
            </w:pPr>
          </w:p>
        </w:tc>
      </w:tr>
      <w:tr w:rsidR="00855A23" w:rsidRPr="00AB1033">
        <w:trPr>
          <w:trHeight w:hRule="exact" w:val="1051"/>
        </w:trPr>
        <w:tc>
          <w:tcPr>
            <w:tcW w:w="1291" w:type="dxa"/>
            <w:shd w:val="clear" w:color="auto" w:fill="FFFFFF"/>
          </w:tcPr>
          <w:p w:rsidR="00855A23" w:rsidRPr="00AB1033" w:rsidRDefault="00AB4B35">
            <w:pPr>
              <w:pStyle w:val="Jin0"/>
              <w:shd w:val="clear" w:color="auto" w:fill="auto"/>
              <w:spacing w:before="140" w:after="0"/>
              <w:rPr>
                <w:sz w:val="15"/>
                <w:szCs w:val="15"/>
              </w:rPr>
            </w:pPr>
            <w:r w:rsidRPr="00AB1033">
              <w:rPr>
                <w:sz w:val="15"/>
                <w:szCs w:val="15"/>
              </w:rPr>
              <w:t>ZÁKAZNÍK</w:t>
            </w:r>
          </w:p>
        </w:tc>
        <w:tc>
          <w:tcPr>
            <w:tcW w:w="3802" w:type="dxa"/>
            <w:shd w:val="clear" w:color="auto" w:fill="FFFFFF"/>
          </w:tcPr>
          <w:p w:rsidR="00855A23" w:rsidRPr="00AB1033" w:rsidRDefault="006C320E">
            <w:pPr>
              <w:pStyle w:val="Jin0"/>
              <w:shd w:val="clear" w:color="auto" w:fill="auto"/>
              <w:spacing w:after="0" w:line="180" w:lineRule="auto"/>
              <w:ind w:firstLine="140"/>
              <w:rPr>
                <w:sz w:val="20"/>
                <w:szCs w:val="20"/>
              </w:rPr>
            </w:pPr>
            <w:r w:rsidRPr="00AB1033">
              <w:rPr>
                <w:rFonts w:ascii="Segoe UI" w:eastAsia="Segoe UI" w:hAnsi="Segoe UI" w:cs="Segoe UI"/>
                <w:sz w:val="36"/>
                <w:szCs w:val="36"/>
              </w:rPr>
              <w:t>XXXX</w:t>
            </w:r>
          </w:p>
          <w:p w:rsidR="00855A23" w:rsidRPr="00AB1033" w:rsidRDefault="00855A23">
            <w:pPr>
              <w:pStyle w:val="Jin0"/>
              <w:shd w:val="clear" w:color="auto" w:fill="auto"/>
              <w:spacing w:after="0" w:line="226" w:lineRule="auto"/>
              <w:ind w:left="1960"/>
              <w:rPr>
                <w:sz w:val="20"/>
                <w:szCs w:val="20"/>
              </w:rPr>
            </w:pPr>
          </w:p>
        </w:tc>
      </w:tr>
    </w:tbl>
    <w:p w:rsidR="00855A23" w:rsidRPr="00AB1033" w:rsidRDefault="00AB4B35">
      <w:pPr>
        <w:pStyle w:val="Titulektabulky0"/>
        <w:shd w:val="clear" w:color="auto" w:fill="auto"/>
      </w:pPr>
      <w:r w:rsidRPr="00AB1033">
        <w:t>Datum a podpis:</w:t>
      </w:r>
      <w:r w:rsidR="006C320E" w:rsidRPr="00AB1033">
        <w:t xml:space="preserve">        </w:t>
      </w:r>
      <w:proofErr w:type="gramStart"/>
      <w:r w:rsidR="006C320E" w:rsidRPr="00AB1033">
        <w:t>24.06.2024</w:t>
      </w:r>
      <w:proofErr w:type="gramEnd"/>
    </w:p>
    <w:p w:rsidR="00855A23" w:rsidRPr="00AB1033" w:rsidRDefault="00855A23">
      <w:pPr>
        <w:spacing w:after="59"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91"/>
        <w:gridCol w:w="3802"/>
      </w:tblGrid>
      <w:tr w:rsidR="00855A23" w:rsidRPr="00AB1033">
        <w:trPr>
          <w:trHeight w:hRule="exact" w:val="341"/>
        </w:trPr>
        <w:tc>
          <w:tcPr>
            <w:tcW w:w="1291" w:type="dxa"/>
            <w:shd w:val="clear" w:color="auto" w:fill="FFFFFF"/>
            <w:vAlign w:val="bottom"/>
          </w:tcPr>
          <w:p w:rsidR="00855A23" w:rsidRPr="00AB1033" w:rsidRDefault="00AB4B35">
            <w:pPr>
              <w:pStyle w:val="Jin0"/>
              <w:shd w:val="clear" w:color="auto" w:fill="auto"/>
              <w:spacing w:after="0"/>
              <w:rPr>
                <w:sz w:val="15"/>
                <w:szCs w:val="15"/>
              </w:rPr>
            </w:pPr>
            <w:r w:rsidRPr="00AB1033">
              <w:rPr>
                <w:sz w:val="15"/>
                <w:szCs w:val="15"/>
              </w:rPr>
              <w:t>Jméno:</w:t>
            </w:r>
          </w:p>
        </w:tc>
        <w:tc>
          <w:tcPr>
            <w:tcW w:w="3802" w:type="dxa"/>
            <w:shd w:val="clear" w:color="auto" w:fill="FFFFFF"/>
            <w:vAlign w:val="bottom"/>
          </w:tcPr>
          <w:p w:rsidR="00855A23" w:rsidRPr="00AB1033" w:rsidRDefault="006C320E">
            <w:pPr>
              <w:pStyle w:val="Jin0"/>
              <w:shd w:val="clear" w:color="auto" w:fill="auto"/>
              <w:spacing w:after="0"/>
              <w:ind w:firstLine="140"/>
              <w:rPr>
                <w:sz w:val="15"/>
                <w:szCs w:val="15"/>
              </w:rPr>
            </w:pPr>
            <w:r w:rsidRPr="00AB1033">
              <w:rPr>
                <w:sz w:val="15"/>
                <w:szCs w:val="15"/>
              </w:rPr>
              <w:t>XXXX</w:t>
            </w:r>
          </w:p>
        </w:tc>
      </w:tr>
      <w:tr w:rsidR="00855A23">
        <w:trPr>
          <w:trHeight w:hRule="exact" w:val="192"/>
        </w:trPr>
        <w:tc>
          <w:tcPr>
            <w:tcW w:w="1291" w:type="dxa"/>
            <w:shd w:val="clear" w:color="auto" w:fill="FFFFFF"/>
            <w:vAlign w:val="bottom"/>
          </w:tcPr>
          <w:p w:rsidR="00855A23" w:rsidRPr="00AB1033" w:rsidRDefault="00AB4B35">
            <w:pPr>
              <w:pStyle w:val="Jin0"/>
              <w:shd w:val="clear" w:color="auto" w:fill="auto"/>
              <w:spacing w:after="0"/>
              <w:rPr>
                <w:sz w:val="15"/>
                <w:szCs w:val="15"/>
              </w:rPr>
            </w:pPr>
            <w:r w:rsidRPr="00AB1033">
              <w:rPr>
                <w:sz w:val="15"/>
                <w:szCs w:val="15"/>
              </w:rPr>
              <w:t>Funkce:</w:t>
            </w:r>
          </w:p>
        </w:tc>
        <w:tc>
          <w:tcPr>
            <w:tcW w:w="3802" w:type="dxa"/>
            <w:shd w:val="clear" w:color="auto" w:fill="FFFFFF"/>
            <w:vAlign w:val="bottom"/>
          </w:tcPr>
          <w:p w:rsidR="00855A23" w:rsidRPr="00AB1033" w:rsidRDefault="006C320E">
            <w:pPr>
              <w:pStyle w:val="Jin0"/>
              <w:shd w:val="clear" w:color="auto" w:fill="auto"/>
              <w:spacing w:after="0"/>
              <w:ind w:firstLine="140"/>
              <w:rPr>
                <w:sz w:val="15"/>
                <w:szCs w:val="15"/>
              </w:rPr>
            </w:pPr>
            <w:r w:rsidRPr="00AB1033">
              <w:rPr>
                <w:sz w:val="15"/>
                <w:szCs w:val="15"/>
              </w:rPr>
              <w:t>XXXX</w:t>
            </w:r>
          </w:p>
        </w:tc>
      </w:tr>
    </w:tbl>
    <w:p w:rsidR="00855A23" w:rsidRDefault="00855A23">
      <w:pPr>
        <w:sectPr w:rsidR="00855A23">
          <w:pgSz w:w="12240" w:h="15840"/>
          <w:pgMar w:top="1618" w:right="1224" w:bottom="1618" w:left="1512" w:header="0" w:footer="3" w:gutter="0"/>
          <w:cols w:space="720"/>
          <w:noEndnote/>
          <w:docGrid w:linePitch="360"/>
        </w:sectPr>
      </w:pPr>
    </w:p>
    <w:p w:rsidR="00855A23" w:rsidRDefault="00AB4B35">
      <w:pPr>
        <w:pStyle w:val="Nadpis30"/>
        <w:keepNext/>
        <w:keepLines/>
        <w:shd w:val="clear" w:color="auto" w:fill="auto"/>
        <w:jc w:val="both"/>
      </w:pPr>
      <w:bookmarkStart w:id="38" w:name="bookmark40"/>
      <w:bookmarkStart w:id="39" w:name="bookmark41"/>
      <w:r>
        <w:lastRenderedPageBreak/>
        <w:t>PŘÍLOHA 1</w:t>
      </w:r>
      <w:bookmarkEnd w:id="38"/>
      <w:bookmarkEnd w:id="39"/>
    </w:p>
    <w:p w:rsidR="00855A23" w:rsidRDefault="00AB4B35">
      <w:pPr>
        <w:pStyle w:val="Zkladntext20"/>
        <w:shd w:val="clear" w:color="auto" w:fill="auto"/>
        <w:spacing w:after="180"/>
        <w:jc w:val="both"/>
        <w:rPr>
          <w:sz w:val="19"/>
          <w:szCs w:val="19"/>
        </w:rPr>
      </w:pPr>
      <w:r>
        <w:rPr>
          <w:sz w:val="19"/>
          <w:szCs w:val="19"/>
        </w:rPr>
        <w:t>RÁMCOVÉ PODMÍNKY ZPRACOVÁNÍ OSOBNÍCH ÚDAJŮ</w:t>
      </w:r>
    </w:p>
    <w:p w:rsidR="00AB1033" w:rsidRDefault="00AB1033" w:rsidP="00AB1033">
      <w:pPr>
        <w:pStyle w:val="Nadpis20"/>
        <w:keepNext/>
        <w:keepLines/>
        <w:shd w:val="clear" w:color="auto" w:fill="auto"/>
        <w:spacing w:after="160"/>
        <w:jc w:val="both"/>
      </w:pPr>
      <w:r>
        <w:t>ANONYMIZOVÁNO</w:t>
      </w: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Zkladntext1"/>
        <w:shd w:val="clear" w:color="auto" w:fill="auto"/>
        <w:tabs>
          <w:tab w:val="left" w:pos="367"/>
        </w:tabs>
        <w:spacing w:after="240"/>
        <w:ind w:left="380"/>
        <w:jc w:val="both"/>
      </w:pPr>
    </w:p>
    <w:p w:rsidR="00AB1033" w:rsidRDefault="00AB1033" w:rsidP="00AB1033">
      <w:pPr>
        <w:pStyle w:val="Nadpis20"/>
        <w:keepNext/>
        <w:keepLines/>
        <w:shd w:val="clear" w:color="auto" w:fill="auto"/>
        <w:spacing w:after="160"/>
        <w:jc w:val="both"/>
      </w:pPr>
      <w:bookmarkStart w:id="40" w:name="bookmark50"/>
      <w:bookmarkStart w:id="41" w:name="bookmark51"/>
      <w:r>
        <w:lastRenderedPageBreak/>
        <w:t>ANONYMIZOVÁNO</w:t>
      </w: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p w:rsidR="00AB1033" w:rsidRDefault="00AB1033" w:rsidP="00AB1033">
      <w:pPr>
        <w:pStyle w:val="Nadpis20"/>
        <w:keepNext/>
        <w:keepLines/>
        <w:shd w:val="clear" w:color="auto" w:fill="auto"/>
        <w:spacing w:after="160"/>
        <w:jc w:val="both"/>
      </w:pPr>
    </w:p>
    <w:bookmarkEnd w:id="40"/>
    <w:bookmarkEnd w:id="41"/>
    <w:p w:rsidR="00AB1033" w:rsidRDefault="00AB1033" w:rsidP="00AB1033">
      <w:pPr>
        <w:pStyle w:val="Nadpis20"/>
        <w:keepNext/>
        <w:keepLines/>
        <w:shd w:val="clear" w:color="auto" w:fill="auto"/>
        <w:spacing w:after="160"/>
        <w:jc w:val="both"/>
      </w:pPr>
      <w:r>
        <w:lastRenderedPageBreak/>
        <w:t>ANONYMIZOVÁNO</w:t>
      </w: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AB1033" w:rsidRDefault="00AB1033" w:rsidP="00AB1033">
      <w:pPr>
        <w:pStyle w:val="Zkladntext1"/>
        <w:shd w:val="clear" w:color="auto" w:fill="auto"/>
        <w:tabs>
          <w:tab w:val="left" w:pos="360"/>
        </w:tabs>
        <w:spacing w:after="240"/>
      </w:pPr>
    </w:p>
    <w:p w:rsidR="00855A23" w:rsidRDefault="00AB4B35">
      <w:pPr>
        <w:pStyle w:val="Nadpis30"/>
        <w:keepNext/>
        <w:keepLines/>
        <w:shd w:val="clear" w:color="auto" w:fill="auto"/>
      </w:pPr>
      <w:bookmarkStart w:id="42" w:name="bookmark64"/>
      <w:bookmarkStart w:id="43" w:name="bookmark65"/>
      <w:r>
        <w:lastRenderedPageBreak/>
        <w:t>PŘÍLOHA 2</w:t>
      </w:r>
      <w:bookmarkEnd w:id="42"/>
      <w:bookmarkEnd w:id="43"/>
    </w:p>
    <w:p w:rsidR="00855A23" w:rsidRDefault="00AB4B35">
      <w:pPr>
        <w:pStyle w:val="Zkladntext20"/>
        <w:shd w:val="clear" w:color="auto" w:fill="auto"/>
        <w:spacing w:after="180"/>
        <w:rPr>
          <w:sz w:val="19"/>
          <w:szCs w:val="19"/>
        </w:rPr>
      </w:pPr>
      <w:r>
        <w:rPr>
          <w:sz w:val="19"/>
          <w:szCs w:val="19"/>
        </w:rPr>
        <w:t>OBJEDNÁVKA DIGITÁLNÍCH PRODUKTŮ NEBO SLUŽEB</w:t>
      </w:r>
    </w:p>
    <w:p w:rsidR="00E544F4" w:rsidRDefault="00E544F4" w:rsidP="00E544F4">
      <w:pPr>
        <w:pStyle w:val="Nadpis20"/>
        <w:keepNext/>
        <w:keepLines/>
        <w:shd w:val="clear" w:color="auto" w:fill="auto"/>
        <w:spacing w:after="160"/>
        <w:jc w:val="both"/>
      </w:pPr>
      <w:r>
        <w:t>ANONYMIZOVÁNO</w:t>
      </w:r>
    </w:p>
    <w:p w:rsidR="00855A23" w:rsidRDefault="00855A23">
      <w:pPr>
        <w:spacing w:after="339" w:line="1" w:lineRule="exact"/>
      </w:pPr>
    </w:p>
    <w:p w:rsidR="00E544F4" w:rsidRDefault="00E544F4">
      <w:pPr>
        <w:pStyle w:val="Nadpis50"/>
        <w:keepNext/>
        <w:keepLines/>
        <w:shd w:val="clear" w:color="auto" w:fill="auto"/>
        <w:spacing w:after="180"/>
        <w:jc w:val="center"/>
        <w:rPr>
          <w:u w:val="single"/>
        </w:rPr>
      </w:pPr>
      <w:bookmarkStart w:id="44" w:name="bookmark66"/>
      <w:bookmarkStart w:id="45" w:name="bookmark67"/>
    </w:p>
    <w:p w:rsidR="00E544F4" w:rsidRDefault="00E544F4" w:rsidP="00E544F4">
      <w:pPr>
        <w:pStyle w:val="Nadpis20"/>
        <w:keepNext/>
        <w:keepLines/>
        <w:shd w:val="clear" w:color="auto" w:fill="auto"/>
        <w:spacing w:after="160"/>
        <w:jc w:val="both"/>
      </w:pPr>
      <w:r>
        <w:t>ANONYMIZOVÁNO</w:t>
      </w: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p w:rsidR="00E544F4" w:rsidRDefault="00E544F4">
      <w:pPr>
        <w:pStyle w:val="Nadpis50"/>
        <w:keepNext/>
        <w:keepLines/>
        <w:shd w:val="clear" w:color="auto" w:fill="auto"/>
        <w:spacing w:after="180"/>
        <w:jc w:val="center"/>
        <w:rPr>
          <w:u w:val="single"/>
        </w:rPr>
      </w:pPr>
    </w:p>
    <w:bookmarkEnd w:id="44"/>
    <w:bookmarkEnd w:id="45"/>
    <w:p w:rsidR="00E544F4" w:rsidRDefault="00E544F4">
      <w:pPr>
        <w:pStyle w:val="Zkladntext1"/>
        <w:shd w:val="clear" w:color="auto" w:fill="auto"/>
        <w:spacing w:after="0"/>
        <w:ind w:firstLine="740"/>
      </w:pPr>
    </w:p>
    <w:p w:rsidR="00E544F4" w:rsidRDefault="00E544F4">
      <w:pPr>
        <w:pStyle w:val="Zkladntext1"/>
        <w:shd w:val="clear" w:color="auto" w:fill="auto"/>
        <w:spacing w:after="0"/>
        <w:ind w:firstLine="740"/>
      </w:pPr>
    </w:p>
    <w:p w:rsidR="00E544F4" w:rsidRDefault="00E544F4">
      <w:pPr>
        <w:pStyle w:val="Zkladntext1"/>
        <w:shd w:val="clear" w:color="auto" w:fill="auto"/>
        <w:spacing w:after="0"/>
        <w:ind w:firstLine="740"/>
      </w:pPr>
    </w:p>
    <w:p w:rsidR="00E544F4" w:rsidRDefault="00E544F4">
      <w:pPr>
        <w:pStyle w:val="Zkladntext1"/>
        <w:shd w:val="clear" w:color="auto" w:fill="auto"/>
        <w:spacing w:after="0"/>
        <w:ind w:firstLine="740"/>
      </w:pPr>
    </w:p>
    <w:p w:rsidR="00E544F4" w:rsidRDefault="00AB4B35" w:rsidP="00E544F4">
      <w:pPr>
        <w:pStyle w:val="Zkladntext1"/>
        <w:shd w:val="clear" w:color="auto" w:fill="auto"/>
        <w:spacing w:after="0"/>
        <w:ind w:firstLine="740"/>
      </w:pPr>
      <w:r>
        <w:t>:</w:t>
      </w:r>
    </w:p>
    <w:p w:rsidR="00855A23" w:rsidRDefault="00855A23">
      <w:pPr>
        <w:pStyle w:val="Zkladntext1"/>
        <w:shd w:val="clear" w:color="auto" w:fill="auto"/>
        <w:tabs>
          <w:tab w:val="left" w:leader="underscore" w:pos="4218"/>
        </w:tabs>
        <w:spacing w:after="180"/>
        <w:sectPr w:rsidR="00855A23">
          <w:pgSz w:w="12240" w:h="15840"/>
          <w:pgMar w:top="1411" w:right="1152" w:bottom="1694" w:left="1402" w:header="0" w:footer="3" w:gutter="0"/>
          <w:cols w:space="720"/>
          <w:noEndnote/>
          <w:docGrid w:linePitch="360"/>
        </w:sectPr>
      </w:pPr>
    </w:p>
    <w:p w:rsidR="00855A23" w:rsidRDefault="00AB4B35">
      <w:pPr>
        <w:pStyle w:val="Zkladntext20"/>
        <w:shd w:val="clear" w:color="auto" w:fill="auto"/>
        <w:jc w:val="both"/>
      </w:pPr>
      <w:r>
        <w:lastRenderedPageBreak/>
        <w:t>Příloha 1</w:t>
      </w:r>
    </w:p>
    <w:p w:rsidR="00855A23" w:rsidRDefault="00AB4B35">
      <w:pPr>
        <w:pStyle w:val="Zkladntext20"/>
        <w:shd w:val="clear" w:color="auto" w:fill="auto"/>
        <w:ind w:left="4480" w:hanging="4480"/>
        <w:jc w:val="both"/>
      </w:pPr>
      <w:r>
        <w:t xml:space="preserve">Smlouva o zpracování osobních údajů </w:t>
      </w:r>
      <w:proofErr w:type="gramStart"/>
      <w:r>
        <w:t>mezi</w:t>
      </w:r>
      <w:proofErr w:type="gramEnd"/>
    </w:p>
    <w:p w:rsidR="00E544F4" w:rsidRDefault="00E544F4" w:rsidP="00E544F4">
      <w:pPr>
        <w:pStyle w:val="Nadpis20"/>
        <w:keepNext/>
        <w:keepLines/>
        <w:shd w:val="clear" w:color="auto" w:fill="auto"/>
        <w:spacing w:after="160"/>
        <w:jc w:val="both"/>
      </w:pPr>
    </w:p>
    <w:p w:rsidR="00E544F4" w:rsidRDefault="00E544F4" w:rsidP="00E544F4">
      <w:pPr>
        <w:pStyle w:val="Nadpis20"/>
        <w:keepNext/>
        <w:keepLines/>
        <w:shd w:val="clear" w:color="auto" w:fill="auto"/>
        <w:spacing w:after="160"/>
        <w:jc w:val="both"/>
      </w:pPr>
      <w:r>
        <w:t>ANONYMIZOVÁNO</w:t>
      </w:r>
    </w:p>
    <w:p w:rsidR="00253C84" w:rsidRDefault="00253C8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E544F4" w:rsidRDefault="00E544F4">
      <w:pPr>
        <w:pStyle w:val="Zkladntext20"/>
        <w:shd w:val="clear" w:color="auto" w:fill="auto"/>
      </w:pPr>
    </w:p>
    <w:p w:rsidR="00855A23" w:rsidRDefault="00AB4B35">
      <w:pPr>
        <w:pStyle w:val="Zkladntext20"/>
        <w:shd w:val="clear" w:color="auto" w:fill="auto"/>
      </w:pPr>
      <w:r>
        <w:t>Příloha A</w:t>
      </w:r>
    </w:p>
    <w:p w:rsidR="00855A23" w:rsidRDefault="00AB4B35">
      <w:pPr>
        <w:pStyle w:val="Zkladntext20"/>
        <w:shd w:val="clear" w:color="auto" w:fill="auto"/>
        <w:spacing w:after="260"/>
      </w:pPr>
      <w:r>
        <w:t>Technická a organizační opatření</w:t>
      </w:r>
    </w:p>
    <w:p w:rsidR="00E544F4" w:rsidRDefault="00E544F4" w:rsidP="00E544F4">
      <w:pPr>
        <w:pStyle w:val="Nadpis20"/>
        <w:keepNext/>
        <w:keepLines/>
        <w:shd w:val="clear" w:color="auto" w:fill="auto"/>
        <w:spacing w:after="160"/>
        <w:jc w:val="both"/>
      </w:pPr>
      <w:r>
        <w:t>ANONYMIZOVÁNO</w:t>
      </w:r>
    </w:p>
    <w:p w:rsidR="00855A23" w:rsidRDefault="00855A23">
      <w:pPr>
        <w:pStyle w:val="Zkladntext1"/>
        <w:numPr>
          <w:ilvl w:val="0"/>
          <w:numId w:val="6"/>
        </w:numPr>
        <w:shd w:val="clear" w:color="auto" w:fill="auto"/>
        <w:tabs>
          <w:tab w:val="left" w:pos="744"/>
        </w:tabs>
        <w:spacing w:after="0" w:line="204" w:lineRule="auto"/>
        <w:ind w:left="740" w:hanging="360"/>
        <w:sectPr w:rsidR="00855A23">
          <w:pgSz w:w="12240" w:h="15840"/>
          <w:pgMar w:top="1661" w:right="1433" w:bottom="3619" w:left="1390" w:header="0" w:footer="3" w:gutter="0"/>
          <w:cols w:space="720"/>
          <w:noEndnote/>
          <w:docGrid w:linePitch="360"/>
        </w:sectPr>
      </w:pPr>
    </w:p>
    <w:p w:rsidR="00855A23" w:rsidRDefault="00AB4B35">
      <w:pPr>
        <w:pStyle w:val="Zkladntext20"/>
        <w:shd w:val="clear" w:color="auto" w:fill="auto"/>
        <w:spacing w:before="240"/>
        <w:jc w:val="both"/>
      </w:pPr>
      <w:r>
        <w:lastRenderedPageBreak/>
        <w:t>Příloha 2</w:t>
      </w:r>
    </w:p>
    <w:p w:rsidR="00855A23" w:rsidRDefault="00AB4B35">
      <w:pPr>
        <w:pStyle w:val="Zkladntext20"/>
        <w:shd w:val="clear" w:color="auto" w:fill="auto"/>
        <w:spacing w:after="260"/>
        <w:jc w:val="both"/>
      </w:pPr>
      <w:r>
        <w:t xml:space="preserve">Smlouva s koncovým uživatelem softwaru </w:t>
      </w:r>
      <w:proofErr w:type="spellStart"/>
      <w:r>
        <w:t>Tableau</w:t>
      </w:r>
      <w:proofErr w:type="spellEnd"/>
    </w:p>
    <w:p w:rsidR="00E544F4" w:rsidRDefault="00E544F4" w:rsidP="00E544F4">
      <w:pPr>
        <w:pStyle w:val="Nadpis20"/>
        <w:keepNext/>
        <w:keepLines/>
        <w:shd w:val="clear" w:color="auto" w:fill="auto"/>
        <w:spacing w:after="160"/>
        <w:jc w:val="both"/>
      </w:pPr>
      <w:r>
        <w:t>ANONYMIZOVÁNO</w:t>
      </w: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pPr>
        <w:pStyle w:val="Zkladntext1"/>
        <w:shd w:val="clear" w:color="auto" w:fill="auto"/>
        <w:spacing w:after="120"/>
        <w:jc w:val="both"/>
      </w:pPr>
    </w:p>
    <w:p w:rsidR="00E544F4" w:rsidRDefault="00E544F4" w:rsidP="00E544F4">
      <w:pPr>
        <w:pStyle w:val="Nadpis20"/>
        <w:keepNext/>
        <w:keepLines/>
        <w:shd w:val="clear" w:color="auto" w:fill="auto"/>
        <w:spacing w:after="160"/>
        <w:jc w:val="both"/>
      </w:pPr>
      <w:r>
        <w:lastRenderedPageBreak/>
        <w:t>ANONYMIZOVÁNO</w:t>
      </w:r>
    </w:p>
    <w:p w:rsidR="00E544F4" w:rsidRDefault="00E544F4">
      <w:pPr>
        <w:pStyle w:val="Zkladntext1"/>
        <w:shd w:val="clear" w:color="auto" w:fill="auto"/>
        <w:spacing w:after="120"/>
        <w:jc w:val="both"/>
      </w:pPr>
    </w:p>
    <w:p w:rsidR="00E544F4" w:rsidRDefault="00E544F4" w:rsidP="00E544F4">
      <w:pPr>
        <w:pStyle w:val="Nadpis50"/>
        <w:keepNext/>
        <w:keepLines/>
        <w:shd w:val="clear" w:color="auto" w:fill="auto"/>
        <w:tabs>
          <w:tab w:val="left" w:pos="427"/>
        </w:tabs>
      </w:pPr>
      <w:bookmarkStart w:id="46" w:name="bookmark108"/>
      <w:bookmarkStart w:id="47" w:name="bookmark109"/>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50"/>
        <w:keepNext/>
        <w:keepLines/>
        <w:shd w:val="clear" w:color="auto" w:fill="auto"/>
        <w:tabs>
          <w:tab w:val="left" w:pos="427"/>
        </w:tabs>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rPr>
          <w:sz w:val="16"/>
          <w:szCs w:val="16"/>
          <w:u w:val="none"/>
          <w:lang w:val="cs-CZ" w:eastAsia="cs-CZ" w:bidi="cs-CZ"/>
        </w:rPr>
      </w:pPr>
    </w:p>
    <w:p w:rsidR="00E544F4" w:rsidRDefault="00E544F4" w:rsidP="00E544F4">
      <w:pPr>
        <w:pStyle w:val="Nadpis20"/>
        <w:keepNext/>
        <w:keepLines/>
        <w:shd w:val="clear" w:color="auto" w:fill="auto"/>
        <w:spacing w:after="160"/>
        <w:jc w:val="both"/>
      </w:pPr>
      <w:bookmarkStart w:id="48" w:name="_GoBack"/>
      <w:bookmarkEnd w:id="48"/>
    </w:p>
    <w:p w:rsidR="00E544F4" w:rsidRDefault="00E544F4" w:rsidP="00E544F4">
      <w:pPr>
        <w:pStyle w:val="Nadpis50"/>
        <w:keepNext/>
        <w:keepLines/>
        <w:shd w:val="clear" w:color="auto" w:fill="auto"/>
        <w:tabs>
          <w:tab w:val="left" w:pos="427"/>
        </w:tabs>
      </w:pPr>
    </w:p>
    <w:bookmarkEnd w:id="46"/>
    <w:bookmarkEnd w:id="47"/>
    <w:sectPr w:rsidR="00E544F4">
      <w:pgSz w:w="12240" w:h="15840"/>
      <w:pgMar w:top="1421" w:right="1347" w:bottom="1575" w:left="13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35" w:rsidRDefault="00AB4B35">
      <w:r>
        <w:separator/>
      </w:r>
    </w:p>
  </w:endnote>
  <w:endnote w:type="continuationSeparator" w:id="0">
    <w:p w:rsidR="00AB4B35" w:rsidRDefault="00A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5" w:rsidRDefault="00AB4B3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6513195</wp:posOffset>
              </wp:positionH>
              <wp:positionV relativeFrom="page">
                <wp:posOffset>9400540</wp:posOffset>
              </wp:positionV>
              <wp:extent cx="31369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313690" cy="91440"/>
                      </a:xfrm>
                      <a:prstGeom prst="rect">
                        <a:avLst/>
                      </a:prstGeom>
                      <a:noFill/>
                    </wps:spPr>
                    <wps:txbx>
                      <w:txbxContent>
                        <w:p w:rsidR="00AB4B35" w:rsidRDefault="00AB4B35">
                          <w:pPr>
                            <w:pStyle w:val="Zhlavnebozpat20"/>
                            <w:shd w:val="clear" w:color="auto" w:fill="auto"/>
                            <w:rPr>
                              <w:sz w:val="16"/>
                              <w:szCs w:val="16"/>
                            </w:rPr>
                          </w:pPr>
                          <w:r>
                            <w:fldChar w:fldCharType="begin"/>
                          </w:r>
                          <w:r>
                            <w:instrText xml:space="preserve"> PAGE \* MERGEFORMAT </w:instrText>
                          </w:r>
                          <w:r>
                            <w:fldChar w:fldCharType="separate"/>
                          </w:r>
                          <w:r w:rsidR="00E544F4" w:rsidRPr="00E544F4">
                            <w:rPr>
                              <w:rFonts w:ascii="Arial" w:eastAsia="Arial" w:hAnsi="Arial" w:cs="Arial"/>
                              <w:b/>
                              <w:bCs/>
                              <w:noProof/>
                              <w:sz w:val="16"/>
                              <w:szCs w:val="16"/>
                            </w:rPr>
                            <w:t>23</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 </w:t>
                          </w:r>
                          <w:r>
                            <w:rPr>
                              <w:rFonts w:ascii="Arial" w:eastAsia="Arial" w:hAnsi="Arial" w:cs="Arial"/>
                              <w:b/>
                              <w:bCs/>
                              <w:sz w:val="16"/>
                              <w:szCs w:val="16"/>
                            </w:rPr>
                            <w:t>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512.85pt;margin-top:740.2pt;width:24.7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" filled="f" stroked="f">
              <v:textbox style="mso-fit-shape-to-text:t" inset="0,0,0,0">
                <w:txbxContent>
                  <w:p w:rsidR="00AB4B35" w:rsidRDefault="00AB4B35">
                    <w:pPr>
                      <w:pStyle w:val="Zhlavnebozpat20"/>
                      <w:shd w:val="clear" w:color="auto" w:fill="auto"/>
                      <w:rPr>
                        <w:sz w:val="16"/>
                        <w:szCs w:val="16"/>
                      </w:rPr>
                    </w:pPr>
                    <w:r>
                      <w:fldChar w:fldCharType="begin"/>
                    </w:r>
                    <w:r>
                      <w:instrText xml:space="preserve"> PAGE \* MERGEFORMAT </w:instrText>
                    </w:r>
                    <w:r>
                      <w:fldChar w:fldCharType="separate"/>
                    </w:r>
                    <w:r w:rsidR="00E544F4" w:rsidRPr="00E544F4">
                      <w:rPr>
                        <w:rFonts w:ascii="Arial" w:eastAsia="Arial" w:hAnsi="Arial" w:cs="Arial"/>
                        <w:b/>
                        <w:bCs/>
                        <w:noProof/>
                        <w:sz w:val="16"/>
                        <w:szCs w:val="16"/>
                      </w:rPr>
                      <w:t>23</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 </w:t>
                    </w:r>
                    <w:r>
                      <w:rPr>
                        <w:rFonts w:ascii="Arial" w:eastAsia="Arial" w:hAnsi="Arial" w:cs="Arial"/>
                        <w:b/>
                        <w:bCs/>
                        <w:sz w:val="16"/>
                        <w:szCs w:val="16"/>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35" w:rsidRDefault="00AB4B35"/>
  </w:footnote>
  <w:footnote w:type="continuationSeparator" w:id="0">
    <w:p w:rsidR="00AB4B35" w:rsidRDefault="00AB4B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35" w:rsidRDefault="00AB4B3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5753100</wp:posOffset>
              </wp:positionH>
              <wp:positionV relativeFrom="page">
                <wp:posOffset>140970</wp:posOffset>
              </wp:positionV>
              <wp:extent cx="148717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487170" cy="125095"/>
                      </a:xfrm>
                      <a:prstGeom prst="rect">
                        <a:avLst/>
                      </a:prstGeom>
                      <a:noFill/>
                    </wps:spPr>
                    <wps:txbx>
                      <w:txbxContent>
                        <w:p w:rsidR="00AB4B35" w:rsidRDefault="00AB4B35">
                          <w:pPr>
                            <w:pStyle w:val="Zhlavnebozpat20"/>
                            <w:shd w:val="clear" w:color="auto" w:fill="auto"/>
                          </w:pPr>
                          <w:proofErr w:type="spellStart"/>
                          <w:r>
                            <w:rPr>
                              <w:rFonts w:ascii="Calibri" w:eastAsia="Calibri" w:hAnsi="Calibri" w:cs="Calibri"/>
                            </w:rPr>
                            <w:t>Roche</w:t>
                          </w:r>
                          <w:proofErr w:type="spellEnd"/>
                          <w:r>
                            <w:rPr>
                              <w:rFonts w:ascii="Calibri" w:eastAsia="Calibri" w:hAnsi="Calibri" w:cs="Calibri"/>
                            </w:rPr>
                            <w:t xml:space="preserve"> </w:t>
                          </w:r>
                          <w:proofErr w:type="spellStart"/>
                          <w:r>
                            <w:rPr>
                              <w:rFonts w:ascii="Calibri" w:eastAsia="Calibri" w:hAnsi="Calibri" w:cs="Calibri"/>
                            </w:rPr>
                            <w:t>Ag</w:t>
                          </w:r>
                          <w:proofErr w:type="spellEnd"/>
                          <w:r>
                            <w:rPr>
                              <w:rFonts w:ascii="Calibri" w:eastAsia="Calibri" w:hAnsi="Calibri" w:cs="Calibri"/>
                            </w:rPr>
                            <w:t xml:space="preserve"> ID: </w:t>
                          </w:r>
                          <w:proofErr w:type="gramStart"/>
                          <w:r>
                            <w:rPr>
                              <w:rFonts w:ascii="Calibri" w:eastAsia="Calibri" w:hAnsi="Calibri" w:cs="Calibri"/>
                            </w:rPr>
                            <w:t>129619-mnz-v2</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453pt;margin-top:11.1pt;width:117.1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pQlAEAACIDAAAOAAAAZHJzL2Uyb0RvYy54bWysUsFOwzAMvSPxD1HurN0ED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" filled="f" stroked="f">
              <v:textbox style="mso-fit-shape-to-text:t" inset="0,0,0,0">
                <w:txbxContent>
                  <w:p w:rsidR="00AB4B35" w:rsidRDefault="00AB4B35">
                    <w:pPr>
                      <w:pStyle w:val="Zhlavnebozpat20"/>
                      <w:shd w:val="clear" w:color="auto" w:fill="auto"/>
                    </w:pPr>
                    <w:proofErr w:type="spellStart"/>
                    <w:r>
                      <w:rPr>
                        <w:rFonts w:ascii="Calibri" w:eastAsia="Calibri" w:hAnsi="Calibri" w:cs="Calibri"/>
                      </w:rPr>
                      <w:t>Roche</w:t>
                    </w:r>
                    <w:proofErr w:type="spellEnd"/>
                    <w:r>
                      <w:rPr>
                        <w:rFonts w:ascii="Calibri" w:eastAsia="Calibri" w:hAnsi="Calibri" w:cs="Calibri"/>
                      </w:rPr>
                      <w:t xml:space="preserve"> </w:t>
                    </w:r>
                    <w:proofErr w:type="spellStart"/>
                    <w:r>
                      <w:rPr>
                        <w:rFonts w:ascii="Calibri" w:eastAsia="Calibri" w:hAnsi="Calibri" w:cs="Calibri"/>
                      </w:rPr>
                      <w:t>Ag</w:t>
                    </w:r>
                    <w:proofErr w:type="spellEnd"/>
                    <w:r>
                      <w:rPr>
                        <w:rFonts w:ascii="Calibri" w:eastAsia="Calibri" w:hAnsi="Calibri" w:cs="Calibri"/>
                      </w:rPr>
                      <w:t xml:space="preserve"> ID: </w:t>
                    </w:r>
                    <w:proofErr w:type="gramStart"/>
                    <w:r>
                      <w:rPr>
                        <w:rFonts w:ascii="Calibri" w:eastAsia="Calibri" w:hAnsi="Calibri" w:cs="Calibri"/>
                      </w:rPr>
                      <w:t>129619-mnz-v2</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934"/>
    <w:multiLevelType w:val="multilevel"/>
    <w:tmpl w:val="0CA69C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487"/>
    <w:multiLevelType w:val="multilevel"/>
    <w:tmpl w:val="7D5A5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B4CC9"/>
    <w:multiLevelType w:val="multilevel"/>
    <w:tmpl w:val="1EA0463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443EA"/>
    <w:multiLevelType w:val="multilevel"/>
    <w:tmpl w:val="6C462CB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8442C"/>
    <w:multiLevelType w:val="multilevel"/>
    <w:tmpl w:val="26945E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4410D"/>
    <w:multiLevelType w:val="multilevel"/>
    <w:tmpl w:val="B0F41B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E169D"/>
    <w:multiLevelType w:val="multilevel"/>
    <w:tmpl w:val="7E062B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C7A23"/>
    <w:multiLevelType w:val="multilevel"/>
    <w:tmpl w:val="D876E3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A6626"/>
    <w:multiLevelType w:val="multilevel"/>
    <w:tmpl w:val="FEF80C8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8452D3"/>
    <w:multiLevelType w:val="multilevel"/>
    <w:tmpl w:val="81A63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D7EE6"/>
    <w:multiLevelType w:val="multilevel"/>
    <w:tmpl w:val="214E28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B69E6"/>
    <w:multiLevelType w:val="multilevel"/>
    <w:tmpl w:val="E5D0F9BA"/>
    <w:lvl w:ilvl="0">
      <w:start w:val="2"/>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A5E9B"/>
    <w:multiLevelType w:val="multilevel"/>
    <w:tmpl w:val="5C44F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94BF4"/>
    <w:multiLevelType w:val="multilevel"/>
    <w:tmpl w:val="0F046C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3C31E2"/>
    <w:multiLevelType w:val="multilevel"/>
    <w:tmpl w:val="B7C0B8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B34BA2"/>
    <w:multiLevelType w:val="multilevel"/>
    <w:tmpl w:val="BA7A4CDC"/>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493162"/>
    <w:multiLevelType w:val="multilevel"/>
    <w:tmpl w:val="6C961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83D67"/>
    <w:multiLevelType w:val="multilevel"/>
    <w:tmpl w:val="9DCE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357C64"/>
    <w:multiLevelType w:val="multilevel"/>
    <w:tmpl w:val="C848FD9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ED445A"/>
    <w:multiLevelType w:val="multilevel"/>
    <w:tmpl w:val="01BE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F1556D"/>
    <w:multiLevelType w:val="multilevel"/>
    <w:tmpl w:val="E07A2C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A5A58"/>
    <w:multiLevelType w:val="multilevel"/>
    <w:tmpl w:val="6C8E18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704190"/>
    <w:multiLevelType w:val="multilevel"/>
    <w:tmpl w:val="CC300B3A"/>
    <w:lvl w:ilvl="0">
      <w:start w:val="1"/>
      <w:numFmt w:val="upp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737B54"/>
    <w:multiLevelType w:val="multilevel"/>
    <w:tmpl w:val="1E62F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0C6387"/>
    <w:multiLevelType w:val="multilevel"/>
    <w:tmpl w:val="EC52B2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62A7A"/>
    <w:multiLevelType w:val="multilevel"/>
    <w:tmpl w:val="79D8B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EB0252"/>
    <w:multiLevelType w:val="multilevel"/>
    <w:tmpl w:val="81F4CB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6"/>
  </w:num>
  <w:num w:numId="3">
    <w:abstractNumId w:val="20"/>
  </w:num>
  <w:num w:numId="4">
    <w:abstractNumId w:val="24"/>
  </w:num>
  <w:num w:numId="5">
    <w:abstractNumId w:val="15"/>
  </w:num>
  <w:num w:numId="6">
    <w:abstractNumId w:val="4"/>
  </w:num>
  <w:num w:numId="7">
    <w:abstractNumId w:val="22"/>
  </w:num>
  <w:num w:numId="8">
    <w:abstractNumId w:val="25"/>
  </w:num>
  <w:num w:numId="9">
    <w:abstractNumId w:val="16"/>
  </w:num>
  <w:num w:numId="10">
    <w:abstractNumId w:val="18"/>
  </w:num>
  <w:num w:numId="11">
    <w:abstractNumId w:val="13"/>
  </w:num>
  <w:num w:numId="12">
    <w:abstractNumId w:val="17"/>
  </w:num>
  <w:num w:numId="13">
    <w:abstractNumId w:val="21"/>
  </w:num>
  <w:num w:numId="14">
    <w:abstractNumId w:val="6"/>
  </w:num>
  <w:num w:numId="15">
    <w:abstractNumId w:val="23"/>
  </w:num>
  <w:num w:numId="16">
    <w:abstractNumId w:val="8"/>
  </w:num>
  <w:num w:numId="17">
    <w:abstractNumId w:val="0"/>
  </w:num>
  <w:num w:numId="18">
    <w:abstractNumId w:val="19"/>
  </w:num>
  <w:num w:numId="19">
    <w:abstractNumId w:val="10"/>
  </w:num>
  <w:num w:numId="20">
    <w:abstractNumId w:val="5"/>
  </w:num>
  <w:num w:numId="21">
    <w:abstractNumId w:val="7"/>
  </w:num>
  <w:num w:numId="22">
    <w:abstractNumId w:val="9"/>
  </w:num>
  <w:num w:numId="23">
    <w:abstractNumId w:val="3"/>
  </w:num>
  <w:num w:numId="24">
    <w:abstractNumId w:val="14"/>
  </w:num>
  <w:num w:numId="25">
    <w:abstractNumId w:val="12"/>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5A23"/>
    <w:rsid w:val="00253C84"/>
    <w:rsid w:val="006C320E"/>
    <w:rsid w:val="00791F7F"/>
    <w:rsid w:val="00855A23"/>
    <w:rsid w:val="00AB1033"/>
    <w:rsid w:val="00AB4B35"/>
    <w:rsid w:val="00E5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6"/>
      <w:szCs w:val="36"/>
      <w:u w:val="none"/>
      <w:lang w:val="en-US" w:eastAsia="en-US" w:bidi="en-US"/>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singl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val="0"/>
      <w:bCs w:val="0"/>
      <w:i/>
      <w:iCs/>
      <w:smallCaps w:val="0"/>
      <w:strike w:val="0"/>
      <w:sz w:val="20"/>
      <w:szCs w:val="20"/>
      <w:u w:val="none"/>
    </w:rPr>
  </w:style>
  <w:style w:type="paragraph" w:customStyle="1" w:styleId="Zkladntext40">
    <w:name w:val="Základní text (4)"/>
    <w:basedOn w:val="Normln"/>
    <w:link w:val="Zkladntext4"/>
    <w:pPr>
      <w:shd w:val="clear" w:color="auto" w:fill="FFFFFF"/>
    </w:pPr>
    <w:rPr>
      <w:rFonts w:ascii="Segoe UI" w:eastAsia="Segoe UI" w:hAnsi="Segoe UI" w:cs="Segoe UI"/>
      <w:sz w:val="36"/>
      <w:szCs w:val="36"/>
      <w:lang w:val="en-US" w:eastAsia="en-US" w:bidi="en-US"/>
    </w:rPr>
  </w:style>
  <w:style w:type="paragraph" w:customStyle="1" w:styleId="Nadpis10">
    <w:name w:val="Nadpis #1"/>
    <w:basedOn w:val="Normln"/>
    <w:link w:val="Nadpis1"/>
    <w:pPr>
      <w:shd w:val="clear" w:color="auto" w:fill="FFFFFF"/>
      <w:outlineLvl w:val="0"/>
    </w:pPr>
    <w:rPr>
      <w:rFonts w:ascii="Segoe UI" w:eastAsia="Segoe UI" w:hAnsi="Segoe UI" w:cs="Segoe UI"/>
      <w:sz w:val="36"/>
      <w:szCs w:val="36"/>
    </w:rPr>
  </w:style>
  <w:style w:type="paragraph" w:customStyle="1" w:styleId="Zkladntext1">
    <w:name w:val="Základní text1"/>
    <w:basedOn w:val="Normln"/>
    <w:link w:val="Zkladntext"/>
    <w:pPr>
      <w:shd w:val="clear" w:color="auto" w:fill="FFFFFF"/>
      <w:spacing w:after="100"/>
    </w:pPr>
    <w:rPr>
      <w:rFonts w:ascii="Arial" w:eastAsia="Arial" w:hAnsi="Arial" w:cs="Arial"/>
      <w:sz w:val="16"/>
      <w:szCs w:val="16"/>
    </w:rPr>
  </w:style>
  <w:style w:type="paragraph" w:customStyle="1" w:styleId="Nadpis20">
    <w:name w:val="Nadpis #2"/>
    <w:basedOn w:val="Normln"/>
    <w:link w:val="Nadpis2"/>
    <w:pPr>
      <w:shd w:val="clear" w:color="auto" w:fill="FFFFFF"/>
      <w:spacing w:after="260"/>
      <w:jc w:val="center"/>
      <w:outlineLvl w:val="1"/>
    </w:pPr>
    <w:rPr>
      <w:rFonts w:ascii="Arial" w:eastAsia="Arial" w:hAnsi="Arial" w:cs="Arial"/>
      <w:b/>
      <w:bCs/>
      <w:sz w:val="22"/>
      <w:szCs w:val="22"/>
      <w:u w:val="single"/>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20"/>
      <w:outlineLvl w:val="4"/>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spacing w:after="18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spacing w:after="100"/>
    </w:pPr>
    <w:rPr>
      <w:rFonts w:ascii="Arial" w:eastAsia="Arial" w:hAnsi="Arial" w:cs="Arial"/>
      <w:sz w:val="16"/>
      <w:szCs w:val="16"/>
    </w:rPr>
  </w:style>
  <w:style w:type="paragraph" w:customStyle="1" w:styleId="Nadpis30">
    <w:name w:val="Nadpis #3"/>
    <w:basedOn w:val="Normln"/>
    <w:link w:val="Nadpis3"/>
    <w:pPr>
      <w:shd w:val="clear" w:color="auto" w:fill="FFFFFF"/>
      <w:outlineLvl w:val="2"/>
    </w:pPr>
    <w:rPr>
      <w:rFonts w:ascii="Arial" w:eastAsia="Arial" w:hAnsi="Arial" w:cs="Arial"/>
      <w:sz w:val="20"/>
      <w:szCs w:val="20"/>
    </w:rPr>
  </w:style>
  <w:style w:type="paragraph" w:customStyle="1" w:styleId="Nadpis40">
    <w:name w:val="Nadpis #4"/>
    <w:basedOn w:val="Normln"/>
    <w:link w:val="Nadpis4"/>
    <w:pPr>
      <w:shd w:val="clear" w:color="auto" w:fill="FFFFFF"/>
      <w:spacing w:after="20"/>
      <w:jc w:val="center"/>
      <w:outlineLvl w:val="3"/>
    </w:pPr>
    <w:rPr>
      <w:rFonts w:ascii="Arial" w:eastAsia="Arial"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6"/>
      <w:szCs w:val="36"/>
      <w:u w:val="none"/>
      <w:lang w:val="en-US" w:eastAsia="en-US" w:bidi="en-US"/>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singl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val="0"/>
      <w:bCs w:val="0"/>
      <w:i/>
      <w:iCs/>
      <w:smallCaps w:val="0"/>
      <w:strike w:val="0"/>
      <w:sz w:val="20"/>
      <w:szCs w:val="20"/>
      <w:u w:val="none"/>
    </w:rPr>
  </w:style>
  <w:style w:type="paragraph" w:customStyle="1" w:styleId="Zkladntext40">
    <w:name w:val="Základní text (4)"/>
    <w:basedOn w:val="Normln"/>
    <w:link w:val="Zkladntext4"/>
    <w:pPr>
      <w:shd w:val="clear" w:color="auto" w:fill="FFFFFF"/>
    </w:pPr>
    <w:rPr>
      <w:rFonts w:ascii="Segoe UI" w:eastAsia="Segoe UI" w:hAnsi="Segoe UI" w:cs="Segoe UI"/>
      <w:sz w:val="36"/>
      <w:szCs w:val="36"/>
      <w:lang w:val="en-US" w:eastAsia="en-US" w:bidi="en-US"/>
    </w:rPr>
  </w:style>
  <w:style w:type="paragraph" w:customStyle="1" w:styleId="Nadpis10">
    <w:name w:val="Nadpis #1"/>
    <w:basedOn w:val="Normln"/>
    <w:link w:val="Nadpis1"/>
    <w:pPr>
      <w:shd w:val="clear" w:color="auto" w:fill="FFFFFF"/>
      <w:outlineLvl w:val="0"/>
    </w:pPr>
    <w:rPr>
      <w:rFonts w:ascii="Segoe UI" w:eastAsia="Segoe UI" w:hAnsi="Segoe UI" w:cs="Segoe UI"/>
      <w:sz w:val="36"/>
      <w:szCs w:val="36"/>
    </w:rPr>
  </w:style>
  <w:style w:type="paragraph" w:customStyle="1" w:styleId="Zkladntext1">
    <w:name w:val="Základní text1"/>
    <w:basedOn w:val="Normln"/>
    <w:link w:val="Zkladntext"/>
    <w:pPr>
      <w:shd w:val="clear" w:color="auto" w:fill="FFFFFF"/>
      <w:spacing w:after="100"/>
    </w:pPr>
    <w:rPr>
      <w:rFonts w:ascii="Arial" w:eastAsia="Arial" w:hAnsi="Arial" w:cs="Arial"/>
      <w:sz w:val="16"/>
      <w:szCs w:val="16"/>
    </w:rPr>
  </w:style>
  <w:style w:type="paragraph" w:customStyle="1" w:styleId="Nadpis20">
    <w:name w:val="Nadpis #2"/>
    <w:basedOn w:val="Normln"/>
    <w:link w:val="Nadpis2"/>
    <w:pPr>
      <w:shd w:val="clear" w:color="auto" w:fill="FFFFFF"/>
      <w:spacing w:after="260"/>
      <w:jc w:val="center"/>
      <w:outlineLvl w:val="1"/>
    </w:pPr>
    <w:rPr>
      <w:rFonts w:ascii="Arial" w:eastAsia="Arial" w:hAnsi="Arial" w:cs="Arial"/>
      <w:b/>
      <w:bCs/>
      <w:sz w:val="22"/>
      <w:szCs w:val="22"/>
      <w:u w:val="single"/>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20"/>
      <w:outlineLvl w:val="4"/>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spacing w:after="18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spacing w:after="100"/>
    </w:pPr>
    <w:rPr>
      <w:rFonts w:ascii="Arial" w:eastAsia="Arial" w:hAnsi="Arial" w:cs="Arial"/>
      <w:sz w:val="16"/>
      <w:szCs w:val="16"/>
    </w:rPr>
  </w:style>
  <w:style w:type="paragraph" w:customStyle="1" w:styleId="Nadpis30">
    <w:name w:val="Nadpis #3"/>
    <w:basedOn w:val="Normln"/>
    <w:link w:val="Nadpis3"/>
    <w:pPr>
      <w:shd w:val="clear" w:color="auto" w:fill="FFFFFF"/>
      <w:outlineLvl w:val="2"/>
    </w:pPr>
    <w:rPr>
      <w:rFonts w:ascii="Arial" w:eastAsia="Arial" w:hAnsi="Arial" w:cs="Arial"/>
      <w:sz w:val="20"/>
      <w:szCs w:val="20"/>
    </w:rPr>
  </w:style>
  <w:style w:type="paragraph" w:customStyle="1" w:styleId="Nadpis40">
    <w:name w:val="Nadpis #4"/>
    <w:basedOn w:val="Normln"/>
    <w:link w:val="Nadpis4"/>
    <w:pPr>
      <w:shd w:val="clear" w:color="auto" w:fill="FFFFFF"/>
      <w:spacing w:after="20"/>
      <w:jc w:val="center"/>
      <w:outlineLvl w:val="3"/>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3621">
      <w:bodyDiv w:val="1"/>
      <w:marLeft w:val="0"/>
      <w:marRight w:val="0"/>
      <w:marTop w:val="0"/>
      <w:marBottom w:val="0"/>
      <w:divBdr>
        <w:top w:val="none" w:sz="0" w:space="0" w:color="auto"/>
        <w:left w:val="none" w:sz="0" w:space="0" w:color="auto"/>
        <w:bottom w:val="none" w:sz="0" w:space="0" w:color="auto"/>
        <w:right w:val="none" w:sz="0" w:space="0" w:color="auto"/>
      </w:divBdr>
    </w:div>
    <w:div w:id="275603257">
      <w:bodyDiv w:val="1"/>
      <w:marLeft w:val="0"/>
      <w:marRight w:val="0"/>
      <w:marTop w:val="0"/>
      <w:marBottom w:val="0"/>
      <w:divBdr>
        <w:top w:val="none" w:sz="0" w:space="0" w:color="auto"/>
        <w:left w:val="none" w:sz="0" w:space="0" w:color="auto"/>
        <w:bottom w:val="none" w:sz="0" w:space="0" w:color="auto"/>
        <w:right w:val="none" w:sz="0" w:space="0" w:color="auto"/>
      </w:divBdr>
    </w:div>
    <w:div w:id="354812444">
      <w:bodyDiv w:val="1"/>
      <w:marLeft w:val="0"/>
      <w:marRight w:val="0"/>
      <w:marTop w:val="0"/>
      <w:marBottom w:val="0"/>
      <w:divBdr>
        <w:top w:val="none" w:sz="0" w:space="0" w:color="auto"/>
        <w:left w:val="none" w:sz="0" w:space="0" w:color="auto"/>
        <w:bottom w:val="none" w:sz="0" w:space="0" w:color="auto"/>
        <w:right w:val="none" w:sz="0" w:space="0" w:color="auto"/>
      </w:divBdr>
    </w:div>
    <w:div w:id="498540490">
      <w:bodyDiv w:val="1"/>
      <w:marLeft w:val="0"/>
      <w:marRight w:val="0"/>
      <w:marTop w:val="0"/>
      <w:marBottom w:val="0"/>
      <w:divBdr>
        <w:top w:val="none" w:sz="0" w:space="0" w:color="auto"/>
        <w:left w:val="none" w:sz="0" w:space="0" w:color="auto"/>
        <w:bottom w:val="none" w:sz="0" w:space="0" w:color="auto"/>
        <w:right w:val="none" w:sz="0" w:space="0" w:color="auto"/>
      </w:divBdr>
    </w:div>
    <w:div w:id="818304275">
      <w:bodyDiv w:val="1"/>
      <w:marLeft w:val="0"/>
      <w:marRight w:val="0"/>
      <w:marTop w:val="0"/>
      <w:marBottom w:val="0"/>
      <w:divBdr>
        <w:top w:val="none" w:sz="0" w:space="0" w:color="auto"/>
        <w:left w:val="none" w:sz="0" w:space="0" w:color="auto"/>
        <w:bottom w:val="none" w:sz="0" w:space="0" w:color="auto"/>
        <w:right w:val="none" w:sz="0" w:space="0" w:color="auto"/>
      </w:divBdr>
    </w:div>
    <w:div w:id="838547150">
      <w:bodyDiv w:val="1"/>
      <w:marLeft w:val="0"/>
      <w:marRight w:val="0"/>
      <w:marTop w:val="0"/>
      <w:marBottom w:val="0"/>
      <w:divBdr>
        <w:top w:val="none" w:sz="0" w:space="0" w:color="auto"/>
        <w:left w:val="none" w:sz="0" w:space="0" w:color="auto"/>
        <w:bottom w:val="none" w:sz="0" w:space="0" w:color="auto"/>
        <w:right w:val="none" w:sz="0" w:space="0" w:color="auto"/>
      </w:divBdr>
    </w:div>
    <w:div w:id="926302101">
      <w:bodyDiv w:val="1"/>
      <w:marLeft w:val="0"/>
      <w:marRight w:val="0"/>
      <w:marTop w:val="0"/>
      <w:marBottom w:val="0"/>
      <w:divBdr>
        <w:top w:val="none" w:sz="0" w:space="0" w:color="auto"/>
        <w:left w:val="none" w:sz="0" w:space="0" w:color="auto"/>
        <w:bottom w:val="none" w:sz="0" w:space="0" w:color="auto"/>
        <w:right w:val="none" w:sz="0" w:space="0" w:color="auto"/>
      </w:divBdr>
    </w:div>
    <w:div w:id="1009992113">
      <w:bodyDiv w:val="1"/>
      <w:marLeft w:val="0"/>
      <w:marRight w:val="0"/>
      <w:marTop w:val="0"/>
      <w:marBottom w:val="0"/>
      <w:divBdr>
        <w:top w:val="none" w:sz="0" w:space="0" w:color="auto"/>
        <w:left w:val="none" w:sz="0" w:space="0" w:color="auto"/>
        <w:bottom w:val="none" w:sz="0" w:space="0" w:color="auto"/>
        <w:right w:val="none" w:sz="0" w:space="0" w:color="auto"/>
      </w:divBdr>
    </w:div>
    <w:div w:id="1176266816">
      <w:bodyDiv w:val="1"/>
      <w:marLeft w:val="0"/>
      <w:marRight w:val="0"/>
      <w:marTop w:val="0"/>
      <w:marBottom w:val="0"/>
      <w:divBdr>
        <w:top w:val="none" w:sz="0" w:space="0" w:color="auto"/>
        <w:left w:val="none" w:sz="0" w:space="0" w:color="auto"/>
        <w:bottom w:val="none" w:sz="0" w:space="0" w:color="auto"/>
        <w:right w:val="none" w:sz="0" w:space="0" w:color="auto"/>
      </w:divBdr>
    </w:div>
    <w:div w:id="1888564027">
      <w:bodyDiv w:val="1"/>
      <w:marLeft w:val="0"/>
      <w:marRight w:val="0"/>
      <w:marTop w:val="0"/>
      <w:marBottom w:val="0"/>
      <w:divBdr>
        <w:top w:val="none" w:sz="0" w:space="0" w:color="auto"/>
        <w:left w:val="none" w:sz="0" w:space="0" w:color="auto"/>
        <w:bottom w:val="none" w:sz="0" w:space="0" w:color="auto"/>
        <w:right w:val="none" w:sz="0" w:space="0" w:color="auto"/>
      </w:divBdr>
    </w:div>
    <w:div w:id="203734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9517</Words>
  <Characters>56151</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Iskendri, Fasih {DEEC~Prague}</dc:creator>
  <cp:keywords/>
  <cp:lastModifiedBy>Uživatel systému Windows</cp:lastModifiedBy>
  <cp:revision>4</cp:revision>
  <dcterms:created xsi:type="dcterms:W3CDTF">2024-06-24T10:33:00Z</dcterms:created>
  <dcterms:modified xsi:type="dcterms:W3CDTF">2024-06-25T06:27:00Z</dcterms:modified>
</cp:coreProperties>
</file>