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E287" w14:textId="77777777" w:rsidR="00F304D3" w:rsidRPr="00D27771" w:rsidRDefault="00F304D3" w:rsidP="00F304D3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260D16E8" w14:textId="77777777" w:rsidR="00F304D3" w:rsidRPr="00D27771" w:rsidRDefault="00F304D3" w:rsidP="00F304D3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</w:t>
      </w:r>
      <w:proofErr w:type="gramStart"/>
      <w:r w:rsidRPr="00D27771">
        <w:rPr>
          <w:rFonts w:ascii="Arial" w:hAnsi="Arial" w:cs="Arial"/>
          <w:color w:val="auto"/>
          <w:sz w:val="20"/>
          <w:szCs w:val="20"/>
        </w:rPr>
        <w:t>11a</w:t>
      </w:r>
      <w:proofErr w:type="gramEnd"/>
      <w:r w:rsidRPr="00D27771">
        <w:rPr>
          <w:rFonts w:ascii="Arial" w:hAnsi="Arial" w:cs="Arial"/>
          <w:color w:val="auto"/>
          <w:sz w:val="20"/>
          <w:szCs w:val="20"/>
        </w:rPr>
        <w:t>, 130 00 Praha 3 – Žižkov, IČ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D27771">
        <w:rPr>
          <w:rFonts w:ascii="Arial" w:hAnsi="Arial" w:cs="Arial"/>
          <w:color w:val="auto"/>
          <w:sz w:val="20"/>
          <w:szCs w:val="20"/>
        </w:rPr>
        <w:t>: 01312774, DIČ: CZ01312774</w:t>
      </w:r>
    </w:p>
    <w:p w14:paraId="5F348F28" w14:textId="77777777" w:rsidR="00F304D3" w:rsidRPr="00D27771" w:rsidRDefault="00F304D3" w:rsidP="00F304D3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14:paraId="7E64D94E" w14:textId="77777777" w:rsidR="00F304D3" w:rsidRPr="00D27771" w:rsidRDefault="00F304D3" w:rsidP="00F304D3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zastoupená </w:t>
      </w:r>
      <w:r>
        <w:rPr>
          <w:rFonts w:ascii="Arial" w:hAnsi="Arial" w:cs="Arial"/>
        </w:rPr>
        <w:t xml:space="preserve">zástupcem </w:t>
      </w:r>
      <w:r w:rsidRPr="00D27771">
        <w:rPr>
          <w:rFonts w:ascii="Arial" w:hAnsi="Arial" w:cs="Arial"/>
        </w:rPr>
        <w:t>ředitele Krajského pozemkového úřadu pro Ústecký kraj (dále jen “KPÚ“),</w:t>
      </w:r>
    </w:p>
    <w:p w14:paraId="7DF17520" w14:textId="77777777" w:rsidR="00F304D3" w:rsidRDefault="00F304D3" w:rsidP="00F304D3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adresa: Husitská 1071/2, 41502 Teplice</w:t>
      </w:r>
      <w:r w:rsidRPr="00D27771">
        <w:rPr>
          <w:rFonts w:ascii="Arial" w:hAnsi="Arial" w:cs="Arial"/>
        </w:rPr>
        <w:t>,</w:t>
      </w:r>
    </w:p>
    <w:p w14:paraId="33274D21" w14:textId="77777777" w:rsidR="00F304D3" w:rsidRPr="00D27771" w:rsidRDefault="00F304D3" w:rsidP="00F304D3">
      <w:pPr>
        <w:widowControl/>
        <w:rPr>
          <w:rFonts w:ascii="Arial" w:hAnsi="Arial" w:cs="Arial"/>
        </w:rPr>
      </w:pPr>
    </w:p>
    <w:p w14:paraId="05C6B240" w14:textId="77777777" w:rsidR="00F304D3" w:rsidRDefault="00F304D3" w:rsidP="00F304D3">
      <w:pPr>
        <w:widowControl/>
        <w:rPr>
          <w:rFonts w:ascii="Arial" w:hAnsi="Arial" w:cs="Arial"/>
          <w:b/>
          <w:bCs/>
          <w:color w:val="000000"/>
        </w:rPr>
      </w:pPr>
      <w:r w:rsidRPr="00FA13F1">
        <w:rPr>
          <w:rFonts w:ascii="Arial" w:hAnsi="Arial" w:cs="Arial"/>
          <w:b/>
          <w:bCs/>
          <w:color w:val="000000"/>
        </w:rPr>
        <w:t>Ing. Jiří Pavliš, DiS</w:t>
      </w:r>
      <w:r>
        <w:rPr>
          <w:rFonts w:ascii="Arial" w:hAnsi="Arial" w:cs="Arial"/>
          <w:b/>
          <w:bCs/>
          <w:color w:val="000000"/>
        </w:rPr>
        <w:t>.</w:t>
      </w:r>
    </w:p>
    <w:p w14:paraId="32B0EAC3" w14:textId="77777777" w:rsidR="00F304D3" w:rsidRPr="00FA13F1" w:rsidRDefault="00F304D3" w:rsidP="00F304D3">
      <w:pPr>
        <w:widowControl/>
        <w:rPr>
          <w:rFonts w:ascii="Arial" w:hAnsi="Arial" w:cs="Arial"/>
          <w:b/>
          <w:bCs/>
        </w:rPr>
      </w:pPr>
    </w:p>
    <w:p w14:paraId="482B0671" w14:textId="77777777" w:rsidR="00F304D3" w:rsidRPr="007C391E" w:rsidRDefault="00F304D3" w:rsidP="00F304D3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7C391E">
        <w:rPr>
          <w:rFonts w:ascii="Arial" w:hAnsi="Arial" w:cs="Arial"/>
          <w:b/>
          <w:bCs/>
        </w:rPr>
        <w:t>“převádějící“</w:t>
      </w:r>
      <w:r>
        <w:rPr>
          <w:rFonts w:ascii="Arial" w:hAnsi="Arial" w:cs="Arial"/>
        </w:rPr>
        <w:t>)</w:t>
      </w:r>
    </w:p>
    <w:p w14:paraId="35A30175" w14:textId="77777777" w:rsidR="00F304D3" w:rsidRPr="00D27771" w:rsidRDefault="00F304D3" w:rsidP="00F304D3">
      <w:pPr>
        <w:widowControl/>
        <w:rPr>
          <w:rFonts w:ascii="Arial" w:hAnsi="Arial" w:cs="Arial"/>
        </w:rPr>
      </w:pPr>
    </w:p>
    <w:p w14:paraId="497BA844" w14:textId="77777777" w:rsidR="00F304D3" w:rsidRPr="00D27771" w:rsidRDefault="00F304D3" w:rsidP="00F304D3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05AF978C" w14:textId="77777777" w:rsidR="00DC5978" w:rsidRPr="00D27771" w:rsidRDefault="00DC5978">
      <w:pPr>
        <w:widowControl/>
        <w:rPr>
          <w:rFonts w:ascii="Arial" w:hAnsi="Arial" w:cs="Arial"/>
          <w:b/>
        </w:rPr>
      </w:pPr>
    </w:p>
    <w:p w14:paraId="3C558058" w14:textId="71FD8314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F304D3">
        <w:rPr>
          <w:rFonts w:ascii="Arial" w:hAnsi="Arial" w:cs="Arial"/>
        </w:rPr>
        <w:t xml:space="preserve"> </w:t>
      </w:r>
      <w:r w:rsidR="00F304D3" w:rsidRPr="00F304D3">
        <w:rPr>
          <w:rFonts w:ascii="Arial" w:hAnsi="Arial" w:cs="Arial"/>
          <w:b/>
          <w:bCs/>
        </w:rPr>
        <w:t xml:space="preserve">Václav </w:t>
      </w:r>
      <w:r w:rsidRPr="00F304D3">
        <w:rPr>
          <w:rFonts w:ascii="Arial" w:hAnsi="Arial" w:cs="Arial"/>
          <w:b/>
          <w:bCs/>
        </w:rPr>
        <w:t>Kafka</w:t>
      </w:r>
      <w:r w:rsidR="00F304D3">
        <w:rPr>
          <w:rFonts w:ascii="Arial" w:hAnsi="Arial" w:cs="Arial"/>
        </w:rPr>
        <w:t xml:space="preserve">, </w:t>
      </w:r>
      <w:r w:rsidRPr="00D27771">
        <w:rPr>
          <w:rFonts w:ascii="Arial" w:hAnsi="Arial" w:cs="Arial"/>
        </w:rPr>
        <w:t>r. č. 70</w:t>
      </w:r>
      <w:r w:rsidR="00753E24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753E24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Praha</w:t>
      </w:r>
      <w:r w:rsidR="00F304D3">
        <w:rPr>
          <w:rFonts w:ascii="Arial" w:hAnsi="Arial" w:cs="Arial"/>
        </w:rPr>
        <w:t>, 10600</w:t>
      </w:r>
    </w:p>
    <w:p w14:paraId="3729896F" w14:textId="7D88B759" w:rsidR="00AD4CDE" w:rsidRPr="00D27771" w:rsidRDefault="00F304D3">
      <w:pPr>
        <w:widowControl/>
        <w:tabs>
          <w:tab w:val="left" w:pos="2835"/>
        </w:tabs>
        <w:rPr>
          <w:rFonts w:ascii="Arial" w:hAnsi="Arial" w:cs="Arial"/>
        </w:rPr>
      </w:pPr>
      <w:r w:rsidRPr="00632C89">
        <w:rPr>
          <w:rFonts w:ascii="Arial" w:hAnsi="Arial" w:cs="Arial"/>
        </w:rPr>
        <w:t xml:space="preserve">zastoupen na základě plné moci </w:t>
      </w:r>
      <w:proofErr w:type="spellStart"/>
      <w:r w:rsidR="00753E24">
        <w:rPr>
          <w:rFonts w:ascii="Arial" w:hAnsi="Arial" w:cs="Arial"/>
        </w:rPr>
        <w:t>xxxxxxxxxxxxxxxxxxxxxxxxxxxxxxxxxx</w:t>
      </w:r>
      <w:proofErr w:type="spellEnd"/>
    </w:p>
    <w:p w14:paraId="60662DBE" w14:textId="77777777" w:rsidR="00F304D3" w:rsidRDefault="00F304D3">
      <w:pPr>
        <w:widowControl/>
        <w:tabs>
          <w:tab w:val="left" w:pos="2835"/>
        </w:tabs>
        <w:rPr>
          <w:rFonts w:ascii="Arial" w:hAnsi="Arial" w:cs="Arial"/>
        </w:rPr>
      </w:pPr>
    </w:p>
    <w:p w14:paraId="4F8A3C84" w14:textId="03A4B2A6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"nabyvatel"</w:t>
      </w:r>
      <w:r w:rsidRPr="00D27771">
        <w:rPr>
          <w:rFonts w:ascii="Arial" w:hAnsi="Arial" w:cs="Arial"/>
        </w:rPr>
        <w:t xml:space="preserve">) </w:t>
      </w:r>
    </w:p>
    <w:p w14:paraId="054081F4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16C613A2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47EBE4D9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3FB73F1C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73FCECAF" w14:textId="1BCAABC2"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 zákona č. 229/1991 Sb. ve znění pozdějších předpisů (dále jen "zákon o půdě") </w:t>
      </w:r>
    </w:p>
    <w:p w14:paraId="2827914C" w14:textId="77777777" w:rsidR="00BE039A" w:rsidRPr="00D27771" w:rsidRDefault="00BE039A">
      <w:pPr>
        <w:widowControl/>
        <w:tabs>
          <w:tab w:val="left" w:pos="2835"/>
        </w:tabs>
        <w:rPr>
          <w:rFonts w:ascii="Arial" w:hAnsi="Arial" w:cs="Arial"/>
        </w:rPr>
      </w:pPr>
    </w:p>
    <w:p w14:paraId="4910FBC5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2B979AB2" w14:textId="77777777" w:rsidR="00AD4CDE" w:rsidRPr="00D27771" w:rsidRDefault="00AD4CDE">
      <w:pPr>
        <w:widowControl/>
        <w:rPr>
          <w:rFonts w:ascii="Arial" w:hAnsi="Arial" w:cs="Arial"/>
        </w:rPr>
      </w:pPr>
    </w:p>
    <w:p w14:paraId="7216683E" w14:textId="77777777" w:rsidR="00AD4CDE" w:rsidRPr="00D27771" w:rsidRDefault="00AD4CDE">
      <w:pPr>
        <w:widowControl/>
        <w:rPr>
          <w:rFonts w:ascii="Arial" w:hAnsi="Arial" w:cs="Arial"/>
        </w:rPr>
      </w:pPr>
    </w:p>
    <w:p w14:paraId="60A9FA99" w14:textId="77777777" w:rsidR="00AD4CDE" w:rsidRPr="00F304D3" w:rsidRDefault="00490EB1">
      <w:pPr>
        <w:pStyle w:val="para"/>
        <w:rPr>
          <w:rFonts w:ascii="Arial" w:hAnsi="Arial" w:cs="Arial"/>
          <w:u w:val="single"/>
        </w:rPr>
      </w:pPr>
      <w:r w:rsidRPr="00F304D3">
        <w:rPr>
          <w:rFonts w:ascii="Arial" w:hAnsi="Arial" w:cs="Arial"/>
        </w:rPr>
        <w:t>s</w:t>
      </w:r>
      <w:r w:rsidR="00AD4CDE" w:rsidRPr="00F304D3">
        <w:rPr>
          <w:rFonts w:ascii="Arial" w:hAnsi="Arial" w:cs="Arial"/>
        </w:rPr>
        <w:t>mlouvu</w:t>
      </w:r>
      <w:r w:rsidRPr="00F304D3">
        <w:rPr>
          <w:rFonts w:ascii="Arial" w:hAnsi="Arial" w:cs="Arial"/>
        </w:rPr>
        <w:t xml:space="preserve"> </w:t>
      </w:r>
      <w:r w:rsidR="00AD4CDE" w:rsidRPr="00F304D3">
        <w:rPr>
          <w:rFonts w:ascii="Arial" w:hAnsi="Arial" w:cs="Arial"/>
        </w:rPr>
        <w:t>o</w:t>
      </w:r>
      <w:r w:rsidR="0043267F" w:rsidRPr="00F304D3">
        <w:rPr>
          <w:rFonts w:ascii="Arial" w:hAnsi="Arial" w:cs="Arial"/>
        </w:rPr>
        <w:t xml:space="preserve"> </w:t>
      </w:r>
      <w:r w:rsidR="00AD4CDE" w:rsidRPr="00F304D3">
        <w:rPr>
          <w:rFonts w:ascii="Arial" w:hAnsi="Arial" w:cs="Arial"/>
        </w:rPr>
        <w:t xml:space="preserve">převodu pozemku </w:t>
      </w:r>
      <w:r w:rsidR="00AD4CDE" w:rsidRPr="00F304D3">
        <w:rPr>
          <w:rFonts w:ascii="Arial" w:hAnsi="Arial" w:cs="Arial"/>
        </w:rPr>
        <w:br/>
        <w:t>číslo</w:t>
      </w:r>
      <w:r w:rsidR="001965CB" w:rsidRPr="00F304D3">
        <w:rPr>
          <w:rFonts w:ascii="Arial" w:hAnsi="Arial" w:cs="Arial"/>
        </w:rPr>
        <w:t>:</w:t>
      </w:r>
      <w:r w:rsidR="00AD4CDE" w:rsidRPr="00F304D3">
        <w:rPr>
          <w:rFonts w:ascii="Arial" w:hAnsi="Arial" w:cs="Arial"/>
        </w:rPr>
        <w:t xml:space="preserve"> 6PR24/08</w:t>
      </w:r>
    </w:p>
    <w:p w14:paraId="73FFA4F5" w14:textId="77777777" w:rsidR="00AD4CDE" w:rsidRPr="00F304D3" w:rsidRDefault="00AD4CDE">
      <w:pPr>
        <w:pStyle w:val="para"/>
        <w:rPr>
          <w:rFonts w:ascii="Arial" w:hAnsi="Arial" w:cs="Arial"/>
        </w:rPr>
      </w:pPr>
    </w:p>
    <w:p w14:paraId="316841FE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07B871D6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49F3D9E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2AFC92B2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36948D95" w14:textId="1C75B9D1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Ústecký kraj, Katastrální pracoviště Ústí nad Labem pro katastrální území Ryjice, obec Ryjice.</w:t>
      </w:r>
    </w:p>
    <w:p w14:paraId="7C085B93" w14:textId="6B6642B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SPÚ převádí touto smlouvou do vlastnictví nabyvatele následující pozemek, včetně trvalých porostů </w:t>
      </w:r>
    </w:p>
    <w:p w14:paraId="67AE1D6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DAB9E5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r w:rsidRPr="00835624">
        <w:rPr>
          <w:rFonts w:ascii="Arial" w:hAnsi="Arial" w:cs="Arial"/>
          <w:b/>
          <w:sz w:val="18"/>
          <w:u w:val="single"/>
        </w:rPr>
        <w:t>Parc.č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proofErr w:type="gram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5BE71F5D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4CAB1ADC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456/1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742,00 Kč</w:t>
      </w:r>
      <w:r w:rsidRPr="00835624">
        <w:rPr>
          <w:rFonts w:ascii="Arial" w:hAnsi="Arial" w:cs="Arial"/>
          <w:sz w:val="18"/>
        </w:rPr>
        <w:tab/>
        <w:t>3 310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10 330,00 Kč </w:t>
      </w:r>
    </w:p>
    <w:p w14:paraId="5B324F3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34162DBA" w14:textId="77777777" w:rsidR="00AD4CDE" w:rsidRPr="00F304D3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F304D3">
        <w:rPr>
          <w:rFonts w:ascii="Arial" w:hAnsi="Arial" w:cs="Arial"/>
          <w:b/>
          <w:sz w:val="18"/>
        </w:rPr>
        <w:t xml:space="preserve">Za smlouvu celkem: </w:t>
      </w:r>
      <w:r w:rsidRPr="00F304D3">
        <w:rPr>
          <w:rFonts w:ascii="Arial" w:hAnsi="Arial" w:cs="Arial"/>
          <w:b/>
          <w:sz w:val="18"/>
        </w:rPr>
        <w:tab/>
      </w:r>
      <w:r w:rsidRPr="00F304D3">
        <w:rPr>
          <w:rFonts w:ascii="Arial" w:hAnsi="Arial" w:cs="Arial"/>
          <w:b/>
          <w:sz w:val="18"/>
        </w:rPr>
        <w:tab/>
      </w:r>
      <w:r w:rsidRPr="00F304D3">
        <w:rPr>
          <w:rFonts w:ascii="Arial" w:hAnsi="Arial" w:cs="Arial"/>
          <w:b/>
          <w:sz w:val="18"/>
        </w:rPr>
        <w:tab/>
        <w:t>3 310 m</w:t>
      </w:r>
      <w:r w:rsidR="00E87358" w:rsidRPr="00F304D3">
        <w:rPr>
          <w:rFonts w:cs="Arial"/>
          <w:b/>
          <w:vertAlign w:val="superscript"/>
        </w:rPr>
        <w:t>2</w:t>
      </w:r>
      <w:r w:rsidRPr="00F304D3">
        <w:rPr>
          <w:rFonts w:ascii="Arial" w:hAnsi="Arial" w:cs="Arial"/>
          <w:b/>
          <w:sz w:val="18"/>
        </w:rPr>
        <w:t xml:space="preserve"> </w:t>
      </w:r>
      <w:r w:rsidRPr="00F304D3">
        <w:rPr>
          <w:rFonts w:ascii="Arial" w:hAnsi="Arial" w:cs="Arial"/>
          <w:b/>
          <w:sz w:val="18"/>
        </w:rPr>
        <w:tab/>
        <w:t>10 330,00 Kč</w:t>
      </w:r>
    </w:p>
    <w:p w14:paraId="51E5014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96DD56E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B4FE139" w14:textId="2CB92D8A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převáděnému pozemku p. č. 456/1 v k. </w:t>
      </w:r>
      <w:proofErr w:type="spellStart"/>
      <w:r w:rsidRPr="00D27771">
        <w:rPr>
          <w:rFonts w:ascii="Arial" w:hAnsi="Arial" w:cs="Arial"/>
        </w:rPr>
        <w:t>ú.</w:t>
      </w:r>
      <w:proofErr w:type="spellEnd"/>
      <w:r w:rsidRPr="00D27771">
        <w:rPr>
          <w:rFonts w:ascii="Arial" w:hAnsi="Arial" w:cs="Arial"/>
        </w:rPr>
        <w:t xml:space="preserve"> Ryjice na základě prohlášení o vlastnickém právu. Oznámení o zamýšleném převodu podle § 15 zákona č. 95/1999 Sb.</w:t>
      </w:r>
      <w:r w:rsidR="00271C79">
        <w:rPr>
          <w:rFonts w:ascii="Arial" w:hAnsi="Arial" w:cs="Arial"/>
        </w:rPr>
        <w:t xml:space="preserve">    </w:t>
      </w:r>
      <w:r w:rsidRPr="00D27771">
        <w:rPr>
          <w:rFonts w:ascii="Arial" w:hAnsi="Arial" w:cs="Arial"/>
        </w:rPr>
        <w:t xml:space="preserve"> (nyní § 20 zákona č. 503/2012 Sb.)  bylo zveřejněno dne 20. 11. 2002. V zákonem stanovené lhůtě (3 měsíců) nebyly podány námitky vlastnického práva jiných osob. </w:t>
      </w:r>
    </w:p>
    <w:p w14:paraId="127FEDEC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6D244120" w14:textId="3A32E561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</w:t>
      </w:r>
      <w:r w:rsidR="00F304D3" w:rsidRPr="00D27771">
        <w:rPr>
          <w:rFonts w:ascii="Arial" w:hAnsi="Arial" w:cs="Arial"/>
        </w:rPr>
        <w:t xml:space="preserve">ve znaleckém posudku soudního znalce </w:t>
      </w:r>
      <w:proofErr w:type="spellStart"/>
      <w:r w:rsidR="00CE24E3">
        <w:rPr>
          <w:rFonts w:ascii="Arial" w:hAnsi="Arial" w:cs="Arial"/>
        </w:rPr>
        <w:t>xxxxxxxxxxxxxxxxxxx</w:t>
      </w:r>
      <w:proofErr w:type="spellEnd"/>
      <w:r w:rsidR="00F304D3" w:rsidRPr="00D27771">
        <w:rPr>
          <w:rFonts w:ascii="Arial" w:hAnsi="Arial" w:cs="Arial"/>
        </w:rPr>
        <w:t>,</w:t>
      </w:r>
      <w:r w:rsidRPr="00D27771">
        <w:rPr>
          <w:rFonts w:ascii="Arial" w:hAnsi="Arial" w:cs="Arial"/>
        </w:rPr>
        <w:t xml:space="preserve"> ze dne 30. 1. 2024, pod čj. 78/2024,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F304D3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F304D3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celkovou částkou 3 070,00 Kč (slovy: tři tisíce sedmdesát korun českých). </w:t>
      </w:r>
    </w:p>
    <w:p w14:paraId="22E367A1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90B60D6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148EA0F3" w14:textId="77777777" w:rsidR="00AD4CDE" w:rsidRPr="00D27771" w:rsidRDefault="00AD4CDE">
      <w:pPr>
        <w:widowControl/>
        <w:jc w:val="both"/>
        <w:rPr>
          <w:rFonts w:ascii="Arial" w:hAnsi="Arial" w:cs="Arial"/>
        </w:rPr>
      </w:pPr>
    </w:p>
    <w:p w14:paraId="3EC14E63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14:paraId="18E90A14" w14:textId="77777777"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14:paraId="3F345A23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5672C562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0C0B242F" w14:textId="29821114" w:rsidR="00AD4CDE" w:rsidRPr="00D27771" w:rsidRDefault="00AD4CDE" w:rsidP="00BE039A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30. 10. 2023, ve výši </w:t>
      </w:r>
      <w:proofErr w:type="spellStart"/>
      <w:r w:rsidR="00CE24E3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 Kč, mezi postupitelem </w:t>
      </w:r>
      <w:proofErr w:type="spellStart"/>
      <w:r w:rsidR="006D7CEE">
        <w:rPr>
          <w:rFonts w:ascii="Arial" w:hAnsi="Arial" w:cs="Arial"/>
        </w:rPr>
        <w:t>xxxxxxxxxxxxxxxxxxxx</w:t>
      </w:r>
      <w:proofErr w:type="spellEnd"/>
      <w:r w:rsidRPr="00D27771">
        <w:rPr>
          <w:rFonts w:ascii="Arial" w:hAnsi="Arial" w:cs="Arial"/>
        </w:rPr>
        <w:t xml:space="preserve"> a nabyvatelem. </w:t>
      </w:r>
    </w:p>
    <w:p w14:paraId="6C228261" w14:textId="6C50F962" w:rsidR="00AD4CDE" w:rsidRPr="00D27771" w:rsidRDefault="00AD4CDE" w:rsidP="00BE039A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Postoupený nárok je doložen pravomocným rozhodnutím Okresního pozemkového úřadu Praha-</w:t>
      </w:r>
      <w:proofErr w:type="gramStart"/>
      <w:r w:rsidRPr="00D27771">
        <w:rPr>
          <w:rFonts w:ascii="Arial" w:hAnsi="Arial" w:cs="Arial"/>
        </w:rPr>
        <w:t>město,</w:t>
      </w:r>
      <w:r w:rsidR="00271C79">
        <w:rPr>
          <w:rFonts w:ascii="Arial" w:hAnsi="Arial" w:cs="Arial"/>
        </w:rPr>
        <w:t xml:space="preserve">   </w:t>
      </w:r>
      <w:proofErr w:type="gramEnd"/>
      <w:r w:rsidR="00271C79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 čj. PÚ 220/99 ze dne 22. 2. 1999, kterým oprávněné osobě </w:t>
      </w:r>
      <w:proofErr w:type="spellStart"/>
      <w:r w:rsidR="006D7CEE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Záběhlice, obce Praha, </w:t>
      </w:r>
      <w:r w:rsidRPr="00F304D3">
        <w:rPr>
          <w:rFonts w:ascii="Arial" w:hAnsi="Arial" w:cs="Arial"/>
          <w:b/>
          <w:bCs/>
        </w:rPr>
        <w:t>okresu Praha-město</w:t>
      </w:r>
      <w:r w:rsidRPr="00D27771">
        <w:rPr>
          <w:rFonts w:ascii="Arial" w:hAnsi="Arial" w:cs="Arial"/>
        </w:rPr>
        <w:t xml:space="preserve">. </w:t>
      </w:r>
    </w:p>
    <w:p w14:paraId="18D02534" w14:textId="0F656DDA" w:rsidR="00AD4CDE" w:rsidRPr="00D27771" w:rsidRDefault="00AD4CDE" w:rsidP="00BE039A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Nevydané pozemky byly oceněny</w:t>
      </w:r>
      <w:r w:rsidR="00F304D3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znaleckým posudkem </w:t>
      </w:r>
      <w:r w:rsidR="00BE039A" w:rsidRPr="00795439">
        <w:rPr>
          <w:rFonts w:ascii="Arial" w:hAnsi="Arial" w:cs="Arial"/>
          <w:lang w:eastAsia="en-US"/>
        </w:rPr>
        <w:t>vyhotovený</w:t>
      </w:r>
      <w:r w:rsidR="00BE039A">
        <w:rPr>
          <w:rFonts w:ascii="Arial" w:hAnsi="Arial" w:cs="Arial"/>
          <w:lang w:eastAsia="en-US"/>
        </w:rPr>
        <w:t>m</w:t>
      </w:r>
      <w:r w:rsidR="00BE039A" w:rsidRPr="00795439">
        <w:rPr>
          <w:rFonts w:ascii="Arial" w:hAnsi="Arial" w:cs="Arial"/>
          <w:lang w:eastAsia="en-US"/>
        </w:rPr>
        <w:t xml:space="preserve"> </w:t>
      </w:r>
      <w:proofErr w:type="spellStart"/>
      <w:r w:rsidR="006D7CEE">
        <w:rPr>
          <w:rFonts w:ascii="Arial" w:hAnsi="Arial" w:cs="Arial"/>
          <w:lang w:eastAsia="en-US"/>
        </w:rPr>
        <w:t>xxxxxxxxxxxxxxxxxxx</w:t>
      </w:r>
      <w:proofErr w:type="spellEnd"/>
      <w:r w:rsidRPr="00D27771">
        <w:rPr>
          <w:rFonts w:ascii="Arial" w:hAnsi="Arial" w:cs="Arial"/>
        </w:rPr>
        <w:t xml:space="preserve">, čj.  028879/2024, ze dne 28. 3. 2024,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6D7CEE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6D7CEE">
        <w:rPr>
          <w:rFonts w:ascii="Arial" w:hAnsi="Arial" w:cs="Arial"/>
        </w:rPr>
        <w:t>xxxxxxxxxxxxxxxxxxxxxxxxxxxxxxxxxxxxxxxx</w:t>
      </w:r>
      <w:proofErr w:type="spellEnd"/>
      <w:r w:rsidRPr="00D27771">
        <w:rPr>
          <w:rFonts w:ascii="Arial" w:hAnsi="Arial" w:cs="Arial"/>
        </w:rPr>
        <w:t xml:space="preserve"> korun českých)</w:t>
      </w:r>
      <w:r w:rsidR="00BE039A">
        <w:rPr>
          <w:rFonts w:ascii="Arial" w:hAnsi="Arial" w:cs="Arial"/>
        </w:rPr>
        <w:t xml:space="preserve"> a </w:t>
      </w:r>
      <w:r w:rsidRPr="00D27771">
        <w:rPr>
          <w:rFonts w:ascii="Arial" w:hAnsi="Arial" w:cs="Arial"/>
        </w:rPr>
        <w:t>sazbou za</w:t>
      </w:r>
      <w:r w:rsidR="00271C79">
        <w:rPr>
          <w:rFonts w:ascii="Arial" w:hAnsi="Arial" w:cs="Arial"/>
        </w:rPr>
        <w:t xml:space="preserve">   </w:t>
      </w:r>
      <w:r w:rsidRPr="00D27771">
        <w:rPr>
          <w:rFonts w:ascii="Arial" w:hAnsi="Arial" w:cs="Arial"/>
        </w:rPr>
        <w:t xml:space="preserve"> l m</w:t>
      </w:r>
      <w:r w:rsidR="00E87358" w:rsidRPr="00E87358">
        <w:rPr>
          <w:rFonts w:cs="Arial"/>
          <w:vertAlign w:val="superscript"/>
        </w:rPr>
        <w:t>2</w:t>
      </w:r>
      <w:r w:rsidRPr="00D27771">
        <w:rPr>
          <w:rFonts w:ascii="Arial" w:hAnsi="Arial" w:cs="Arial"/>
        </w:rPr>
        <w:t xml:space="preserve">. Ocenění podle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BE039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182/1988 Sb. ve znění </w:t>
      </w:r>
      <w:proofErr w:type="spellStart"/>
      <w:r w:rsidRPr="00D27771">
        <w:rPr>
          <w:rFonts w:ascii="Arial" w:hAnsi="Arial" w:cs="Arial"/>
        </w:rPr>
        <w:t>vyhl</w:t>
      </w:r>
      <w:proofErr w:type="spellEnd"/>
      <w:r w:rsidRPr="00D27771">
        <w:rPr>
          <w:rFonts w:ascii="Arial" w:hAnsi="Arial" w:cs="Arial"/>
        </w:rPr>
        <w:t>.</w:t>
      </w:r>
      <w:r w:rsidR="00BE039A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č. 316/1990 Sb., provedl </w:t>
      </w:r>
      <w:r w:rsidR="00BE039A">
        <w:rPr>
          <w:rFonts w:ascii="Arial" w:hAnsi="Arial" w:cs="Arial"/>
        </w:rPr>
        <w:t xml:space="preserve">Pozemkový fond </w:t>
      </w:r>
      <w:proofErr w:type="gramStart"/>
      <w:r w:rsidR="00BE039A">
        <w:rPr>
          <w:rFonts w:ascii="Arial" w:hAnsi="Arial" w:cs="Arial"/>
        </w:rPr>
        <w:t>ČR</w:t>
      </w:r>
      <w:r w:rsidRPr="00D27771">
        <w:rPr>
          <w:rFonts w:ascii="Arial" w:hAnsi="Arial" w:cs="Arial"/>
        </w:rPr>
        <w:t xml:space="preserve">, </w:t>
      </w:r>
      <w:r w:rsidR="00271C79">
        <w:rPr>
          <w:rFonts w:ascii="Arial" w:hAnsi="Arial" w:cs="Arial"/>
        </w:rPr>
        <w:t xml:space="preserve">  </w:t>
      </w:r>
      <w:proofErr w:type="gramEnd"/>
      <w:r w:rsidRPr="00D27771">
        <w:rPr>
          <w:rFonts w:ascii="Arial" w:hAnsi="Arial" w:cs="Arial"/>
        </w:rPr>
        <w:t xml:space="preserve">dne 22. 2. 1999. </w:t>
      </w:r>
    </w:p>
    <w:p w14:paraId="042FEC26" w14:textId="77777777" w:rsidR="00AD4CDE" w:rsidRPr="00D27771" w:rsidRDefault="00AD4CDE">
      <w:pPr>
        <w:widowControl/>
        <w:rPr>
          <w:rFonts w:ascii="Arial" w:hAnsi="Arial" w:cs="Arial"/>
        </w:rPr>
      </w:pPr>
    </w:p>
    <w:p w14:paraId="42AC01AB" w14:textId="24B4A5EC" w:rsidR="00AD4CDE" w:rsidRDefault="00AD4CDE">
      <w:pPr>
        <w:widowControl/>
        <w:rPr>
          <w:rFonts w:ascii="Arial" w:hAnsi="Arial" w:cs="Arial"/>
          <w:b/>
          <w:bCs/>
        </w:rPr>
      </w:pPr>
      <w:r w:rsidRPr="00BE039A">
        <w:rPr>
          <w:rFonts w:ascii="Arial" w:hAnsi="Arial" w:cs="Arial"/>
          <w:b/>
          <w:bCs/>
        </w:rPr>
        <w:t xml:space="preserve">Z toho bude touto smlouvou vypořádáno 10 330,00 Kč. </w:t>
      </w:r>
    </w:p>
    <w:p w14:paraId="4064E9AF" w14:textId="77777777" w:rsidR="00BE039A" w:rsidRPr="00BE039A" w:rsidRDefault="00BE039A">
      <w:pPr>
        <w:widowControl/>
        <w:rPr>
          <w:rFonts w:ascii="Arial" w:hAnsi="Arial" w:cs="Arial"/>
          <w:b/>
          <w:bCs/>
        </w:rPr>
      </w:pPr>
    </w:p>
    <w:p w14:paraId="5BC8DB61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43950569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14:paraId="46FD5992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00621A5F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4E9A6A4E" w14:textId="3F143619" w:rsidR="00AD4CDE" w:rsidRPr="00B11C52" w:rsidRDefault="00AD4CDE" w:rsidP="00B11C52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včetně součástí a příslušenství,</w:t>
      </w:r>
      <w:r w:rsidR="00314FF8">
        <w:rPr>
          <w:rFonts w:ascii="Arial" w:hAnsi="Arial" w:cs="Arial"/>
          <w:color w:val="000000"/>
          <w:sz w:val="20"/>
          <w:szCs w:val="20"/>
        </w:rPr>
        <w:t xml:space="preserve"> </w:t>
      </w:r>
      <w:r w:rsidR="00BE039A">
        <w:rPr>
          <w:rFonts w:ascii="Arial" w:hAnsi="Arial" w:cs="Arial"/>
          <w:color w:val="000000"/>
          <w:sz w:val="20"/>
          <w:szCs w:val="20"/>
        </w:rPr>
        <w:t>s</w:t>
      </w:r>
      <w:r w:rsidRPr="00D27771">
        <w:rPr>
          <w:rFonts w:ascii="Arial" w:hAnsi="Arial" w:cs="Arial"/>
          <w:color w:val="000000"/>
          <w:sz w:val="20"/>
          <w:szCs w:val="20"/>
        </w:rPr>
        <w:t>e všemi právy a povinnostmi a nabyvatel jej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 xml:space="preserve">Nabyvatel prohlašuje, že jeho </w:t>
      </w:r>
      <w:r w:rsidR="00271C79">
        <w:rPr>
          <w:rFonts w:ascii="Arial" w:hAnsi="Arial" w:cs="Arial"/>
          <w:sz w:val="20"/>
          <w:szCs w:val="20"/>
        </w:rPr>
        <w:t xml:space="preserve">   </w:t>
      </w:r>
      <w:r w:rsidRPr="00D27771">
        <w:rPr>
          <w:rFonts w:ascii="Arial" w:hAnsi="Arial" w:cs="Arial"/>
          <w:sz w:val="20"/>
          <w:szCs w:val="20"/>
        </w:rPr>
        <w:t xml:space="preserve">nárok, který má být touto smlouvou vypořádán, dosud vypořádán nebyl a že jej nepostoupil ani </w:t>
      </w:r>
      <w:r w:rsidR="00271C79">
        <w:rPr>
          <w:rFonts w:ascii="Arial" w:hAnsi="Arial" w:cs="Arial"/>
          <w:sz w:val="20"/>
          <w:szCs w:val="20"/>
        </w:rPr>
        <w:t xml:space="preserve">     </w:t>
      </w:r>
      <w:r w:rsidRPr="00D27771">
        <w:rPr>
          <w:rFonts w:ascii="Arial" w:hAnsi="Arial" w:cs="Arial"/>
          <w:sz w:val="20"/>
          <w:szCs w:val="20"/>
        </w:rPr>
        <w:t>nepostoupí žádnému postupníkovi. Dále prohlašuje, že mu nebyla poskytnuta náhrada za porosty</w:t>
      </w:r>
      <w:r w:rsidR="00314FF8">
        <w:rPr>
          <w:rFonts w:ascii="Arial" w:hAnsi="Arial" w:cs="Arial"/>
          <w:sz w:val="20"/>
          <w:szCs w:val="20"/>
        </w:rPr>
        <w:t xml:space="preserve"> </w:t>
      </w:r>
      <w:r w:rsidR="0061570B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D27771">
        <w:rPr>
          <w:rFonts w:ascii="Arial" w:hAnsi="Arial" w:cs="Arial"/>
          <w:sz w:val="20"/>
          <w:szCs w:val="20"/>
        </w:rPr>
        <w:t>a příslušenství pozemků, které jsou započítávány do ceny nevydaných pozemků. Nepravdivé prohlášení a jednání učiněná nabyvatelem v rozporu s tímto prohlášením, činí tuto smlouvu neplatnou od samého počátku.</w:t>
      </w:r>
    </w:p>
    <w:p w14:paraId="6C9D1669" w14:textId="77777777" w:rsidR="00BE039A" w:rsidRPr="003970C3" w:rsidRDefault="00BE039A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14ED0A3B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64AE3DC4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0B847B39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477E636" w14:textId="641E1080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</w:t>
      </w:r>
      <w:r w:rsidR="00232F6D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314FF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D27771">
        <w:rPr>
          <w:rFonts w:ascii="Arial" w:hAnsi="Arial" w:cs="Arial"/>
          <w:color w:val="000000"/>
          <w:sz w:val="20"/>
          <w:szCs w:val="20"/>
        </w:rPr>
        <w:t>a vytyčování hranic pozemků.</w:t>
      </w:r>
    </w:p>
    <w:p w14:paraId="36C7A1C6" w14:textId="77777777" w:rsidR="00AB5EEE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23960206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 bere na vědomí a je srozuměn s tím, že převáděný pozemek je pronajat.</w:t>
      </w:r>
    </w:p>
    <w:p w14:paraId="4CD85288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21E307A5" w14:textId="713B4E34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Užívací vztah k převáděnému pozemku p. č. 456/1 v 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Ryjice je řešen pachtovní smlouvou číslo 73N20/08, uzavřenou s </w:t>
      </w:r>
      <w:proofErr w:type="spellStart"/>
      <w:r w:rsidR="005231D4">
        <w:rPr>
          <w:rFonts w:ascii="Arial" w:hAnsi="Arial" w:cs="Arial"/>
          <w:color w:val="000000"/>
          <w:sz w:val="20"/>
          <w:szCs w:val="20"/>
        </w:rPr>
        <w:t>xxxxxxxxxxxxx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jakožto pachtýřem. </w:t>
      </w:r>
    </w:p>
    <w:p w14:paraId="1DA90F6C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79C16AD6" w14:textId="5CCB50EA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Převáděný pozemek v 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Ryjice p. č. 456/1, je součástí honitby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Diana - Neštěmice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", jejímž držitelem je Honební společenstvo Chuderov, a to na základě rozhodnutí, které vydal Okresní úřad Ústí nad Labem, Referát životního prostředí dne 19. 12. 2002, pod čj. RŽP/4409/02-Čm. Tento pozemek je ve smyslu </w:t>
      </w:r>
      <w:r w:rsidR="00271C7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zákona č. 503/2012 Sb., o Státním pozemkovém úřadu, ve znění pozdějších předpisů, v režimu </w:t>
      </w:r>
      <w:r w:rsidR="00271C79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přičlenění.      </w:t>
      </w:r>
    </w:p>
    <w:p w14:paraId="0C2C9453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2542DBF1" w14:textId="41560239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převáděném pozemku v 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Ryjice váznou práva třetích osob. Nabyvatel bere na vědomí a je </w:t>
      </w:r>
      <w:r w:rsidR="00271C7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srozuměn s tím, že převádějící uzavřel dne 24. 8. 2015 se spol. ČEZ Distribuce, a. s., Smlouvu o zřízení věcného břemene umístění a provozování elektrorozvodného zařízení č. 1026 C 14/08, spočívající v zřízení, provozování, oprav a udržování součástí distribuční soustavy. Věcné břemeno je zapsáno v katastru nemovitostí.</w:t>
      </w:r>
    </w:p>
    <w:p w14:paraId="10FC7157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3F94C057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8A3AA1D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9C1F293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3083DBA7" w14:textId="77777777" w:rsidR="00AD2C21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4D8E5EDF" w14:textId="77777777"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14:paraId="69DA7C9B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7DEB403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50B6C20" w14:textId="77777777" w:rsidR="00AD4CDE" w:rsidRPr="00D27771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14:paraId="623FE210" w14:textId="77777777" w:rsidR="00AD4CDE" w:rsidRPr="00D27771" w:rsidRDefault="00AD4CDE" w:rsidP="00B868C7">
      <w:pPr>
        <w:jc w:val="both"/>
        <w:rPr>
          <w:rFonts w:ascii="Arial" w:hAnsi="Arial" w:cs="Arial"/>
          <w:color w:val="000000"/>
        </w:rPr>
      </w:pPr>
    </w:p>
    <w:p w14:paraId="47D062DE" w14:textId="77777777" w:rsidR="00AD4CDE" w:rsidRPr="00D27771" w:rsidRDefault="00AD4CDE" w:rsidP="00B868C7">
      <w:pPr>
        <w:jc w:val="both"/>
        <w:rPr>
          <w:rFonts w:ascii="Arial" w:hAnsi="Arial" w:cs="Arial"/>
          <w:color w:val="000000"/>
        </w:rPr>
      </w:pPr>
    </w:p>
    <w:p w14:paraId="2D091C8C" w14:textId="68ABB3E4" w:rsidR="001E5055" w:rsidRPr="00D27771" w:rsidRDefault="001E5055" w:rsidP="00B868C7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 xml:space="preserve">2015 Sb., </w:t>
      </w:r>
      <w:r w:rsidR="00232F6D">
        <w:rPr>
          <w:rFonts w:ascii="Arial" w:hAnsi="Arial" w:cs="Arial"/>
          <w:sz w:val="20"/>
          <w:szCs w:val="20"/>
        </w:rPr>
        <w:t xml:space="preserve">                </w:t>
      </w:r>
      <w:r w:rsidR="00314FF8">
        <w:rPr>
          <w:rFonts w:ascii="Arial" w:hAnsi="Arial" w:cs="Arial"/>
          <w:sz w:val="20"/>
          <w:szCs w:val="20"/>
        </w:rPr>
        <w:t xml:space="preserve">          </w:t>
      </w:r>
      <w:r w:rsidRPr="00D27771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</w:t>
      </w:r>
      <w:r w:rsidR="00271C79">
        <w:rPr>
          <w:rFonts w:ascii="Arial" w:hAnsi="Arial" w:cs="Arial"/>
          <w:sz w:val="20"/>
          <w:szCs w:val="20"/>
        </w:rPr>
        <w:t xml:space="preserve">     </w:t>
      </w:r>
      <w:r w:rsidR="00746F65">
        <w:rPr>
          <w:rFonts w:ascii="Arial" w:hAnsi="Arial" w:cs="Arial"/>
          <w:sz w:val="20"/>
          <w:szCs w:val="20"/>
        </w:rPr>
        <w:t xml:space="preserve"> znění pozdějších předpisů</w:t>
      </w:r>
      <w:r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5198FCCD" w14:textId="77777777"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14:paraId="75272B6C" w14:textId="79E5D917" w:rsidR="002B7458" w:rsidRPr="00D27771" w:rsidRDefault="00D75B4F" w:rsidP="00547094">
      <w:pPr>
        <w:jc w:val="both"/>
        <w:rPr>
          <w:rFonts w:ascii="Arial" w:hAnsi="Arial" w:cs="Arial"/>
          <w:lang w:eastAsia="en-US"/>
        </w:rPr>
      </w:pP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informuje ve smlouvě uvedený subjekt osobních údajů, že </w:t>
      </w:r>
      <w:proofErr w:type="gramStart"/>
      <w:r w:rsidRPr="00E569A9">
        <w:rPr>
          <w:rFonts w:ascii="Arial" w:hAnsi="Arial" w:cs="Arial"/>
          <w:lang w:eastAsia="en-US"/>
        </w:rPr>
        <w:t>jeho</w:t>
      </w:r>
      <w:r w:rsidR="00271C79">
        <w:rPr>
          <w:rFonts w:ascii="Arial" w:hAnsi="Arial" w:cs="Arial"/>
          <w:lang w:eastAsia="en-US"/>
        </w:rPr>
        <w:t xml:space="preserve"> </w:t>
      </w:r>
      <w:r w:rsidRPr="00E569A9">
        <w:rPr>
          <w:rFonts w:ascii="Arial" w:hAnsi="Arial" w:cs="Arial"/>
          <w:lang w:eastAsia="en-US"/>
        </w:rPr>
        <w:t xml:space="preserve"> údaje</w:t>
      </w:r>
      <w:proofErr w:type="gramEnd"/>
      <w:r w:rsidRPr="00E569A9">
        <w:rPr>
          <w:rFonts w:ascii="Arial" w:hAnsi="Arial" w:cs="Arial"/>
          <w:lang w:eastAsia="en-US"/>
        </w:rPr>
        <w:t xml:space="preserve">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</w:t>
      </w:r>
      <w:r w:rsidR="00271C79">
        <w:rPr>
          <w:rFonts w:ascii="Arial" w:hAnsi="Arial" w:cs="Arial"/>
          <w:lang w:eastAsia="en-US"/>
        </w:rPr>
        <w:t xml:space="preserve">  </w:t>
      </w:r>
      <w:r w:rsidRPr="00E569A9">
        <w:rPr>
          <w:rFonts w:ascii="Arial" w:hAnsi="Arial" w:cs="Arial"/>
          <w:lang w:eastAsia="en-US"/>
        </w:rPr>
        <w:t xml:space="preserve">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7AB9BE19" w14:textId="77777777" w:rsidR="002B7458" w:rsidRDefault="002B7458" w:rsidP="00824EDF">
      <w:pPr>
        <w:pStyle w:val="vnintext"/>
        <w:ind w:firstLine="0"/>
        <w:rPr>
          <w:rFonts w:ascii="Arial" w:hAnsi="Arial" w:cs="Arial"/>
          <w:sz w:val="20"/>
          <w:szCs w:val="20"/>
        </w:rPr>
      </w:pPr>
    </w:p>
    <w:p w14:paraId="42BECCA1" w14:textId="02E288A9" w:rsidR="00683264" w:rsidRPr="00150EBF" w:rsidRDefault="00683264" w:rsidP="00683264">
      <w:pPr>
        <w:pStyle w:val="Zkladntext2"/>
        <w:spacing w:before="120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CBD0698" w14:textId="5C450ED9" w:rsidR="00683264" w:rsidRPr="007B377C" w:rsidRDefault="00683264" w:rsidP="00B868C7">
      <w:pPr>
        <w:jc w:val="both"/>
        <w:rPr>
          <w:rFonts w:ascii="Arial" w:hAnsi="Arial" w:cs="Arial"/>
          <w:color w:val="000000"/>
          <w:lang w:eastAsia="en-US"/>
        </w:rPr>
      </w:pPr>
      <w:r w:rsidRPr="007B377C">
        <w:rPr>
          <w:rFonts w:ascii="Arial" w:hAnsi="Arial" w:cs="Arial"/>
          <w:color w:val="000000"/>
          <w:lang w:eastAsia="en-US"/>
        </w:rPr>
        <w:t xml:space="preserve">V souvislosti s realizací práv a povinností vyplývajících z této smlouvy bude mít nabyvatel přístup </w:t>
      </w:r>
      <w:r w:rsidR="00271C79">
        <w:rPr>
          <w:rFonts w:ascii="Arial" w:hAnsi="Arial" w:cs="Arial"/>
          <w:color w:val="000000"/>
          <w:lang w:eastAsia="en-US"/>
        </w:rPr>
        <w:t xml:space="preserve">   </w:t>
      </w:r>
      <w:r w:rsidRPr="007B377C">
        <w:rPr>
          <w:rFonts w:ascii="Arial" w:hAnsi="Arial" w:cs="Arial"/>
          <w:color w:val="000000"/>
          <w:lang w:eastAsia="en-US"/>
        </w:rPr>
        <w:t xml:space="preserve">k osobním údajům fyzických osob, které jsou uvedeny ve smlouvě/smlouvách, které byly těmito osobami uzavřeny se Státním pozemkovým úřadem.  Nabyvatel se zavazuje, že přijme veškerá technická </w:t>
      </w:r>
      <w:r w:rsidR="00EF3BC4" w:rsidRPr="007B377C">
        <w:rPr>
          <w:rFonts w:ascii="Arial" w:hAnsi="Arial" w:cs="Arial"/>
          <w:color w:val="000000"/>
          <w:lang w:eastAsia="en-US"/>
        </w:rPr>
        <w:br/>
      </w:r>
      <w:r w:rsidRPr="007B377C">
        <w:rPr>
          <w:rFonts w:ascii="Arial" w:hAnsi="Arial" w:cs="Arial"/>
          <w:color w:val="000000"/>
          <w:lang w:eastAsia="en-US"/>
        </w:rPr>
        <w:t xml:space="preserve">a bezpečnostní opatření, v rámci nabyvatele s nimi budou seznámeni jen případní zaměstnanci a partneři nabyvatele a nabyvatel nezpřístupní tyto osobní údaje třetím osobám. Nabyvatel prohlašuje, že je </w:t>
      </w:r>
      <w:r w:rsidR="00271C79">
        <w:rPr>
          <w:rFonts w:ascii="Arial" w:hAnsi="Arial" w:cs="Arial"/>
          <w:color w:val="000000"/>
          <w:lang w:eastAsia="en-US"/>
        </w:rPr>
        <w:t xml:space="preserve">  </w:t>
      </w:r>
      <w:r w:rsidRPr="007B377C">
        <w:rPr>
          <w:rFonts w:ascii="Arial" w:hAnsi="Arial" w:cs="Arial"/>
          <w:color w:val="000000"/>
          <w:lang w:eastAsia="en-US"/>
        </w:rPr>
        <w:t>oprávněn shromažďovat, používat, přenášet, ukládat nebo jiným způsobem zpracovávat informace předávané SPÚ, včetně osobních údajů, jak jsou definovány příslušnými právními předpisy.</w:t>
      </w:r>
    </w:p>
    <w:p w14:paraId="41ABC3D3" w14:textId="77777777" w:rsidR="00BE039A" w:rsidRPr="007B377C" w:rsidRDefault="00BE039A" w:rsidP="00B868C7">
      <w:pPr>
        <w:jc w:val="both"/>
        <w:rPr>
          <w:rFonts w:ascii="Arial" w:hAnsi="Arial" w:cs="Arial"/>
          <w:color w:val="000000"/>
          <w:lang w:eastAsia="en-US"/>
        </w:rPr>
      </w:pPr>
    </w:p>
    <w:p w14:paraId="6AB2C158" w14:textId="1803C690" w:rsidR="00683264" w:rsidRPr="007B377C" w:rsidRDefault="00683264" w:rsidP="00683264">
      <w:pPr>
        <w:jc w:val="both"/>
        <w:rPr>
          <w:rFonts w:ascii="Arial" w:hAnsi="Arial" w:cs="Arial"/>
          <w:color w:val="000000"/>
          <w:lang w:eastAsia="en-US"/>
        </w:rPr>
      </w:pPr>
      <w:r w:rsidRPr="007B377C">
        <w:rPr>
          <w:rFonts w:ascii="Arial" w:hAnsi="Arial" w:cs="Arial"/>
          <w:color w:val="000000"/>
          <w:lang w:eastAsia="en-US"/>
        </w:rPr>
        <w:t>Obě smluvní strany se zavazují, že budou postupovat v </w:t>
      </w:r>
      <w:r w:rsidR="00BE039A" w:rsidRPr="007B377C">
        <w:rPr>
          <w:rFonts w:ascii="Arial" w:hAnsi="Arial" w:cs="Arial"/>
          <w:color w:val="000000"/>
          <w:lang w:eastAsia="en-US"/>
        </w:rPr>
        <w:t>s</w:t>
      </w:r>
      <w:r w:rsidRPr="007B377C">
        <w:rPr>
          <w:rFonts w:ascii="Arial" w:hAnsi="Arial" w:cs="Arial"/>
          <w:color w:val="000000"/>
          <w:lang w:eastAsia="en-US"/>
        </w:rPr>
        <w:t xml:space="preserve">ouladu </w:t>
      </w:r>
      <w:r w:rsidR="00691EE6" w:rsidRPr="00691EE6">
        <w:rPr>
          <w:rFonts w:ascii="Arial" w:hAnsi="Arial" w:cs="Arial"/>
          <w:color w:val="000000"/>
          <w:lang w:eastAsia="en-US"/>
        </w:rPr>
        <w:t xml:space="preserve">se zákonem č. 110/2019 Sb., </w:t>
      </w:r>
      <w:r w:rsidR="00EF3BC4">
        <w:rPr>
          <w:rFonts w:ascii="Arial" w:hAnsi="Arial" w:cs="Arial"/>
          <w:color w:val="000000"/>
          <w:lang w:eastAsia="en-US"/>
        </w:rPr>
        <w:br/>
      </w:r>
      <w:r w:rsidR="00691EE6" w:rsidRPr="00691EE6">
        <w:rPr>
          <w:rFonts w:ascii="Arial" w:hAnsi="Arial" w:cs="Arial"/>
          <w:color w:val="000000"/>
          <w:lang w:eastAsia="en-US"/>
        </w:rPr>
        <w:t>o zpracování osobních údajů, a platným</w:t>
      </w:r>
      <w:r w:rsidR="00691EE6">
        <w:rPr>
          <w:rFonts w:ascii="Arial" w:hAnsi="Arial" w:cs="Arial"/>
          <w:color w:val="000000"/>
          <w:lang w:eastAsia="en-US"/>
        </w:rPr>
        <w:t xml:space="preserve"> </w:t>
      </w:r>
      <w:r w:rsidR="00691EE6" w:rsidRPr="0008169E">
        <w:rPr>
          <w:rFonts w:ascii="Arial" w:hAnsi="Arial" w:cs="Arial"/>
          <w:lang w:eastAsia="en-US"/>
        </w:rPr>
        <w:t>nařízením Evropského parlamentu a Rady EU 2016/679</w:t>
      </w:r>
      <w:proofErr w:type="gramStart"/>
      <w:r w:rsidR="00691EE6" w:rsidRPr="0008169E">
        <w:rPr>
          <w:rFonts w:ascii="Arial" w:hAnsi="Arial" w:cs="Arial"/>
          <w:lang w:eastAsia="en-US"/>
        </w:rPr>
        <w:t xml:space="preserve"> </w:t>
      </w:r>
      <w:r w:rsidR="00271C79">
        <w:rPr>
          <w:rFonts w:ascii="Arial" w:hAnsi="Arial" w:cs="Arial"/>
          <w:lang w:eastAsia="en-US"/>
        </w:rPr>
        <w:t xml:space="preserve">  </w:t>
      </w:r>
      <w:r w:rsidR="00691EE6" w:rsidRPr="0008169E">
        <w:rPr>
          <w:rFonts w:ascii="Arial" w:hAnsi="Arial" w:cs="Arial"/>
          <w:lang w:eastAsia="en-US"/>
        </w:rPr>
        <w:t>(</w:t>
      </w:r>
      <w:proofErr w:type="gramEnd"/>
      <w:r w:rsidR="00691EE6" w:rsidRPr="0008169E">
        <w:rPr>
          <w:rFonts w:ascii="Arial" w:hAnsi="Arial" w:cs="Arial"/>
          <w:lang w:eastAsia="en-US"/>
        </w:rPr>
        <w:t>„GDPR“).</w:t>
      </w:r>
      <w:r w:rsidRPr="007B377C">
        <w:rPr>
          <w:rFonts w:ascii="Arial" w:hAnsi="Arial" w:cs="Arial"/>
          <w:color w:val="000000"/>
          <w:lang w:eastAsia="en-US"/>
        </w:rPr>
        <w:t xml:space="preserve">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66B03BC9" w14:textId="77777777" w:rsidR="00683264" w:rsidRPr="007B377C" w:rsidRDefault="00683264" w:rsidP="00683264">
      <w:pPr>
        <w:jc w:val="both"/>
        <w:rPr>
          <w:rFonts w:ascii="Arial" w:hAnsi="Arial" w:cs="Arial"/>
          <w:color w:val="000000"/>
          <w:lang w:eastAsia="en-US"/>
        </w:rPr>
      </w:pPr>
    </w:p>
    <w:p w14:paraId="11F280AA" w14:textId="77777777" w:rsidR="00683264" w:rsidRPr="00D27771" w:rsidRDefault="00683264" w:rsidP="002B7458">
      <w:pPr>
        <w:pStyle w:val="vnintext"/>
        <w:rPr>
          <w:rFonts w:ascii="Arial" w:hAnsi="Arial" w:cs="Arial"/>
          <w:sz w:val="20"/>
          <w:szCs w:val="20"/>
        </w:rPr>
      </w:pPr>
    </w:p>
    <w:p w14:paraId="1F3EA9CA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42046E6B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14:paraId="3F0CD603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A7B1471" w14:textId="63E537A9" w:rsidR="00AD4CDE" w:rsidRPr="00D27771" w:rsidRDefault="00B70A94" w:rsidP="00EB36A5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 xml:space="preserve">ávrh na povolení vkladu vlastnického práva do katastru nemovitostí na základě této </w:t>
      </w:r>
      <w:proofErr w:type="gramStart"/>
      <w:r w:rsidRPr="00D27771">
        <w:rPr>
          <w:rFonts w:ascii="Arial" w:hAnsi="Arial" w:cs="Arial"/>
          <w:sz w:val="20"/>
          <w:szCs w:val="20"/>
        </w:rPr>
        <w:t xml:space="preserve">smlouvy </w:t>
      </w:r>
      <w:r w:rsidR="00271C79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u</w:t>
      </w:r>
      <w:proofErr w:type="gramEnd"/>
      <w:r w:rsidRPr="00D27771">
        <w:rPr>
          <w:rFonts w:ascii="Arial" w:hAnsi="Arial" w:cs="Arial"/>
          <w:sz w:val="20"/>
          <w:szCs w:val="20"/>
        </w:rPr>
        <w:t>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0ECC2DB6" w14:textId="77777777" w:rsidR="00AD4CDE" w:rsidRDefault="00AD4CDE">
      <w:pPr>
        <w:widowControl/>
        <w:rPr>
          <w:rFonts w:ascii="Arial" w:hAnsi="Arial" w:cs="Arial"/>
          <w:color w:val="000000"/>
        </w:rPr>
      </w:pPr>
    </w:p>
    <w:p w14:paraId="716B951D" w14:textId="77777777" w:rsidR="00BE039A" w:rsidRDefault="00BE039A">
      <w:pPr>
        <w:widowControl/>
        <w:rPr>
          <w:rFonts w:ascii="Arial" w:hAnsi="Arial" w:cs="Arial"/>
          <w:color w:val="000000"/>
        </w:rPr>
      </w:pPr>
    </w:p>
    <w:p w14:paraId="26A9344F" w14:textId="77777777" w:rsidR="00BE039A" w:rsidRDefault="00BE039A">
      <w:pPr>
        <w:widowControl/>
        <w:rPr>
          <w:rFonts w:ascii="Arial" w:hAnsi="Arial" w:cs="Arial"/>
          <w:color w:val="000000"/>
        </w:rPr>
      </w:pPr>
    </w:p>
    <w:p w14:paraId="2CAB8402" w14:textId="77777777" w:rsidR="00BE039A" w:rsidRDefault="00BE039A">
      <w:pPr>
        <w:widowControl/>
        <w:rPr>
          <w:rFonts w:ascii="Arial" w:hAnsi="Arial" w:cs="Arial"/>
          <w:color w:val="000000"/>
        </w:rPr>
      </w:pPr>
    </w:p>
    <w:p w14:paraId="367BC0E0" w14:textId="77777777" w:rsidR="00BE039A" w:rsidRDefault="00BE039A">
      <w:pPr>
        <w:widowControl/>
        <w:rPr>
          <w:rFonts w:ascii="Arial" w:hAnsi="Arial" w:cs="Arial"/>
          <w:color w:val="000000"/>
        </w:rPr>
      </w:pPr>
    </w:p>
    <w:p w14:paraId="686AF889" w14:textId="77777777" w:rsidR="005231D4" w:rsidRDefault="005231D4">
      <w:pPr>
        <w:widowControl/>
        <w:rPr>
          <w:rFonts w:ascii="Arial" w:hAnsi="Arial" w:cs="Arial"/>
          <w:color w:val="000000"/>
        </w:rPr>
      </w:pPr>
    </w:p>
    <w:p w14:paraId="770F9B58" w14:textId="77777777" w:rsidR="00BE039A" w:rsidRPr="00D27771" w:rsidRDefault="00BE039A">
      <w:pPr>
        <w:widowControl/>
        <w:rPr>
          <w:rFonts w:ascii="Arial" w:hAnsi="Arial" w:cs="Arial"/>
          <w:color w:val="000000"/>
        </w:rPr>
      </w:pPr>
    </w:p>
    <w:p w14:paraId="4A025FDB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58242C00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EB8D4DD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13CB0C76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6FA9CD2D" w14:textId="77777777"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227D669F" w14:textId="59229A07" w:rsidR="00F304D3" w:rsidRPr="00D27771" w:rsidRDefault="00F304D3" w:rsidP="00F304D3">
      <w:pPr>
        <w:pStyle w:val="adresa"/>
        <w:widowControl/>
        <w:tabs>
          <w:tab w:val="clear" w:pos="3402"/>
          <w:tab w:val="clear" w:pos="6237"/>
          <w:tab w:val="left" w:pos="4820"/>
        </w:tabs>
        <w:ind w:left="4820" w:hanging="482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sz w:val="20"/>
          <w:szCs w:val="20"/>
        </w:rPr>
        <w:t>Teplicích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D2396B">
        <w:rPr>
          <w:rFonts w:ascii="Arial" w:hAnsi="Arial" w:cs="Arial"/>
          <w:color w:val="000000"/>
          <w:sz w:val="20"/>
          <w:szCs w:val="20"/>
        </w:rPr>
        <w:t>24. 6.2024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245981">
        <w:rPr>
          <w:rFonts w:ascii="Arial" w:hAnsi="Arial" w:cs="Arial"/>
          <w:color w:val="000000"/>
          <w:sz w:val="20"/>
          <w:szCs w:val="20"/>
        </w:rPr>
        <w:t> Českých Budějovicích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D2396B">
        <w:rPr>
          <w:rFonts w:ascii="Arial" w:hAnsi="Arial" w:cs="Arial"/>
          <w:color w:val="000000"/>
          <w:sz w:val="20"/>
          <w:szCs w:val="20"/>
        </w:rPr>
        <w:t>17. 6. 2024</w:t>
      </w:r>
    </w:p>
    <w:p w14:paraId="3FD6A51F" w14:textId="77777777" w:rsidR="00F304D3" w:rsidRPr="00D27771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8897B6B" w14:textId="77777777" w:rsidR="00F304D3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D507397" w14:textId="77777777" w:rsidR="00F304D3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26F38C7" w14:textId="77777777" w:rsidR="00F304D3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0FE20ABB" w14:textId="77777777" w:rsidR="00F304D3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DC252A4" w14:textId="77777777" w:rsidR="00F304D3" w:rsidRPr="00D27771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2E94BF2" w14:textId="77777777" w:rsidR="00F304D3" w:rsidRPr="00D27771" w:rsidRDefault="00F304D3" w:rsidP="00F304D3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14:paraId="5B13722E" w14:textId="77777777" w:rsidR="00F304D3" w:rsidRDefault="00F304D3" w:rsidP="00F304D3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b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převádějící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141044CD" w14:textId="77777777" w:rsidR="00F304D3" w:rsidRPr="00D27771" w:rsidRDefault="00F304D3" w:rsidP="00F304D3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F304D3" w:rsidRPr="00686C81" w14:paraId="022C9724" w14:textId="77777777" w:rsidTr="00644E35">
        <w:tc>
          <w:tcPr>
            <w:tcW w:w="4815" w:type="dxa"/>
            <w:shd w:val="clear" w:color="auto" w:fill="auto"/>
          </w:tcPr>
          <w:p w14:paraId="4F2C2A23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>Česká republika – Státní pozemkový úřad</w:t>
            </w:r>
          </w:p>
          <w:p w14:paraId="6C596D5C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zástupce </w:t>
            </w: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  <w:p w14:paraId="3DC54ACC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 xml:space="preserve">Krajského pozemkového úřadu pro Ústecký kraj </w:t>
            </w:r>
          </w:p>
          <w:p w14:paraId="54D34EFF" w14:textId="77777777" w:rsidR="00F304D3" w:rsidRPr="0001309B" w:rsidRDefault="00F304D3" w:rsidP="00644E35">
            <w:pPr>
              <w:rPr>
                <w:rFonts w:ascii="Arial" w:hAnsi="Arial" w:cs="Arial"/>
                <w:color w:val="000000"/>
              </w:rPr>
            </w:pPr>
            <w:r w:rsidRPr="0001309B">
              <w:rPr>
                <w:rFonts w:ascii="Arial" w:hAnsi="Arial" w:cs="Arial"/>
                <w:color w:val="000000"/>
              </w:rPr>
              <w:t>Ing. Jiří Pavliš, DiS.</w:t>
            </w:r>
          </w:p>
          <w:p w14:paraId="498A7323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F6FF222" w14:textId="6C4C9B84" w:rsidR="00F304D3" w:rsidRDefault="00F304D3" w:rsidP="00F304D3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Václav Kafka</w:t>
            </w:r>
          </w:p>
          <w:p w14:paraId="0AC25F03" w14:textId="1B6CFDCB" w:rsidR="00F304D3" w:rsidRDefault="00F304D3" w:rsidP="00F304D3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 plné moci </w:t>
            </w:r>
            <w:proofErr w:type="spellStart"/>
            <w:r w:rsidR="005231D4">
              <w:rPr>
                <w:rFonts w:ascii="Arial" w:hAnsi="Arial" w:cs="Arial"/>
                <w:color w:val="000000"/>
                <w:sz w:val="20"/>
                <w:szCs w:val="20"/>
              </w:rPr>
              <w:t>xxxxxxxxxxxxx</w:t>
            </w:r>
            <w:proofErr w:type="spellEnd"/>
          </w:p>
          <w:p w14:paraId="64A8FC2F" w14:textId="77777777" w:rsidR="00F304D3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F7E40" w14:textId="77777777" w:rsidR="00F304D3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B3BA9" w14:textId="77777777" w:rsidR="00F304D3" w:rsidRPr="00C90189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D3" w:rsidRPr="00686C81" w14:paraId="7049F1FA" w14:textId="77777777" w:rsidTr="00644E35">
        <w:tc>
          <w:tcPr>
            <w:tcW w:w="4815" w:type="dxa"/>
            <w:shd w:val="clear" w:color="auto" w:fill="auto"/>
          </w:tcPr>
          <w:p w14:paraId="03AF0444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6C43636B" w14:textId="77777777" w:rsidR="00F304D3" w:rsidRPr="00485A66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F304D3" w:rsidRPr="00686C81" w14:paraId="36F653CF" w14:textId="77777777" w:rsidTr="00644E35">
        <w:tc>
          <w:tcPr>
            <w:tcW w:w="4815" w:type="dxa"/>
            <w:shd w:val="clear" w:color="auto" w:fill="auto"/>
          </w:tcPr>
          <w:p w14:paraId="5FD4E6F3" w14:textId="77777777" w:rsidR="00F304D3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 xml:space="preserve">Za věcnou a formální správnost odpovídá </w:t>
            </w:r>
          </w:p>
          <w:p w14:paraId="05ACDE1C" w14:textId="77777777" w:rsidR="00F304D3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4FB">
              <w:rPr>
                <w:rFonts w:ascii="Arial" w:hAnsi="Arial" w:cs="Arial"/>
                <w:sz w:val="20"/>
                <w:szCs w:val="20"/>
              </w:rPr>
              <w:t>vedoucí oddělení převodu majetku státu</w:t>
            </w: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D185E1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 xml:space="preserve">KPÚ pro Ústecký kraj </w:t>
            </w:r>
          </w:p>
          <w:p w14:paraId="2809DAF0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5D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Lenka Strnadová</w:t>
            </w:r>
          </w:p>
          <w:p w14:paraId="1D20E6A2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123C863C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4D3" w:rsidRPr="00686C81" w14:paraId="5D88C857" w14:textId="77777777" w:rsidTr="00644E35">
        <w:tc>
          <w:tcPr>
            <w:tcW w:w="4815" w:type="dxa"/>
            <w:shd w:val="clear" w:color="auto" w:fill="auto"/>
          </w:tcPr>
          <w:p w14:paraId="22FA05E4" w14:textId="77777777" w:rsidR="00F304D3" w:rsidRPr="009A1DC4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C0BF90" w14:textId="77777777" w:rsidR="00F304D3" w:rsidRPr="009A1DC4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C8977" w14:textId="77777777" w:rsidR="00F304D3" w:rsidRPr="009A1DC4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D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81" w:type="dxa"/>
            <w:shd w:val="clear" w:color="auto" w:fill="auto"/>
          </w:tcPr>
          <w:p w14:paraId="6FE273FE" w14:textId="77777777" w:rsidR="00F304D3" w:rsidRPr="00A8765D" w:rsidRDefault="00F304D3" w:rsidP="00644E35">
            <w:pPr>
              <w:pStyle w:val="adresa"/>
              <w:widowControl/>
              <w:tabs>
                <w:tab w:val="clear" w:pos="3402"/>
                <w:tab w:val="clear" w:pos="6237"/>
                <w:tab w:val="left" w:pos="496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7A8F30" w14:textId="77777777" w:rsidR="00F304D3" w:rsidRPr="00D2777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6FD41F9E" w14:textId="77777777" w:rsidR="00F304D3" w:rsidRPr="00D2777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37CDE1EA" w14:textId="77777777" w:rsidR="00F304D3" w:rsidRPr="00D2777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7060AF0A" w14:textId="77777777" w:rsidR="00F304D3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3FF240E8" w14:textId="77777777" w:rsidR="00F304D3" w:rsidRDefault="00F304D3" w:rsidP="00F304D3">
      <w:pPr>
        <w:widowControl/>
        <w:jc w:val="both"/>
        <w:rPr>
          <w:rFonts w:ascii="Arial" w:hAnsi="Arial" w:cs="Arial"/>
          <w:color w:val="000000"/>
        </w:rPr>
      </w:pPr>
      <w:r w:rsidRPr="00686C81">
        <w:rPr>
          <w:rFonts w:ascii="Arial" w:hAnsi="Arial" w:cs="Arial"/>
          <w:color w:val="000000"/>
        </w:rPr>
        <w:t>Za správnost: Petra Musilová………</w:t>
      </w:r>
      <w:proofErr w:type="gramStart"/>
      <w:r w:rsidRPr="00686C81">
        <w:rPr>
          <w:rFonts w:ascii="Arial" w:hAnsi="Arial" w:cs="Arial"/>
          <w:color w:val="000000"/>
        </w:rPr>
        <w:t>…….</w:t>
      </w:r>
      <w:proofErr w:type="gramEnd"/>
      <w:r w:rsidRPr="00686C81">
        <w:rPr>
          <w:rFonts w:ascii="Arial" w:hAnsi="Arial" w:cs="Arial"/>
          <w:color w:val="000000"/>
        </w:rPr>
        <w:t>.</w:t>
      </w:r>
    </w:p>
    <w:p w14:paraId="78374D5C" w14:textId="77777777" w:rsidR="000A074A" w:rsidRPr="00686C81" w:rsidRDefault="000A074A" w:rsidP="00F304D3">
      <w:pPr>
        <w:widowControl/>
        <w:jc w:val="both"/>
        <w:rPr>
          <w:rFonts w:ascii="Arial" w:hAnsi="Arial" w:cs="Arial"/>
          <w:color w:val="000000"/>
        </w:rPr>
      </w:pPr>
    </w:p>
    <w:p w14:paraId="4BB0DE0C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5B433D10" w14:textId="518AEC41" w:rsidR="00F304D3" w:rsidRPr="000A074A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r w:rsidRPr="00686C8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686C81">
        <w:rPr>
          <w:rFonts w:ascii="Arial" w:hAnsi="Arial" w:cs="Arial"/>
          <w:color w:val="000000"/>
          <w:lang w:val="en-US"/>
        </w:rPr>
        <w:t>smlouva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byla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686C81">
        <w:rPr>
          <w:rFonts w:ascii="Arial" w:hAnsi="Arial" w:cs="Arial"/>
          <w:color w:val="000000"/>
          <w:lang w:val="en-US"/>
        </w:rPr>
        <w:t>Registru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smluv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686C81">
        <w:rPr>
          <w:rFonts w:ascii="Arial" w:hAnsi="Arial" w:cs="Arial"/>
          <w:color w:val="000000"/>
          <w:lang w:val="en-US"/>
        </w:rPr>
        <w:t>vedeném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dle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zákona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686C81">
        <w:rPr>
          <w:rFonts w:ascii="Arial" w:hAnsi="Arial" w:cs="Arial"/>
          <w:color w:val="000000"/>
          <w:lang w:val="en-US"/>
        </w:rPr>
        <w:t>registru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smluv</w:t>
      </w:r>
      <w:proofErr w:type="spellEnd"/>
      <w:r w:rsidRPr="00686C81">
        <w:rPr>
          <w:rFonts w:ascii="Arial" w:hAnsi="Arial" w:cs="Arial"/>
          <w:color w:val="000000"/>
          <w:lang w:val="en-US"/>
        </w:rPr>
        <w:t>.</w:t>
      </w:r>
    </w:p>
    <w:p w14:paraId="3D8A6C53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</w:p>
    <w:p w14:paraId="026A7A02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r w:rsidRPr="00686C81">
        <w:rPr>
          <w:rFonts w:ascii="Arial" w:hAnsi="Arial" w:cs="Arial"/>
          <w:color w:val="000000"/>
          <w:lang w:val="en-US"/>
        </w:rPr>
        <w:t xml:space="preserve">Datum </w:t>
      </w:r>
      <w:proofErr w:type="spellStart"/>
      <w:r w:rsidRPr="00686C81">
        <w:rPr>
          <w:rFonts w:ascii="Arial" w:hAnsi="Arial" w:cs="Arial"/>
          <w:color w:val="000000"/>
          <w:lang w:val="en-US"/>
        </w:rPr>
        <w:t>registrace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………………………………</w:t>
      </w:r>
    </w:p>
    <w:p w14:paraId="49D747A3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</w:p>
    <w:p w14:paraId="62E418CC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r w:rsidRPr="00686C8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686C81">
        <w:rPr>
          <w:rFonts w:ascii="Arial" w:hAnsi="Arial" w:cs="Arial"/>
          <w:color w:val="000000"/>
          <w:lang w:val="en-US"/>
        </w:rPr>
        <w:t>smlouvy</w:t>
      </w:r>
      <w:proofErr w:type="spellEnd"/>
      <w:r w:rsidRPr="00686C81">
        <w:rPr>
          <w:rFonts w:ascii="Arial" w:hAnsi="Arial" w:cs="Arial"/>
          <w:color w:val="000000"/>
          <w:lang w:val="en-US"/>
        </w:rPr>
        <w:t>………………………………………</w:t>
      </w:r>
    </w:p>
    <w:p w14:paraId="6398401F" w14:textId="77777777" w:rsidR="00F304D3" w:rsidRPr="00686C81" w:rsidRDefault="00F304D3" w:rsidP="00F304D3">
      <w:pPr>
        <w:widowControl/>
        <w:jc w:val="both"/>
        <w:rPr>
          <w:rFonts w:ascii="Arial" w:hAnsi="Arial" w:cs="Arial"/>
          <w:b/>
          <w:color w:val="000000"/>
          <w:lang w:val="en-US"/>
        </w:rPr>
      </w:pPr>
    </w:p>
    <w:p w14:paraId="62E0C252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r w:rsidRPr="00686C8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686C81">
        <w:rPr>
          <w:rFonts w:ascii="Arial" w:hAnsi="Arial" w:cs="Arial"/>
          <w:color w:val="000000"/>
          <w:lang w:val="en-US"/>
        </w:rPr>
        <w:t>verze</w:t>
      </w:r>
      <w:proofErr w:type="spellEnd"/>
      <w:r w:rsidRPr="00686C81">
        <w:rPr>
          <w:rFonts w:ascii="Arial" w:hAnsi="Arial" w:cs="Arial"/>
          <w:color w:val="000000"/>
          <w:lang w:val="en-US"/>
        </w:rPr>
        <w:t>………………………………………….</w:t>
      </w:r>
    </w:p>
    <w:p w14:paraId="638BB48E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</w:p>
    <w:p w14:paraId="019A9397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86C81">
        <w:rPr>
          <w:rFonts w:ascii="Arial" w:hAnsi="Arial" w:cs="Arial"/>
          <w:color w:val="000000"/>
          <w:lang w:val="en-US"/>
        </w:rPr>
        <w:t>Registraci</w:t>
      </w:r>
      <w:proofErr w:type="spellEnd"/>
      <w:r w:rsidRPr="00686C8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6C81">
        <w:rPr>
          <w:rFonts w:ascii="Arial" w:hAnsi="Arial" w:cs="Arial"/>
          <w:color w:val="000000"/>
          <w:lang w:val="en-US"/>
        </w:rPr>
        <w:t>provedl</w:t>
      </w:r>
      <w:proofErr w:type="spellEnd"/>
      <w:r w:rsidRPr="00686C81">
        <w:rPr>
          <w:rFonts w:ascii="Arial" w:hAnsi="Arial" w:cs="Arial"/>
          <w:color w:val="000000"/>
          <w:lang w:val="en-US"/>
        </w:rPr>
        <w:t>:  Bc. Karin Černíková …………</w:t>
      </w:r>
      <w:proofErr w:type="gramStart"/>
      <w:r w:rsidRPr="00686C81">
        <w:rPr>
          <w:rFonts w:ascii="Arial" w:hAnsi="Arial" w:cs="Arial"/>
          <w:color w:val="000000"/>
          <w:lang w:val="en-US"/>
        </w:rPr>
        <w:t>…..</w:t>
      </w:r>
      <w:proofErr w:type="gramEnd"/>
    </w:p>
    <w:p w14:paraId="221CBFD4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43F7F5CB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  <w:lang w:val="en-US"/>
        </w:rPr>
      </w:pPr>
      <w:r w:rsidRPr="00686C81">
        <w:rPr>
          <w:rFonts w:ascii="Arial" w:hAnsi="Arial" w:cs="Arial"/>
          <w:color w:val="000000"/>
        </w:rPr>
        <w:t>V Teplicích dne …………………………………</w:t>
      </w:r>
    </w:p>
    <w:p w14:paraId="1A9D408E" w14:textId="77777777" w:rsidR="00F304D3" w:rsidRPr="00686C81" w:rsidRDefault="00F304D3" w:rsidP="00F304D3">
      <w:pPr>
        <w:widowControl/>
        <w:jc w:val="both"/>
        <w:rPr>
          <w:rFonts w:ascii="Arial" w:hAnsi="Arial" w:cs="Arial"/>
          <w:color w:val="000000"/>
        </w:rPr>
      </w:pPr>
    </w:p>
    <w:p w14:paraId="5047272A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54B64AED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4914  </w:t>
      </w:r>
    </w:p>
    <w:p w14:paraId="78C85B0B" w14:textId="6C5132DD"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Datum tisku: 11. 6. 2024 Verze programu Restituce: 7.00</w:t>
      </w:r>
    </w:p>
    <w:p w14:paraId="589BEC9E" w14:textId="77777777" w:rsidR="00232F6D" w:rsidRDefault="00232F6D">
      <w:pPr>
        <w:widowControl/>
        <w:rPr>
          <w:rFonts w:ascii="Arial" w:hAnsi="Arial" w:cs="Arial"/>
          <w:color w:val="000000"/>
        </w:rPr>
      </w:pPr>
    </w:p>
    <w:p w14:paraId="26CB2FCF" w14:textId="38FF82DD" w:rsidR="00232F6D" w:rsidRDefault="00232F6D">
      <w:pPr>
        <w:widowControl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čj</w:t>
      </w:r>
      <w:proofErr w:type="spellEnd"/>
      <w:r>
        <w:rPr>
          <w:rFonts w:ascii="Arial" w:hAnsi="Arial" w:cs="Arial"/>
        </w:rPr>
        <w:t xml:space="preserve">: </w:t>
      </w:r>
      <w:r w:rsidRPr="00232F6D">
        <w:rPr>
          <w:rFonts w:ascii="Arial" w:hAnsi="Arial" w:cs="Arial"/>
        </w:rPr>
        <w:t>SPU 232786/2024/508102/Mu</w:t>
      </w:r>
    </w:p>
    <w:p w14:paraId="1FCA7CE0" w14:textId="03E76C47" w:rsidR="00232F6D" w:rsidRPr="00D27771" w:rsidRDefault="00232F6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UID: </w:t>
      </w:r>
      <w:r w:rsidRPr="00232F6D">
        <w:rPr>
          <w:rFonts w:ascii="Arial" w:hAnsi="Arial" w:cs="Arial"/>
        </w:rPr>
        <w:t>spuess920b8da2</w:t>
      </w:r>
    </w:p>
    <w:sectPr w:rsidR="00232F6D" w:rsidRPr="00D27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A3F4" w14:textId="77777777" w:rsidR="003E544F" w:rsidRDefault="003E544F" w:rsidP="007B377C">
      <w:r>
        <w:separator/>
      </w:r>
    </w:p>
  </w:endnote>
  <w:endnote w:type="continuationSeparator" w:id="0">
    <w:p w14:paraId="0273DEA3" w14:textId="77777777" w:rsidR="003E544F" w:rsidRDefault="003E544F" w:rsidP="007B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EEBB" w14:textId="77777777" w:rsidR="007B377C" w:rsidRDefault="007B37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45B2" w14:textId="6D4723DD" w:rsidR="007B377C" w:rsidRDefault="007B377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/4</w:t>
    </w:r>
  </w:p>
  <w:p w14:paraId="598A80CD" w14:textId="77777777" w:rsidR="007B377C" w:rsidRDefault="007B37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540C" w14:textId="77777777" w:rsidR="007B377C" w:rsidRDefault="007B3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BE4A" w14:textId="77777777" w:rsidR="003E544F" w:rsidRDefault="003E544F" w:rsidP="007B377C">
      <w:r>
        <w:separator/>
      </w:r>
    </w:p>
  </w:footnote>
  <w:footnote w:type="continuationSeparator" w:id="0">
    <w:p w14:paraId="012DE6D0" w14:textId="77777777" w:rsidR="003E544F" w:rsidRDefault="003E544F" w:rsidP="007B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402C" w14:textId="77777777" w:rsidR="007B377C" w:rsidRDefault="007B37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663F" w14:textId="77777777" w:rsidR="007B377C" w:rsidRDefault="007B37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4504" w14:textId="77777777" w:rsidR="007B377C" w:rsidRDefault="007B37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074A"/>
    <w:rsid w:val="000A3D59"/>
    <w:rsid w:val="000B4D5B"/>
    <w:rsid w:val="000C7506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32F6D"/>
    <w:rsid w:val="00245981"/>
    <w:rsid w:val="00271C79"/>
    <w:rsid w:val="00273CF0"/>
    <w:rsid w:val="002A1AB9"/>
    <w:rsid w:val="002A2A4B"/>
    <w:rsid w:val="002B7458"/>
    <w:rsid w:val="002C7AD6"/>
    <w:rsid w:val="002D163D"/>
    <w:rsid w:val="002E0BC1"/>
    <w:rsid w:val="00306639"/>
    <w:rsid w:val="00314FF8"/>
    <w:rsid w:val="003271AE"/>
    <w:rsid w:val="003315E7"/>
    <w:rsid w:val="003970C3"/>
    <w:rsid w:val="003A69C2"/>
    <w:rsid w:val="003E544F"/>
    <w:rsid w:val="00407016"/>
    <w:rsid w:val="0043267F"/>
    <w:rsid w:val="0044037E"/>
    <w:rsid w:val="00475830"/>
    <w:rsid w:val="00490EB1"/>
    <w:rsid w:val="004934BF"/>
    <w:rsid w:val="00511ECA"/>
    <w:rsid w:val="005231D4"/>
    <w:rsid w:val="00540A55"/>
    <w:rsid w:val="00547094"/>
    <w:rsid w:val="005A5801"/>
    <w:rsid w:val="005E5F83"/>
    <w:rsid w:val="005F4E66"/>
    <w:rsid w:val="0061570B"/>
    <w:rsid w:val="006230F7"/>
    <w:rsid w:val="00663872"/>
    <w:rsid w:val="006711BC"/>
    <w:rsid w:val="00683264"/>
    <w:rsid w:val="00684DB4"/>
    <w:rsid w:val="00687CE4"/>
    <w:rsid w:val="00691EE6"/>
    <w:rsid w:val="00696E39"/>
    <w:rsid w:val="006B5F0F"/>
    <w:rsid w:val="006B7BC3"/>
    <w:rsid w:val="006D2030"/>
    <w:rsid w:val="006D7CEE"/>
    <w:rsid w:val="006F699E"/>
    <w:rsid w:val="00732FBB"/>
    <w:rsid w:val="007457FE"/>
    <w:rsid w:val="00746F65"/>
    <w:rsid w:val="00753E24"/>
    <w:rsid w:val="0078597A"/>
    <w:rsid w:val="00796D9F"/>
    <w:rsid w:val="007A250F"/>
    <w:rsid w:val="007B377C"/>
    <w:rsid w:val="007B3E1D"/>
    <w:rsid w:val="007C7082"/>
    <w:rsid w:val="007F0009"/>
    <w:rsid w:val="008073DB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362B"/>
    <w:rsid w:val="00924A3D"/>
    <w:rsid w:val="009519F9"/>
    <w:rsid w:val="00987BE8"/>
    <w:rsid w:val="009D5879"/>
    <w:rsid w:val="009D7CA0"/>
    <w:rsid w:val="009E2E26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D2C21"/>
    <w:rsid w:val="00AD4CDE"/>
    <w:rsid w:val="00AF52AA"/>
    <w:rsid w:val="00B01442"/>
    <w:rsid w:val="00B11680"/>
    <w:rsid w:val="00B11C52"/>
    <w:rsid w:val="00B2414E"/>
    <w:rsid w:val="00B631AE"/>
    <w:rsid w:val="00B70A94"/>
    <w:rsid w:val="00B868C7"/>
    <w:rsid w:val="00BC3F00"/>
    <w:rsid w:val="00BC52BE"/>
    <w:rsid w:val="00BC7680"/>
    <w:rsid w:val="00BE039A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CE24E3"/>
    <w:rsid w:val="00CF1E23"/>
    <w:rsid w:val="00D2396B"/>
    <w:rsid w:val="00D27771"/>
    <w:rsid w:val="00D75B4F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6A5"/>
    <w:rsid w:val="00ED3554"/>
    <w:rsid w:val="00EF3BC4"/>
    <w:rsid w:val="00F15025"/>
    <w:rsid w:val="00F304D3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BB5B9"/>
  <w14:defaultImageDpi w14:val="0"/>
  <w15:docId w15:val="{6CFFDE2F-5750-4C6F-A880-3D65AC9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Musilová Petra</dc:creator>
  <cp:keywords/>
  <dc:description/>
  <cp:lastModifiedBy>Černíková Karin Bc.</cp:lastModifiedBy>
  <cp:revision>3</cp:revision>
  <cp:lastPrinted>2002-01-25T14:18:00Z</cp:lastPrinted>
  <dcterms:created xsi:type="dcterms:W3CDTF">2024-06-25T06:13:00Z</dcterms:created>
  <dcterms:modified xsi:type="dcterms:W3CDTF">2024-06-25T06:17:00Z</dcterms:modified>
</cp:coreProperties>
</file>