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A1220" w14:textId="77777777" w:rsidR="00536E10" w:rsidRDefault="00000000">
      <w:pPr>
        <w:pStyle w:val="Bodytext20"/>
      </w:pPr>
      <w:proofErr w:type="spellStart"/>
      <w:proofErr w:type="gramStart"/>
      <w:r>
        <w:rPr>
          <w:rStyle w:val="Bodytext2"/>
        </w:rPr>
        <w:t>List:l</w:t>
      </w:r>
      <w:proofErr w:type="spellEnd"/>
      <w:proofErr w:type="gramEnd"/>
      <w:r>
        <w:rPr>
          <w:rStyle w:val="Bodytext2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209"/>
        <w:gridCol w:w="353"/>
        <w:gridCol w:w="2822"/>
        <w:gridCol w:w="583"/>
        <w:gridCol w:w="3147"/>
      </w:tblGrid>
      <w:tr w:rsidR="00536E10" w14:paraId="399D55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060C9F" w14:textId="77777777" w:rsidR="00536E10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F1609" w14:textId="77777777" w:rsidR="00536E10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| Dodavatel:</w:t>
            </w:r>
          </w:p>
        </w:tc>
      </w:tr>
      <w:tr w:rsidR="00536E10" w14:paraId="4113C2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63D872A3" w14:textId="77777777" w:rsidR="00536E10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05" w:type="dxa"/>
            <w:gridSpan w:val="4"/>
            <w:shd w:val="clear" w:color="auto" w:fill="auto"/>
            <w:vAlign w:val="bottom"/>
          </w:tcPr>
          <w:p w14:paraId="01B2BD45" w14:textId="77777777" w:rsidR="00536E10" w:rsidRDefault="00000000">
            <w:pPr>
              <w:pStyle w:val="Other10"/>
              <w:tabs>
                <w:tab w:val="left" w:pos="2418"/>
              </w:tabs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536E10" w14:paraId="1D0F169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2E20530C" w14:textId="77777777" w:rsidR="00536E10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05" w:type="dxa"/>
            <w:gridSpan w:val="4"/>
            <w:shd w:val="clear" w:color="auto" w:fill="auto"/>
            <w:vAlign w:val="bottom"/>
          </w:tcPr>
          <w:p w14:paraId="291EC8EE" w14:textId="77777777" w:rsidR="00536E10" w:rsidRDefault="00000000">
            <w:pPr>
              <w:pStyle w:val="Other10"/>
              <w:tabs>
                <w:tab w:val="left" w:pos="2403"/>
              </w:tabs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536E10" w14:paraId="5A767BB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66E1BD26" w14:textId="77777777" w:rsidR="00536E10" w:rsidRDefault="00000000">
            <w:pPr>
              <w:pStyle w:val="Other10"/>
              <w:spacing w:line="276" w:lineRule="auto"/>
              <w:ind w:left="920" w:firstLine="20"/>
            </w:pPr>
            <w:r>
              <w:rPr>
                <w:rStyle w:val="Other1"/>
              </w:rPr>
              <w:t>Dělnická 1132/24 736 01 Havířov</w:t>
            </w:r>
          </w:p>
        </w:tc>
        <w:tc>
          <w:tcPr>
            <w:tcW w:w="6905" w:type="dxa"/>
            <w:gridSpan w:val="4"/>
            <w:shd w:val="clear" w:color="auto" w:fill="auto"/>
          </w:tcPr>
          <w:p w14:paraId="7D223A09" w14:textId="77777777" w:rsidR="00536E10" w:rsidRDefault="00000000">
            <w:pPr>
              <w:pStyle w:val="Other10"/>
              <w:tabs>
                <w:tab w:val="left" w:pos="2410"/>
              </w:tabs>
              <w:spacing w:after="60"/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2519664E" w14:textId="77777777" w:rsidR="00536E10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</w:tr>
      <w:tr w:rsidR="00536E10" w14:paraId="65314F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0E74792B" w14:textId="77777777" w:rsidR="00536E10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905" w:type="dxa"/>
            <w:gridSpan w:val="4"/>
            <w:shd w:val="clear" w:color="auto" w:fill="auto"/>
          </w:tcPr>
          <w:p w14:paraId="255912C1" w14:textId="77777777" w:rsidR="00536E10" w:rsidRDefault="00000000">
            <w:pPr>
              <w:pStyle w:val="Other10"/>
              <w:tabs>
                <w:tab w:val="left" w:pos="19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536E10" w14:paraId="15A039F3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0F638" w14:textId="77777777" w:rsidR="00536E10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B29238" w14:textId="77777777" w:rsidR="00536E10" w:rsidRDefault="00000000">
            <w:pPr>
              <w:pStyle w:val="Other10"/>
              <w:tabs>
                <w:tab w:val="left" w:pos="1964"/>
                <w:tab w:val="left" w:pos="403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7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536E10" w14:paraId="79244464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14:paraId="3EDBDD52" w14:textId="77777777" w:rsidR="00536E10" w:rsidRDefault="00000000">
            <w:pPr>
              <w:pStyle w:val="Other10"/>
              <w:spacing w:before="140" w:line="288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C6558E" w14:textId="77777777" w:rsidR="00536E10" w:rsidRDefault="00000000">
            <w:pPr>
              <w:pStyle w:val="Other10"/>
              <w:tabs>
                <w:tab w:val="left" w:pos="470"/>
              </w:tabs>
              <w:spacing w:before="140"/>
              <w:ind w:firstLine="1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3.6.2024</w:t>
            </w:r>
          </w:p>
          <w:p w14:paraId="3ACCD5FE" w14:textId="0C7E976C" w:rsidR="00536E10" w:rsidRDefault="00000000">
            <w:pPr>
              <w:pStyle w:val="Other10"/>
              <w:tabs>
                <w:tab w:val="left" w:pos="470"/>
              </w:tabs>
              <w:ind w:firstLine="1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A4DF5" w14:textId="77777777" w:rsidR="00536E10" w:rsidRDefault="00000000">
            <w:pPr>
              <w:pStyle w:val="Other10"/>
              <w:numPr>
                <w:ilvl w:val="0"/>
                <w:numId w:val="1"/>
              </w:numPr>
              <w:tabs>
                <w:tab w:val="left" w:pos="502"/>
              </w:tabs>
              <w:ind w:firstLine="380"/>
            </w:pPr>
            <w:r>
              <w:rPr>
                <w:rStyle w:val="Other1"/>
              </w:rPr>
              <w:t>Konečný příjemce:</w:t>
            </w:r>
          </w:p>
          <w:p w14:paraId="5ACDA44B" w14:textId="77777777" w:rsidR="00536E10" w:rsidRDefault="00000000">
            <w:pPr>
              <w:pStyle w:val="Other10"/>
              <w:numPr>
                <w:ilvl w:val="0"/>
                <w:numId w:val="1"/>
              </w:numPr>
              <w:tabs>
                <w:tab w:val="left" w:pos="2022"/>
                <w:tab w:val="right" w:pos="4362"/>
              </w:tabs>
              <w:ind w:firstLine="380"/>
            </w:pPr>
            <w:r>
              <w:rPr>
                <w:rStyle w:val="Other1"/>
              </w:rPr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E24A77E" w14:textId="77777777" w:rsidR="00536E10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F3A42DE" w14:textId="77777777" w:rsidR="00536E10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36E10" w14:paraId="1A01255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B95E" w14:textId="77777777" w:rsidR="00536E10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B453E5" w14:textId="77777777" w:rsidR="00536E10" w:rsidRDefault="00536E10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033EB2" w14:textId="77777777" w:rsidR="00536E10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0892FF2" w14:textId="77777777" w:rsidR="00536E10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  <w:tr w:rsidR="00536E10" w14:paraId="4CF2720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34172" w14:textId="77777777" w:rsidR="00536E10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536E10" w14:paraId="124BCFB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7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D588D" w14:textId="77777777" w:rsidR="00536E10" w:rsidRDefault="00000000">
            <w:pPr>
              <w:pStyle w:val="Other10"/>
              <w:tabs>
                <w:tab w:val="left" w:pos="1426"/>
                <w:tab w:val="left" w:pos="5105"/>
              </w:tabs>
              <w:spacing w:before="12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AE32D" w14:textId="77777777" w:rsidR="00536E10" w:rsidRDefault="00000000">
            <w:pPr>
              <w:pStyle w:val="Other10"/>
              <w:spacing w:before="14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A19E6" w14:textId="77777777" w:rsidR="00536E10" w:rsidRDefault="00000000">
            <w:pPr>
              <w:pStyle w:val="Other10"/>
              <w:tabs>
                <w:tab w:val="left" w:pos="2326"/>
              </w:tabs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398083C4" w14:textId="77777777" w:rsidR="00536E10" w:rsidRDefault="00000000">
            <w:pPr>
              <w:pStyle w:val="Other10"/>
              <w:tabs>
                <w:tab w:val="left" w:pos="1346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016D8830" w14:textId="77777777" w:rsidR="00536E10" w:rsidRDefault="00536E10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377"/>
        <w:gridCol w:w="2052"/>
        <w:gridCol w:w="799"/>
        <w:gridCol w:w="828"/>
        <w:gridCol w:w="288"/>
        <w:gridCol w:w="756"/>
        <w:gridCol w:w="374"/>
        <w:gridCol w:w="569"/>
      </w:tblGrid>
      <w:tr w:rsidR="00536E10" w14:paraId="42113C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20E5CF2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N046035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C10A301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054A42AC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2182540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0CEC63C7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63BC91F9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44" w:type="dxa"/>
            <w:gridSpan w:val="2"/>
            <w:shd w:val="clear" w:color="auto" w:fill="auto"/>
            <w:vAlign w:val="bottom"/>
          </w:tcPr>
          <w:p w14:paraId="5438DEA3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9 680,00</w:t>
            </w:r>
          </w:p>
        </w:tc>
        <w:tc>
          <w:tcPr>
            <w:tcW w:w="943" w:type="dxa"/>
            <w:gridSpan w:val="2"/>
            <w:shd w:val="clear" w:color="auto" w:fill="auto"/>
            <w:vAlign w:val="bottom"/>
          </w:tcPr>
          <w:p w14:paraId="24C2039C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9 680,00</w:t>
            </w:r>
          </w:p>
        </w:tc>
      </w:tr>
      <w:tr w:rsidR="00536E10" w14:paraId="75EF5FC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A5783F5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N046036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6E19E7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6CE4B331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2183030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1CBB5DCF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5B0A7D2E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3C712348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5B634544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470,00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A651FD1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16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64824DCB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940,00</w:t>
            </w:r>
          </w:p>
        </w:tc>
      </w:tr>
      <w:tr w:rsidR="00536E10" w14:paraId="7083F0C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B3A38DF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N046038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3A4AC4A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CD38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5F724E4D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2117580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3F32BB63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184B8F85" w14:textId="77777777" w:rsidR="00536E1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5CDB0E4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5F07F0EB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890,00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EB25C42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2B8A379B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890,00</w:t>
            </w:r>
          </w:p>
        </w:tc>
      </w:tr>
      <w:tr w:rsidR="00536E10" w14:paraId="1D2BFA0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10B9CADB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N044021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2A7FA11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CD64-APC Sony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41313518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2125070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17CEA82C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6E165A47" w14:textId="77777777" w:rsidR="00536E1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A923BC5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070BD6A7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C366F3A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7F55E480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</w:tr>
      <w:tr w:rsidR="00536E10" w14:paraId="48571A9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3B231424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N044017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BC874C1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CD24-PE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6433FB7C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555428 (2155530)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3943A90D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73B92BDD" w14:textId="77777777" w:rsidR="00536E1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1D4BCD1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795C5765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470,00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691A3BE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7C439925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470,00</w:t>
            </w:r>
          </w:p>
        </w:tc>
      </w:tr>
      <w:tr w:rsidR="00536E10" w14:paraId="71CCBCF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50A3563D" w14:textId="77777777" w:rsidR="00536E10" w:rsidRDefault="00000000">
            <w:pPr>
              <w:pStyle w:val="Other10"/>
            </w:pPr>
            <w:r>
              <w:rPr>
                <w:rStyle w:val="Other1"/>
              </w:rPr>
              <w:t>N003798</w:t>
            </w:r>
          </w:p>
        </w:tc>
        <w:tc>
          <w:tcPr>
            <w:tcW w:w="3377" w:type="dxa"/>
            <w:shd w:val="clear" w:color="auto" w:fill="auto"/>
          </w:tcPr>
          <w:p w14:paraId="25303E06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2052" w:type="dxa"/>
            <w:shd w:val="clear" w:color="auto" w:fill="auto"/>
          </w:tcPr>
          <w:p w14:paraId="46C83A2E" w14:textId="77777777" w:rsidR="00536E10" w:rsidRDefault="00000000">
            <w:pPr>
              <w:pStyle w:val="Other10"/>
              <w:ind w:firstLine="460"/>
            </w:pPr>
            <w:r>
              <w:rPr>
                <w:rStyle w:val="Other1"/>
              </w:rPr>
              <w:t>349524</w:t>
            </w:r>
          </w:p>
        </w:tc>
        <w:tc>
          <w:tcPr>
            <w:tcW w:w="799" w:type="dxa"/>
            <w:shd w:val="clear" w:color="auto" w:fill="auto"/>
          </w:tcPr>
          <w:p w14:paraId="0A6CD3ED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</w:tcPr>
          <w:p w14:paraId="0C0ADD14" w14:textId="77777777" w:rsidR="00536E1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8" w:type="dxa"/>
            <w:shd w:val="clear" w:color="auto" w:fill="auto"/>
          </w:tcPr>
          <w:p w14:paraId="17D001AA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14:paraId="21DC8F7B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420,00</w:t>
            </w:r>
          </w:p>
        </w:tc>
        <w:tc>
          <w:tcPr>
            <w:tcW w:w="374" w:type="dxa"/>
            <w:shd w:val="clear" w:color="auto" w:fill="auto"/>
          </w:tcPr>
          <w:p w14:paraId="2579286B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34105655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420,00</w:t>
            </w:r>
          </w:p>
        </w:tc>
      </w:tr>
      <w:tr w:rsidR="00536E10" w14:paraId="567B124D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74" w:type="dxa"/>
            <w:shd w:val="clear" w:color="auto" w:fill="auto"/>
          </w:tcPr>
          <w:p w14:paraId="567A3183" w14:textId="77777777" w:rsidR="00536E10" w:rsidRDefault="00000000">
            <w:pPr>
              <w:pStyle w:val="Other10"/>
              <w:spacing w:after="260"/>
            </w:pPr>
            <w:r>
              <w:rPr>
                <w:rStyle w:val="Other1"/>
              </w:rPr>
              <w:t>N003744</w:t>
            </w:r>
          </w:p>
          <w:p w14:paraId="28CA4A14" w14:textId="77777777" w:rsidR="00536E10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29" w:type="dxa"/>
            <w:gridSpan w:val="2"/>
            <w:shd w:val="clear" w:color="auto" w:fill="auto"/>
          </w:tcPr>
          <w:p w14:paraId="7388B2C9" w14:textId="77777777" w:rsidR="00536E10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PharmLyse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Lysis</w:t>
            </w:r>
            <w:proofErr w:type="spellEnd"/>
            <w:r>
              <w:rPr>
                <w:rStyle w:val="Other1"/>
              </w:rPr>
              <w:t xml:space="preserve"> Buffer (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concentrate</w:t>
            </w:r>
            <w:proofErr w:type="spellEnd"/>
            <w:r>
              <w:rPr>
                <w:rStyle w:val="Other1"/>
              </w:rPr>
              <w:t xml:space="preserve"> 555899</w:t>
            </w:r>
          </w:p>
        </w:tc>
        <w:tc>
          <w:tcPr>
            <w:tcW w:w="799" w:type="dxa"/>
            <w:shd w:val="clear" w:color="auto" w:fill="auto"/>
          </w:tcPr>
          <w:p w14:paraId="5E3FBAD6" w14:textId="77777777" w:rsidR="00536E10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828" w:type="dxa"/>
            <w:shd w:val="clear" w:color="auto" w:fill="auto"/>
          </w:tcPr>
          <w:p w14:paraId="4DEF7A49" w14:textId="77777777" w:rsidR="00536E10" w:rsidRDefault="00000000">
            <w:pPr>
              <w:pStyle w:val="Other10"/>
              <w:spacing w:after="26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  <w:p w14:paraId="7733147D" w14:textId="77777777" w:rsidR="00536E1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288" w:type="dxa"/>
            <w:shd w:val="clear" w:color="auto" w:fill="auto"/>
          </w:tcPr>
          <w:p w14:paraId="7DA5F4AB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62A84EA9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025,00</w:t>
            </w:r>
          </w:p>
        </w:tc>
        <w:tc>
          <w:tcPr>
            <w:tcW w:w="374" w:type="dxa"/>
            <w:shd w:val="clear" w:color="auto" w:fill="auto"/>
          </w:tcPr>
          <w:p w14:paraId="6DDEA40D" w14:textId="77777777" w:rsidR="00536E10" w:rsidRDefault="00000000">
            <w:pPr>
              <w:pStyle w:val="Other10"/>
              <w:spacing w:after="260"/>
              <w:jc w:val="right"/>
            </w:pPr>
            <w:r>
              <w:rPr>
                <w:rStyle w:val="Other1"/>
              </w:rPr>
              <w:t>3</w:t>
            </w:r>
          </w:p>
          <w:p w14:paraId="11486DD4" w14:textId="77777777" w:rsidR="00536E10" w:rsidRDefault="00000000">
            <w:pPr>
              <w:pStyle w:val="Other10"/>
              <w:jc w:val="right"/>
            </w:pPr>
            <w:r>
              <w:rPr>
                <w:rStyle w:val="Other1"/>
              </w:rPr>
              <w:t>61</w:t>
            </w:r>
          </w:p>
        </w:tc>
        <w:tc>
          <w:tcPr>
            <w:tcW w:w="569" w:type="dxa"/>
            <w:shd w:val="clear" w:color="auto" w:fill="auto"/>
          </w:tcPr>
          <w:p w14:paraId="22AA0F19" w14:textId="77777777" w:rsidR="00536E10" w:rsidRDefault="00000000">
            <w:pPr>
              <w:pStyle w:val="Other10"/>
              <w:spacing w:after="260"/>
              <w:jc w:val="both"/>
            </w:pPr>
            <w:r>
              <w:rPr>
                <w:rStyle w:val="Other1"/>
              </w:rPr>
              <w:t>025,00</w:t>
            </w:r>
          </w:p>
          <w:p w14:paraId="7111E495" w14:textId="77777777" w:rsidR="00536E10" w:rsidRDefault="00000000">
            <w:pPr>
              <w:pStyle w:val="Other10"/>
              <w:jc w:val="both"/>
            </w:pPr>
            <w:r>
              <w:rPr>
                <w:rStyle w:val="Other1"/>
              </w:rPr>
              <w:t>105,00</w:t>
            </w:r>
          </w:p>
        </w:tc>
      </w:tr>
    </w:tbl>
    <w:p w14:paraId="4A79FCA6" w14:textId="77777777" w:rsidR="00536E10" w:rsidRDefault="00536E10">
      <w:pPr>
        <w:spacing w:after="5979" w:line="1" w:lineRule="exact"/>
      </w:pPr>
    </w:p>
    <w:p w14:paraId="44DE3CA1" w14:textId="77777777" w:rsidR="00536E10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CC8BB8A" w14:textId="77777777" w:rsidR="00536E10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16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536E10">
      <w:headerReference w:type="default" r:id="rId8"/>
      <w:pgSz w:w="11900" w:h="16840"/>
      <w:pgMar w:top="1177" w:right="738" w:bottom="1177" w:left="614" w:header="0" w:footer="7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65C6E" w14:textId="77777777" w:rsidR="00B84B65" w:rsidRDefault="00B84B65">
      <w:r>
        <w:separator/>
      </w:r>
    </w:p>
  </w:endnote>
  <w:endnote w:type="continuationSeparator" w:id="0">
    <w:p w14:paraId="0EAC12F9" w14:textId="77777777" w:rsidR="00B84B65" w:rsidRDefault="00B8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A815F" w14:textId="77777777" w:rsidR="00B84B65" w:rsidRDefault="00B84B65"/>
  </w:footnote>
  <w:footnote w:type="continuationSeparator" w:id="0">
    <w:p w14:paraId="61CEDCC1" w14:textId="77777777" w:rsidR="00B84B65" w:rsidRDefault="00B84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7CA7" w14:textId="77777777" w:rsidR="00536E1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2C3954" wp14:editId="7FA00E6C">
              <wp:simplePos x="0" y="0"/>
              <wp:positionH relativeFrom="page">
                <wp:posOffset>2881630</wp:posOffset>
              </wp:positionH>
              <wp:positionV relativeFrom="page">
                <wp:posOffset>454660</wp:posOffset>
              </wp:positionV>
              <wp:extent cx="403225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63056" w14:textId="77777777" w:rsidR="00536E10" w:rsidRDefault="00000000">
                          <w:pPr>
                            <w:pStyle w:val="Headerorfooter20"/>
                            <w:tabs>
                              <w:tab w:val="right" w:pos="635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 40024401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C395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9pt;margin-top:35.8pt;width:317.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" filled="f" stroked="f">
              <v:textbox style="mso-fit-shape-to-text:t" inset="0,0,0,0">
                <w:txbxContent>
                  <w:p w14:paraId="0E463056" w14:textId="77777777" w:rsidR="00536E10" w:rsidRDefault="00000000">
                    <w:pPr>
                      <w:pStyle w:val="Headerorfooter20"/>
                      <w:tabs>
                        <w:tab w:val="right" w:pos="635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 40024401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A564D4E" wp14:editId="1BE07DC8">
              <wp:simplePos x="0" y="0"/>
              <wp:positionH relativeFrom="page">
                <wp:posOffset>467360</wp:posOffset>
              </wp:positionH>
              <wp:positionV relativeFrom="page">
                <wp:posOffset>673735</wp:posOffset>
              </wp:positionV>
              <wp:extent cx="6602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800000000000004pt;margin-top:53.050000000000004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A6F15"/>
    <w:multiLevelType w:val="multilevel"/>
    <w:tmpl w:val="9336E2D0"/>
    <w:lvl w:ilvl="0">
      <w:start w:val="1"/>
      <w:numFmt w:val="bullet"/>
      <w:lvlText w:val="|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325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35098E"/>
    <w:rsid w:val="003619C7"/>
    <w:rsid w:val="00536E10"/>
    <w:rsid w:val="00B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A067"/>
  <w15:docId w15:val="{0B67707D-DCED-4160-BCD2-7E438DE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0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ita-interta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2024-06-21T13:13:00Z</dcterms:created>
  <dcterms:modified xsi:type="dcterms:W3CDTF">2024-06-21T13:13:00Z</dcterms:modified>
</cp:coreProperties>
</file>