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7336" type="#_x0000_t202" filled="false" stroked="false">
            <v:textbox inset="0,0,0,0">
              <w:txbxContent>
                <w:p>
                  <w:pPr>
                    <w:pStyle w:val="BodyText"/>
                    <w:rPr>
                      <w:rFonts w:ascii="Times New Roman"/>
                      <w:sz w:val="34"/>
                    </w:rPr>
                  </w:pPr>
                </w:p>
                <w:p>
                  <w:pPr>
                    <w:pStyle w:val="BodyText"/>
                    <w:spacing w:before="7"/>
                    <w:rPr>
                      <w:rFonts w:ascii="Times New Roman"/>
                      <w:sz w:val="43"/>
                    </w:rPr>
                  </w:pPr>
                </w:p>
                <w:p>
                  <w:pPr>
                    <w:tabs>
                      <w:tab w:pos="9085" w:val="left" w:leader="none"/>
                    </w:tabs>
                    <w:spacing w:before="0"/>
                    <w:ind w:left="3470" w:right="0" w:firstLine="0"/>
                    <w:jc w:val="left"/>
                    <w:rPr>
                      <w:b/>
                      <w:sz w:val="30"/>
                    </w:rPr>
                  </w:pPr>
                  <w:r>
                    <w:rPr>
                      <w:b/>
                      <w:w w:val="105"/>
                      <w:sz w:val="30"/>
                    </w:rPr>
                    <w:t>Financováno</w:t>
                    <w:tab/>
                  </w:r>
                  <w:r>
                    <w:rPr>
                      <w:b/>
                      <w:w w:val="210"/>
                      <w:sz w:val="30"/>
                    </w:rPr>
                    <w:t>__</w:t>
                  </w:r>
                </w:p>
                <w:p>
                  <w:pPr>
                    <w:tabs>
                      <w:tab w:pos="3469" w:val="left" w:leader="none"/>
                      <w:tab w:pos="7221" w:val="left" w:leader="none"/>
                    </w:tabs>
                    <w:spacing w:before="56"/>
                    <w:ind w:left="2837" w:right="0" w:firstLine="0"/>
                    <w:jc w:val="left"/>
                    <w:rPr>
                      <w:b/>
                      <w:sz w:val="22"/>
                    </w:rPr>
                  </w:pPr>
                  <w:r>
                    <w:rPr>
                      <w:b/>
                      <w:w w:val="90"/>
                      <w:sz w:val="30"/>
                    </w:rPr>
                    <w:t>*</w:t>
                    <w:tab/>
                    <w:t>Evropskou </w:t>
                  </w:r>
                  <w:r>
                    <w:rPr>
                      <w:b/>
                      <w:spacing w:val="54"/>
                      <w:w w:val="90"/>
                      <w:sz w:val="30"/>
                    </w:rPr>
                    <w:t> </w:t>
                  </w:r>
                  <w:r>
                    <w:rPr>
                      <w:b/>
                      <w:w w:val="90"/>
                      <w:sz w:val="30"/>
                    </w:rPr>
                    <w:t>unií</w:t>
                    <w:tab/>
                  </w:r>
                  <w:r>
                    <w:rPr>
                      <w:b/>
                      <w:w w:val="75"/>
                      <w:sz w:val="22"/>
                    </w:rPr>
                    <w:t>Ministerstvo životního</w:t>
                  </w:r>
                  <w:r>
                    <w:rPr>
                      <w:b/>
                      <w:spacing w:val="25"/>
                      <w:w w:val="75"/>
                      <w:sz w:val="22"/>
                    </w:rPr>
                    <w:t> </w:t>
                  </w:r>
                  <w:r>
                    <w:rPr>
                      <w:b/>
                      <w:w w:val="75"/>
                      <w:sz w:val="22"/>
                    </w:rPr>
                    <w:t>prostředí</w:t>
                  </w:r>
                </w:p>
                <w:p>
                  <w:pPr>
                    <w:tabs>
                      <w:tab w:pos="3462" w:val="left" w:leader="none"/>
                    </w:tabs>
                    <w:spacing w:before="39"/>
                    <w:ind w:left="2808" w:right="0" w:firstLine="0"/>
                    <w:jc w:val="left"/>
                    <w:rPr>
                      <w:sz w:val="26"/>
                    </w:rPr>
                  </w:pPr>
                  <w:r>
                    <w:rPr>
                      <w:spacing w:val="-9"/>
                      <w:w w:val="105"/>
                      <w:sz w:val="26"/>
                    </w:rPr>
                    <w:t>___</w:t>
                    <w:tab/>
                  </w:r>
                  <w:r>
                    <w:rPr>
                      <w:w w:val="105"/>
                      <w:sz w:val="26"/>
                    </w:rPr>
                    <w:t>NextGenerationEU</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251"/>
                    <w:ind w:left="71" w:right="0" w:firstLine="0"/>
                    <w:jc w:val="center"/>
                    <w:rPr>
                      <w:b/>
                      <w:sz w:val="26"/>
                    </w:rPr>
                  </w:pPr>
                  <w:r>
                    <w:rPr>
                      <w:b/>
                      <w:sz w:val="26"/>
                    </w:rPr>
                    <w:t>SMLOUVA  O  DÍLO</w:t>
                  </w:r>
                </w:p>
                <w:p>
                  <w:pPr>
                    <w:spacing w:before="48"/>
                    <w:ind w:left="5882" w:right="0" w:firstLine="0"/>
                    <w:jc w:val="left"/>
                    <w:rPr>
                      <w:sz w:val="22"/>
                    </w:rPr>
                  </w:pPr>
                  <w:r>
                    <w:rPr>
                      <w:b/>
                      <w:w w:val="87"/>
                      <w:sz w:val="22"/>
                    </w:rPr>
                    <w:t>č.:</w:t>
                  </w:r>
                  <w:r>
                    <w:rPr>
                      <w:b/>
                      <w:sz w:val="22"/>
                    </w:rPr>
                    <w:t> </w:t>
                  </w:r>
                  <w:r>
                    <w:rPr>
                      <w:b/>
                      <w:spacing w:val="15"/>
                      <w:sz w:val="22"/>
                    </w:rPr>
                    <w:t> </w:t>
                  </w:r>
                  <w:r>
                    <w:rPr>
                      <w:b/>
                      <w:w w:val="118"/>
                      <w:sz w:val="22"/>
                    </w:rPr>
                    <w:t>SML</w:t>
                  </w:r>
                  <w:r>
                    <w:rPr>
                      <w:b/>
                      <w:spacing w:val="-4"/>
                      <w:w w:val="118"/>
                      <w:sz w:val="22"/>
                    </w:rPr>
                    <w:t>D</w:t>
                  </w:r>
                  <w:r>
                    <w:rPr>
                      <w:b/>
                      <w:w w:val="118"/>
                      <w:sz w:val="22"/>
                    </w:rPr>
                    <w:t>tU</w:t>
                  </w:r>
                  <w:r>
                    <w:rPr>
                      <w:b/>
                      <w:spacing w:val="-1"/>
                      <w:w w:val="118"/>
                      <w:sz w:val="22"/>
                    </w:rPr>
                    <w:t>-</w:t>
                  </w:r>
                  <w:r>
                    <w:rPr>
                      <w:spacing w:val="-1"/>
                      <w:w w:val="153"/>
                      <w:sz w:val="22"/>
                    </w:rPr>
                    <w:t>3</w:t>
                  </w:r>
                  <w:r>
                    <w:rPr>
                      <w:b/>
                      <w:w w:val="95"/>
                      <w:sz w:val="22"/>
                    </w:rPr>
                    <w:t>£&gt;</w:t>
                  </w:r>
                  <w:r>
                    <w:rPr>
                      <w:b/>
                      <w:spacing w:val="-1"/>
                      <w:w w:val="95"/>
                      <w:sz w:val="22"/>
                    </w:rPr>
                    <w:t>-</w:t>
                  </w:r>
                  <w:r>
                    <w:rPr>
                      <w:w w:val="91"/>
                      <w:sz w:val="22"/>
                    </w:rPr>
                    <w:t>7</w:t>
                  </w:r>
                  <w:r>
                    <w:rPr>
                      <w:spacing w:val="-1"/>
                      <w:w w:val="91"/>
                      <w:sz w:val="22"/>
                    </w:rPr>
                    <w:t>5</w:t>
                  </w:r>
                  <w:r>
                    <w:rPr>
                      <w:b/>
                      <w:w w:val="134"/>
                      <w:sz w:val="22"/>
                    </w:rPr>
                    <w:t>'/?</w:t>
                  </w:r>
                  <w:r>
                    <w:rPr>
                      <w:b/>
                      <w:spacing w:val="-3"/>
                      <w:w w:val="134"/>
                      <w:sz w:val="22"/>
                    </w:rPr>
                    <w:t>o</w:t>
                  </w:r>
                  <w:r>
                    <w:rPr>
                      <w:w w:val="65"/>
                      <w:sz w:val="22"/>
                    </w:rPr>
                    <w:t>&lt;?3</w:t>
                  </w:r>
                </w:p>
                <w:p>
                  <w:pPr>
                    <w:pStyle w:val="BodyText"/>
                    <w:rPr>
                      <w:rFonts w:ascii="Times New Roman"/>
                      <w:sz w:val="24"/>
                    </w:rPr>
                  </w:pPr>
                </w:p>
                <w:p>
                  <w:pPr>
                    <w:pStyle w:val="BodyText"/>
                    <w:spacing w:before="6"/>
                    <w:rPr>
                      <w:rFonts w:ascii="Times New Roman"/>
                      <w:sz w:val="21"/>
                    </w:rPr>
                  </w:pPr>
                </w:p>
                <w:p>
                  <w:pPr>
                    <w:spacing w:line="216" w:lineRule="exact" w:before="0"/>
                    <w:ind w:left="5141" w:right="5052" w:firstLine="468"/>
                    <w:jc w:val="left"/>
                    <w:rPr>
                      <w:b/>
                      <w:sz w:val="19"/>
                    </w:rPr>
                  </w:pPr>
                  <w:r>
                    <w:rPr>
                      <w:b/>
                      <w:sz w:val="19"/>
                    </w:rPr>
                    <w:t>Článek I. SMLUVNÍ STRANY</w:t>
                  </w:r>
                </w:p>
                <w:p>
                  <w:pPr>
                    <w:pStyle w:val="BodyText"/>
                    <w:rPr>
                      <w:rFonts w:ascii="Times New Roman"/>
                      <w:sz w:val="20"/>
                    </w:rPr>
                  </w:pPr>
                </w:p>
                <w:p>
                  <w:pPr>
                    <w:tabs>
                      <w:tab w:pos="4585" w:val="left" w:leader="none"/>
                    </w:tabs>
                    <w:spacing w:before="115"/>
                    <w:ind w:left="1634" w:right="0" w:firstLine="0"/>
                    <w:jc w:val="left"/>
                    <w:rPr>
                      <w:b/>
                      <w:sz w:val="19"/>
                    </w:rPr>
                  </w:pPr>
                  <w:r>
                    <w:rPr>
                      <w:sz w:val="19"/>
                    </w:rPr>
                    <w:t>1.</w:t>
                  </w:r>
                  <w:r>
                    <w:rPr>
                      <w:spacing w:val="29"/>
                      <w:sz w:val="19"/>
                    </w:rPr>
                    <w:t> </w:t>
                  </w:r>
                  <w:r>
                    <w:rPr>
                      <w:sz w:val="19"/>
                    </w:rPr>
                    <w:t>Objednatel:</w:t>
                    <w:tab/>
                  </w:r>
                  <w:r>
                    <w:rPr>
                      <w:b/>
                      <w:position w:val="1"/>
                      <w:sz w:val="19"/>
                    </w:rPr>
                    <w:t>Správa Krkonošského národního parku</w:t>
                  </w:r>
                </w:p>
                <w:p>
                  <w:pPr>
                    <w:pStyle w:val="BodyText"/>
                    <w:tabs>
                      <w:tab w:pos="4600" w:val="left" w:leader="none"/>
                    </w:tabs>
                    <w:spacing w:before="109"/>
                    <w:ind w:left="1894"/>
                    <w:jc w:val="both"/>
                  </w:pPr>
                  <w:r>
                    <w:rPr/>
                    <w:t>se</w:t>
                  </w:r>
                  <w:r>
                    <w:rPr>
                      <w:spacing w:val="-4"/>
                    </w:rPr>
                    <w:t> </w:t>
                  </w:r>
                  <w:r>
                    <w:rPr/>
                    <w:t>sídlem:</w:t>
                    <w:tab/>
                  </w:r>
                  <w:r>
                    <w:rPr>
                      <w:position w:val="1"/>
                    </w:rPr>
                    <w:t>Dobrovského 3, 543 01</w:t>
                  </w:r>
                  <w:r>
                    <w:rPr>
                      <w:spacing w:val="-19"/>
                      <w:position w:val="1"/>
                    </w:rPr>
                    <w:t> </w:t>
                  </w:r>
                  <w:r>
                    <w:rPr>
                      <w:position w:val="1"/>
                    </w:rPr>
                    <w:t>Vrchlabí</w:t>
                  </w:r>
                </w:p>
                <w:p>
                  <w:pPr>
                    <w:pStyle w:val="BodyText"/>
                    <w:tabs>
                      <w:tab w:pos="4600" w:val="left" w:leader="none"/>
                    </w:tabs>
                    <w:spacing w:before="109"/>
                    <w:ind w:left="1901"/>
                    <w:jc w:val="both"/>
                  </w:pPr>
                  <w:r>
                    <w:rPr/>
                    <w:t>IČO:</w:t>
                    <w:tab/>
                  </w:r>
                  <w:r>
                    <w:rPr>
                      <w:position w:val="1"/>
                    </w:rPr>
                    <w:t>00088455</w:t>
                  </w:r>
                </w:p>
                <w:p>
                  <w:pPr>
                    <w:pStyle w:val="BodyText"/>
                    <w:tabs>
                      <w:tab w:pos="4600" w:val="left" w:leader="none"/>
                    </w:tabs>
                    <w:spacing w:before="103"/>
                    <w:ind w:left="1901"/>
                    <w:jc w:val="both"/>
                  </w:pPr>
                  <w:r>
                    <w:rPr/>
                    <w:t>DIČ:</w:t>
                    <w:tab/>
                  </w:r>
                  <w:r>
                    <w:rPr>
                      <w:position w:val="1"/>
                    </w:rPr>
                    <w:t>CZ00088455</w:t>
                  </w:r>
                </w:p>
                <w:p>
                  <w:pPr>
                    <w:pStyle w:val="BodyText"/>
                    <w:spacing w:before="112"/>
                    <w:ind w:left="1901"/>
                    <w:jc w:val="both"/>
                  </w:pPr>
                  <w:r>
                    <w:rPr/>
                    <w:t>bankovní spojení:</w:t>
                  </w:r>
                </w:p>
                <w:p>
                  <w:pPr>
                    <w:pStyle w:val="BodyText"/>
                    <w:tabs>
                      <w:tab w:pos="4600" w:val="left" w:leader="none"/>
                    </w:tabs>
                    <w:spacing w:line="364" w:lineRule="auto" w:before="117"/>
                    <w:ind w:left="1901" w:right="4009" w:hanging="7"/>
                  </w:pPr>
                  <w:r>
                    <w:rPr/>
                    <w:t>zastoupená:</w:t>
                    <w:tab/>
                  </w:r>
                  <w:r>
                    <w:rPr>
                      <w:position w:val="1"/>
                    </w:rPr>
                    <w:t>PhDr. Robinem</w:t>
                  </w:r>
                  <w:r>
                    <w:rPr>
                      <w:spacing w:val="-1"/>
                      <w:position w:val="1"/>
                    </w:rPr>
                    <w:t> </w:t>
                  </w:r>
                  <w:r>
                    <w:rPr>
                      <w:position w:val="1"/>
                    </w:rPr>
                    <w:t>Bohnischem,</w:t>
                  </w:r>
                  <w:r>
                    <w:rPr>
                      <w:spacing w:val="-2"/>
                      <w:position w:val="1"/>
                    </w:rPr>
                    <w:t> </w:t>
                  </w:r>
                  <w:r>
                    <w:rPr>
                      <w:position w:val="1"/>
                    </w:rPr>
                    <w:t>ředitelem</w:t>
                  </w:r>
                  <w:r>
                    <w:rPr>
                      <w:w w:val="97"/>
                      <w:position w:val="1"/>
                    </w:rPr>
                    <w:t> </w:t>
                  </w:r>
                  <w:r>
                    <w:rPr/>
                    <w:t>kontaktní</w:t>
                  </w:r>
                  <w:r>
                    <w:rPr>
                      <w:spacing w:val="-28"/>
                    </w:rPr>
                    <w:t> </w:t>
                  </w:r>
                  <w:r>
                    <w:rPr/>
                    <w:t>osoba:</w:t>
                  </w:r>
                </w:p>
                <w:p>
                  <w:pPr>
                    <w:pStyle w:val="BodyText"/>
                    <w:rPr>
                      <w:rFonts w:ascii="Times New Roman"/>
                      <w:sz w:val="20"/>
                    </w:rPr>
                  </w:pPr>
                </w:p>
                <w:p>
                  <w:pPr>
                    <w:pStyle w:val="BodyText"/>
                    <w:spacing w:before="11"/>
                    <w:rPr>
                      <w:rFonts w:ascii="Times New Roman"/>
                      <w:sz w:val="18"/>
                    </w:rPr>
                  </w:pPr>
                </w:p>
                <w:p>
                  <w:pPr>
                    <w:spacing w:before="0"/>
                    <w:ind w:left="1901" w:right="0" w:firstLine="0"/>
                    <w:jc w:val="both"/>
                    <w:rPr>
                      <w:b/>
                      <w:sz w:val="19"/>
                    </w:rPr>
                  </w:pPr>
                  <w:r>
                    <w:rPr>
                      <w:w w:val="95"/>
                      <w:sz w:val="19"/>
                    </w:rPr>
                    <w:t>(dále jen </w:t>
                  </w:r>
                  <w:r>
                    <w:rPr>
                      <w:b/>
                      <w:w w:val="95"/>
                      <w:sz w:val="19"/>
                    </w:rPr>
                    <w:t>„objednatel")</w:t>
                  </w:r>
                </w:p>
                <w:p>
                  <w:pPr>
                    <w:pStyle w:val="BodyText"/>
                    <w:spacing w:before="7"/>
                    <w:rPr>
                      <w:rFonts w:ascii="Times New Roman"/>
                      <w:sz w:val="21"/>
                    </w:rPr>
                  </w:pPr>
                </w:p>
                <w:p>
                  <w:pPr>
                    <w:pStyle w:val="BodyText"/>
                    <w:ind w:left="1894"/>
                    <w:jc w:val="both"/>
                  </w:pPr>
                  <w:r>
                    <w:rPr>
                      <w:w w:val="81"/>
                    </w:rPr>
                    <w:t>a</w:t>
                  </w:r>
                </w:p>
                <w:p>
                  <w:pPr>
                    <w:pStyle w:val="BodyText"/>
                    <w:spacing w:before="10"/>
                    <w:rPr>
                      <w:rFonts w:ascii="Times New Roman"/>
                      <w:sz w:val="18"/>
                    </w:rPr>
                  </w:pPr>
                </w:p>
                <w:p>
                  <w:pPr>
                    <w:tabs>
                      <w:tab w:pos="4600" w:val="left" w:leader="none"/>
                    </w:tabs>
                    <w:spacing w:before="0"/>
                    <w:ind w:left="1626" w:right="0" w:firstLine="0"/>
                    <w:jc w:val="left"/>
                    <w:rPr>
                      <w:b/>
                      <w:sz w:val="19"/>
                    </w:rPr>
                  </w:pPr>
                  <w:r>
                    <w:rPr>
                      <w:sz w:val="19"/>
                    </w:rPr>
                    <w:t>2.</w:t>
                  </w:r>
                  <w:r>
                    <w:rPr>
                      <w:spacing w:val="39"/>
                      <w:sz w:val="19"/>
                    </w:rPr>
                    <w:t> </w:t>
                  </w:r>
                  <w:r>
                    <w:rPr>
                      <w:sz w:val="19"/>
                    </w:rPr>
                    <w:t>Zhotovitel:</w:t>
                    <w:tab/>
                  </w:r>
                  <w:r>
                    <w:rPr>
                      <w:b/>
                      <w:position w:val="1"/>
                      <w:sz w:val="19"/>
                    </w:rPr>
                    <w:t>Mgr. Markéta</w:t>
                  </w:r>
                  <w:r>
                    <w:rPr>
                      <w:b/>
                      <w:spacing w:val="-1"/>
                      <w:position w:val="1"/>
                      <w:sz w:val="19"/>
                    </w:rPr>
                    <w:t> </w:t>
                  </w:r>
                  <w:r>
                    <w:rPr>
                      <w:b/>
                      <w:position w:val="1"/>
                      <w:sz w:val="19"/>
                    </w:rPr>
                    <w:t>Dostálková</w:t>
                  </w:r>
                </w:p>
                <w:p>
                  <w:pPr>
                    <w:pStyle w:val="BodyText"/>
                    <w:tabs>
                      <w:tab w:pos="4607" w:val="left" w:leader="none"/>
                    </w:tabs>
                    <w:spacing w:before="108"/>
                    <w:ind w:left="1894"/>
                    <w:jc w:val="both"/>
                  </w:pPr>
                  <w:r>
                    <w:rPr/>
                    <w:t>se</w:t>
                  </w:r>
                  <w:r>
                    <w:rPr>
                      <w:spacing w:val="2"/>
                    </w:rPr>
                    <w:t> </w:t>
                  </w:r>
                  <w:r>
                    <w:rPr/>
                    <w:t>sídlem:</w:t>
                    <w:tab/>
                  </w:r>
                  <w:r>
                    <w:rPr>
                      <w:position w:val="1"/>
                    </w:rPr>
                    <w:t>Dolní Albeřice 36, 542 26 Horní</w:t>
                  </w:r>
                  <w:r>
                    <w:rPr>
                      <w:spacing w:val="-12"/>
                      <w:position w:val="1"/>
                    </w:rPr>
                    <w:t> </w:t>
                  </w:r>
                  <w:r>
                    <w:rPr>
                      <w:position w:val="1"/>
                    </w:rPr>
                    <w:t>Maršov</w:t>
                  </w:r>
                </w:p>
                <w:p>
                  <w:pPr>
                    <w:pStyle w:val="BodyText"/>
                    <w:tabs>
                      <w:tab w:pos="4607" w:val="left" w:leader="none"/>
                    </w:tabs>
                    <w:spacing w:before="108"/>
                    <w:ind w:left="1901"/>
                    <w:jc w:val="both"/>
                  </w:pPr>
                  <w:r>
                    <w:rPr/>
                    <w:t>IČO:</w:t>
                    <w:tab/>
                  </w:r>
                  <w:r>
                    <w:rPr>
                      <w:position w:val="1"/>
                    </w:rPr>
                    <w:t>74001876</w:t>
                  </w:r>
                </w:p>
                <w:p>
                  <w:pPr>
                    <w:pStyle w:val="BodyText"/>
                    <w:tabs>
                      <w:tab w:pos="4600" w:val="left" w:leader="none"/>
                    </w:tabs>
                    <w:spacing w:before="101"/>
                    <w:ind w:left="1908"/>
                    <w:jc w:val="both"/>
                  </w:pPr>
                  <w:r>
                    <w:rPr/>
                    <w:t>DIČ:</w:t>
                    <w:tab/>
                  </w:r>
                  <w:r>
                    <w:rPr>
                      <w:position w:val="1"/>
                    </w:rPr>
                    <w:t>není plátcem</w:t>
                  </w:r>
                  <w:r>
                    <w:rPr>
                      <w:spacing w:val="-12"/>
                      <w:position w:val="1"/>
                    </w:rPr>
                    <w:t> </w:t>
                  </w:r>
                  <w:r>
                    <w:rPr>
                      <w:position w:val="1"/>
                    </w:rPr>
                    <w:t>DPH</w:t>
                  </w:r>
                </w:p>
                <w:p>
                  <w:pPr>
                    <w:pStyle w:val="BodyText"/>
                    <w:spacing w:before="112"/>
                    <w:ind w:left="1901"/>
                    <w:jc w:val="both"/>
                  </w:pPr>
                  <w:r>
                    <w:rPr/>
                    <w:t>bankovní spojení:</w:t>
                  </w:r>
                </w:p>
                <w:p>
                  <w:pPr>
                    <w:pStyle w:val="BodyText"/>
                    <w:rPr>
                      <w:rFonts w:ascii="Times New Roman"/>
                      <w:sz w:val="20"/>
                    </w:rPr>
                  </w:pPr>
                </w:p>
                <w:p>
                  <w:pPr>
                    <w:pStyle w:val="BodyText"/>
                    <w:spacing w:before="2"/>
                    <w:rPr>
                      <w:rFonts w:ascii="Times New Roman"/>
                    </w:rPr>
                  </w:pPr>
                </w:p>
                <w:p>
                  <w:pPr>
                    <w:spacing w:before="0"/>
                    <w:ind w:left="1951" w:right="0" w:firstLine="0"/>
                    <w:jc w:val="both"/>
                    <w:rPr>
                      <w:b/>
                      <w:sz w:val="19"/>
                    </w:rPr>
                  </w:pPr>
                  <w:r>
                    <w:rPr>
                      <w:w w:val="95"/>
                      <w:sz w:val="19"/>
                    </w:rPr>
                    <w:t>(dále jen </w:t>
                  </w:r>
                  <w:r>
                    <w:rPr>
                      <w:b/>
                      <w:w w:val="95"/>
                      <w:sz w:val="19"/>
                    </w:rPr>
                    <w:t>„zhotovitel")</w:t>
                  </w:r>
                </w:p>
                <w:p>
                  <w:pPr>
                    <w:pStyle w:val="BodyText"/>
                    <w:spacing w:before="1"/>
                    <w:rPr>
                      <w:rFonts w:ascii="Times New Roman"/>
                    </w:rPr>
                  </w:pPr>
                </w:p>
                <w:p>
                  <w:pPr>
                    <w:spacing w:before="0"/>
                    <w:ind w:left="1901" w:right="0" w:firstLine="0"/>
                    <w:jc w:val="both"/>
                    <w:rPr>
                      <w:b/>
                      <w:sz w:val="19"/>
                    </w:rPr>
                  </w:pPr>
                  <w:r>
                    <w:rPr>
                      <w:sz w:val="19"/>
                    </w:rPr>
                    <w:t>(Objednatel a Zhotovitel společné dále jen </w:t>
                  </w:r>
                  <w:r>
                    <w:rPr>
                      <w:b/>
                      <w:sz w:val="19"/>
                    </w:rPr>
                    <w:t>„smluvní strany")</w:t>
                  </w:r>
                </w:p>
                <w:p>
                  <w:pPr>
                    <w:pStyle w:val="BodyText"/>
                    <w:rPr>
                      <w:rFonts w:ascii="Times New Roman"/>
                      <w:sz w:val="20"/>
                    </w:rPr>
                  </w:pPr>
                </w:p>
                <w:p>
                  <w:pPr>
                    <w:pStyle w:val="BodyText"/>
                    <w:spacing w:line="252" w:lineRule="auto" w:before="119"/>
                    <w:ind w:left="1894" w:right="1623" w:firstLine="7"/>
                    <w:jc w:val="both"/>
                  </w:pPr>
                  <w:r>
                    <w:rPr/>
                    <w:t>uzavírají níže uvedeného dne,  měsíce a roku v souladu  s ustanovením § </w:t>
                  </w:r>
                  <w:r>
                    <w:rPr>
                      <w:b/>
                    </w:rPr>
                    <w:t>2586 </w:t>
                  </w:r>
                  <w:r>
                    <w:rPr/>
                    <w:t>a násl.  zákona     č. </w:t>
                  </w:r>
                  <w:r>
                    <w:rPr>
                      <w:b/>
                    </w:rPr>
                    <w:t>89/2012 </w:t>
                  </w:r>
                  <w:r>
                    <w:rPr/>
                    <w:t>Sb., občanský zákoník, ve zněni pozdějších předpisů (dále jen </w:t>
                  </w:r>
                  <w:r>
                    <w:rPr>
                      <w:b/>
                    </w:rPr>
                    <w:t>„občanský zákoník"), </w:t>
                  </w:r>
                  <w:r>
                    <w:rPr/>
                    <w:t>tuto</w:t>
                  </w:r>
                </w:p>
                <w:p>
                  <w:pPr>
                    <w:pStyle w:val="BodyText"/>
                    <w:spacing w:before="7"/>
                    <w:rPr>
                      <w:rFonts w:ascii="Times New Roman"/>
                      <w:sz w:val="18"/>
                    </w:rPr>
                  </w:pPr>
                </w:p>
                <w:p>
                  <w:pPr>
                    <w:spacing w:before="0"/>
                    <w:ind w:left="88" w:right="0" w:firstLine="0"/>
                    <w:jc w:val="center"/>
                    <w:rPr>
                      <w:sz w:val="20"/>
                    </w:rPr>
                  </w:pPr>
                  <w:r>
                    <w:rPr>
                      <w:w w:val="150"/>
                      <w:sz w:val="20"/>
                    </w:rPr>
                    <w:t>smlouvu   </w:t>
                  </w:r>
                  <w:r>
                    <w:rPr>
                      <w:w w:val="140"/>
                      <w:sz w:val="20"/>
                    </w:rPr>
                    <w:t>o  </w:t>
                  </w:r>
                  <w:r>
                    <w:rPr>
                      <w:w w:val="150"/>
                      <w:sz w:val="20"/>
                    </w:rPr>
                    <w:t>dílo</w:t>
                  </w:r>
                </w:p>
                <w:p>
                  <w:pPr>
                    <w:spacing w:before="116"/>
                    <w:ind w:left="85" w:right="0" w:firstLine="0"/>
                    <w:jc w:val="center"/>
                    <w:rPr>
                      <w:b/>
                      <w:sz w:val="19"/>
                    </w:rPr>
                  </w:pPr>
                  <w:r>
                    <w:rPr>
                      <w:sz w:val="19"/>
                    </w:rPr>
                    <w:t>(dále jen </w:t>
                  </w:r>
                  <w:r>
                    <w:rPr>
                      <w:b/>
                      <w:sz w:val="19"/>
                    </w:rPr>
                    <w:t>„smlouva")</w:t>
                  </w:r>
                </w:p>
              </w:txbxContent>
            </v:textbox>
            <w10:wrap type="none"/>
          </v:shape>
        </w:pict>
      </w:r>
      <w:r>
        <w:rPr/>
        <w:pict>
          <v:group style="position:absolute;margin-left:0pt;margin-top:0pt;width:595.1pt;height:841.7pt;mso-position-horizontal-relative:page;mso-position-vertical-relative:page;z-index:-7312" coordorigin="0,0" coordsize="11902,16834">
            <v:shape style="position:absolute;left:0;top:0;width:11902;height:16834" type="#_x0000_t75" stroked="false">
              <v:imagedata r:id="rId5" o:title=""/>
            </v:shape>
            <v:shape style="position:absolute;left:4410;top:6445;width:6112;height:4434" coordorigin="4410,6445" coordsize="6112,4434" path="m6662,6445l4581,6445,4581,6705,6662,6705,6662,6445m10087,10073l4435,10073,4435,10879,10087,10879,10087,10073m10521,7109l4410,7109,4410,7864,10521,7864,10521,7109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288" type="#_x0000_t202" filled="false" stroked="false">
            <v:textbox inset="0,0,0,0">
              <w:txbxContent>
                <w:p>
                  <w:pPr>
                    <w:pStyle w:val="BodyText"/>
                    <w:rPr>
                      <w:rFonts w:ascii="Times New Roman"/>
                      <w:sz w:val="34"/>
                    </w:rPr>
                  </w:pPr>
                </w:p>
                <w:p>
                  <w:pPr>
                    <w:pStyle w:val="BodyText"/>
                    <w:spacing w:before="10"/>
                    <w:rPr>
                      <w:rFonts w:ascii="Times New Roman"/>
                      <w:sz w:val="42"/>
                    </w:rPr>
                  </w:pPr>
                </w:p>
                <w:p>
                  <w:pPr>
                    <w:tabs>
                      <w:tab w:pos="3527" w:val="left" w:leader="none"/>
                    </w:tabs>
                    <w:spacing w:before="0"/>
                    <w:ind w:left="2419" w:right="0" w:firstLine="0"/>
                    <w:jc w:val="left"/>
                    <w:rPr>
                      <w:b/>
                      <w:sz w:val="30"/>
                    </w:rPr>
                  </w:pPr>
                  <w:r>
                    <w:rPr>
                      <w:b/>
                      <w:w w:val="90"/>
                      <w:sz w:val="30"/>
                    </w:rPr>
                    <w:t>*</w:t>
                  </w:r>
                  <w:r>
                    <w:rPr>
                      <w:b/>
                      <w:spacing w:val="-15"/>
                      <w:w w:val="90"/>
                      <w:sz w:val="30"/>
                    </w:rPr>
                    <w:t> </w:t>
                  </w:r>
                  <w:r>
                    <w:rPr>
                      <w:b/>
                      <w:w w:val="90"/>
                      <w:sz w:val="30"/>
                    </w:rPr>
                    <w:t>*</w:t>
                  </w:r>
                  <w:r>
                    <w:rPr>
                      <w:b/>
                      <w:spacing w:val="-16"/>
                      <w:w w:val="90"/>
                      <w:sz w:val="30"/>
                    </w:rPr>
                    <w:t> </w:t>
                  </w:r>
                  <w:r>
                    <w:rPr>
                      <w:b/>
                      <w:w w:val="90"/>
                      <w:sz w:val="30"/>
                    </w:rPr>
                    <w:t>*</w:t>
                    <w:tab/>
                    <w:t>Financováno</w:t>
                  </w:r>
                </w:p>
                <w:p>
                  <w:pPr>
                    <w:tabs>
                      <w:tab w:pos="804" w:val="left" w:leader="none"/>
                      <w:tab w:pos="1481" w:val="left" w:leader="none"/>
                      <w:tab w:pos="5333" w:val="left" w:leader="none"/>
                    </w:tabs>
                    <w:spacing w:line="428" w:lineRule="exact" w:before="5"/>
                    <w:ind w:left="228" w:right="0" w:firstLine="0"/>
                    <w:jc w:val="center"/>
                    <w:rPr>
                      <w:b/>
                      <w:sz w:val="22"/>
                    </w:rPr>
                  </w:pPr>
                  <w:r>
                    <w:rPr>
                      <w:b/>
                      <w:position w:val="11"/>
                      <w:sz w:val="30"/>
                    </w:rPr>
                    <w:t>{</w:t>
                    <w:tab/>
                    <w:t>;</w:t>
                    <w:tab/>
                    <w:t>Evropskou</w:t>
                  </w:r>
                  <w:r>
                    <w:rPr>
                      <w:b/>
                      <w:spacing w:val="27"/>
                      <w:position w:val="11"/>
                      <w:sz w:val="30"/>
                    </w:rPr>
                    <w:t> </w:t>
                  </w:r>
                  <w:r>
                    <w:rPr>
                      <w:b/>
                      <w:position w:val="11"/>
                      <w:sz w:val="30"/>
                    </w:rPr>
                    <w:t>unií</w:t>
                    <w:tab/>
                  </w:r>
                  <w:r>
                    <w:rPr>
                      <w:b/>
                      <w:w w:val="75"/>
                      <w:sz w:val="22"/>
                    </w:rPr>
                    <w:t>Ministerstvo životního</w:t>
                  </w:r>
                  <w:r>
                    <w:rPr>
                      <w:b/>
                      <w:spacing w:val="-2"/>
                      <w:w w:val="75"/>
                      <w:sz w:val="22"/>
                    </w:rPr>
                    <w:t> </w:t>
                  </w:r>
                  <w:r>
                    <w:rPr>
                      <w:b/>
                      <w:w w:val="75"/>
                      <w:sz w:val="22"/>
                    </w:rPr>
                    <w:t>prostředí</w:t>
                  </w:r>
                </w:p>
                <w:p>
                  <w:pPr>
                    <w:spacing w:line="289" w:lineRule="exact" w:before="0"/>
                    <w:ind w:left="2376" w:right="0" w:firstLine="0"/>
                    <w:jc w:val="left"/>
                    <w:rPr>
                      <w:sz w:val="26"/>
                    </w:rPr>
                  </w:pPr>
                  <w:r>
                    <w:rPr>
                      <w:w w:val="165"/>
                      <w:sz w:val="26"/>
                    </w:rPr>
                    <w:t>ll_J</w:t>
                  </w:r>
                  <w:r>
                    <w:rPr>
                      <w:spacing w:val="-64"/>
                      <w:w w:val="165"/>
                      <w:sz w:val="26"/>
                    </w:rPr>
                    <w:t> </w:t>
                  </w:r>
                  <w:r>
                    <w:rPr>
                      <w:w w:val="120"/>
                      <w:sz w:val="26"/>
                    </w:rPr>
                    <w:t>NextGenerationEU</w:t>
                  </w:r>
                </w:p>
                <w:p>
                  <w:pPr>
                    <w:pStyle w:val="BodyText"/>
                    <w:rPr>
                      <w:rFonts w:ascii="Times New Roman"/>
                      <w:sz w:val="28"/>
                    </w:rPr>
                  </w:pPr>
                </w:p>
                <w:p>
                  <w:pPr>
                    <w:spacing w:line="216" w:lineRule="exact" w:before="165"/>
                    <w:ind w:left="5026" w:right="4726" w:firstLine="596"/>
                    <w:jc w:val="left"/>
                    <w:rPr>
                      <w:b/>
                      <w:sz w:val="19"/>
                    </w:rPr>
                  </w:pPr>
                  <w:r>
                    <w:rPr>
                      <w:b/>
                      <w:sz w:val="19"/>
                    </w:rPr>
                    <w:t>Článek II. ÚVODNÍ USTANOVENÍ</w:t>
                  </w:r>
                </w:p>
                <w:p>
                  <w:pPr>
                    <w:pStyle w:val="BodyText"/>
                    <w:spacing w:line="244" w:lineRule="auto" w:before="117"/>
                    <w:ind w:left="2088" w:right="1590" w:hanging="396"/>
                    <w:jc w:val="both"/>
                  </w:pPr>
                  <w:r>
                    <w:rPr/>
                    <w:t>1. Statutární orgány (přip další osoby oprávněné k podpisu smlouvy) uvedené v záhlaví smlouvy prohlašují, že jsou oprávněny v souladu s obecně závaznými právními předpisy a vnitřními předpisy příslušné smluvní strany podepsat bez dalšího tuto smlouvu.</w:t>
                  </w:r>
                </w:p>
                <w:p>
                  <w:pPr>
                    <w:pStyle w:val="BodyText"/>
                    <w:spacing w:line="244" w:lineRule="auto" w:before="116"/>
                    <w:ind w:left="2081" w:right="1596" w:hanging="403"/>
                    <w:jc w:val="both"/>
                  </w:pPr>
                  <w:r>
                    <w:rPr/>
                    <w:t>2. Zhotovitel tímto výslovně prohlašuje, že disponuje příslušným podnikatelským oprávněním  ve vztahu k předmětu této smlouvy a toto bude mít k dispozici po celou dobu trvání této smlouvy.</w:t>
                  </w:r>
                </w:p>
                <w:p>
                  <w:pPr>
                    <w:pStyle w:val="BodyText"/>
                    <w:spacing w:line="242" w:lineRule="auto" w:before="108"/>
                    <w:ind w:left="2081" w:right="1601" w:hanging="396"/>
                    <w:jc w:val="both"/>
                  </w:pPr>
                  <w:r>
                    <w:rPr/>
                    <w:t>3. Zhotovitel prohlašuje, že je způsobilý k řádnému a včasnému provedení předmětu smlouvy, že disponuje takovými kapacitami a odbornými znalostmi, které jsou třeba k řádnému zhotovení díla dle této smlouvy. Pokud některé práce na díle zajistí prostřednictvím třetích osob, odpovídá za kvalitu prací a dodávky, jako by dílo prováděl sám.</w:t>
                  </w:r>
                </w:p>
                <w:p>
                  <w:pPr>
                    <w:pStyle w:val="BodyText"/>
                    <w:spacing w:before="117"/>
                    <w:ind w:left="2088" w:right="1594" w:hanging="410"/>
                    <w:jc w:val="both"/>
                  </w:pPr>
                  <w:r>
                    <w:rPr/>
                    <w:t>4. Současné zhotovitel prohlašuje, že mu nejsou známy žádné skutečnosti, které by mu bránily řádnému provedeni díla dle této smlouvy, a pokud tyto nastanou, oznámí je bez zbytečného </w:t>
                  </w:r>
                  <w:r>
                    <w:rPr>
                      <w:w w:val="95"/>
                    </w:rPr>
                    <w:t>odkladu  objednateli.</w:t>
                  </w:r>
                </w:p>
                <w:p>
                  <w:pPr>
                    <w:pStyle w:val="BodyText"/>
                    <w:spacing w:before="120"/>
                    <w:ind w:left="2087" w:right="1598" w:hanging="403"/>
                    <w:jc w:val="both"/>
                  </w:pPr>
                  <w:r>
                    <w:rPr/>
                    <w:t>5.</w:t>
                  </w:r>
                  <w:r>
                    <w:rPr>
                      <w:spacing w:val="26"/>
                    </w:rPr>
                    <w:t> </w:t>
                  </w:r>
                  <w:r>
                    <w:rPr/>
                    <w:t>Zhotovitel</w:t>
                  </w:r>
                  <w:r>
                    <w:rPr>
                      <w:spacing w:val="-10"/>
                    </w:rPr>
                    <w:t> </w:t>
                  </w:r>
                  <w:r>
                    <w:rPr/>
                    <w:t>dále</w:t>
                  </w:r>
                  <w:r>
                    <w:rPr>
                      <w:spacing w:val="-9"/>
                    </w:rPr>
                    <w:t> </w:t>
                  </w:r>
                  <w:r>
                    <w:rPr/>
                    <w:t>výslovné</w:t>
                  </w:r>
                  <w:r>
                    <w:rPr>
                      <w:spacing w:val="-8"/>
                    </w:rPr>
                    <w:t> </w:t>
                  </w:r>
                  <w:r>
                    <w:rPr/>
                    <w:t>prohlašuje,</w:t>
                  </w:r>
                  <w:r>
                    <w:rPr>
                      <w:spacing w:val="-7"/>
                    </w:rPr>
                    <w:t> </w:t>
                  </w:r>
                  <w:r>
                    <w:rPr/>
                    <w:t>že</w:t>
                  </w:r>
                  <w:r>
                    <w:rPr>
                      <w:spacing w:val="-14"/>
                    </w:rPr>
                    <w:t> </w:t>
                  </w:r>
                  <w:r>
                    <w:rPr/>
                    <w:t>v</w:t>
                  </w:r>
                  <w:r>
                    <w:rPr>
                      <w:spacing w:val="-11"/>
                    </w:rPr>
                    <w:t> </w:t>
                  </w:r>
                  <w:r>
                    <w:rPr/>
                    <w:t>okamžiku</w:t>
                  </w:r>
                  <w:r>
                    <w:rPr>
                      <w:spacing w:val="-10"/>
                    </w:rPr>
                    <w:t> </w:t>
                  </w:r>
                  <w:r>
                    <w:rPr/>
                    <w:t>uzavření</w:t>
                  </w:r>
                  <w:r>
                    <w:rPr>
                      <w:spacing w:val="-12"/>
                    </w:rPr>
                    <w:t> </w:t>
                  </w:r>
                  <w:r>
                    <w:rPr/>
                    <w:t>této</w:t>
                  </w:r>
                  <w:r>
                    <w:rPr>
                      <w:spacing w:val="-14"/>
                    </w:rPr>
                    <w:t> </w:t>
                  </w:r>
                  <w:r>
                    <w:rPr/>
                    <w:t>smlouvy</w:t>
                  </w:r>
                  <w:r>
                    <w:rPr>
                      <w:spacing w:val="-9"/>
                    </w:rPr>
                    <w:t> </w:t>
                  </w:r>
                  <w:r>
                    <w:rPr/>
                    <w:t>proti</w:t>
                  </w:r>
                  <w:r>
                    <w:rPr>
                      <w:spacing w:val="-8"/>
                    </w:rPr>
                    <w:t> </w:t>
                  </w:r>
                  <w:r>
                    <w:rPr/>
                    <w:t>němu</w:t>
                  </w:r>
                  <w:r>
                    <w:rPr>
                      <w:spacing w:val="-8"/>
                    </w:rPr>
                    <w:t> </w:t>
                  </w:r>
                  <w:r>
                    <w:rPr/>
                    <w:t>není</w:t>
                  </w:r>
                  <w:r>
                    <w:rPr>
                      <w:spacing w:val="-16"/>
                    </w:rPr>
                    <w:t> </w:t>
                  </w:r>
                  <w:r>
                    <w:rPr/>
                    <w:t>zahájeno ani</w:t>
                  </w:r>
                  <w:r>
                    <w:rPr>
                      <w:spacing w:val="-9"/>
                    </w:rPr>
                    <w:t> </w:t>
                  </w:r>
                  <w:r>
                    <w:rPr/>
                    <w:t>vedeno</w:t>
                  </w:r>
                  <w:r>
                    <w:rPr>
                      <w:spacing w:val="-1"/>
                    </w:rPr>
                    <w:t> </w:t>
                  </w:r>
                  <w:r>
                    <w:rPr/>
                    <w:t>správní</w:t>
                  </w:r>
                  <w:r>
                    <w:rPr>
                      <w:spacing w:val="-7"/>
                    </w:rPr>
                    <w:t> </w:t>
                  </w:r>
                  <w:r>
                    <w:rPr/>
                    <w:t>či</w:t>
                  </w:r>
                  <w:r>
                    <w:rPr>
                      <w:spacing w:val="-14"/>
                    </w:rPr>
                    <w:t> </w:t>
                  </w:r>
                  <w:r>
                    <w:rPr/>
                    <w:t>jiné řízení,</w:t>
                  </w:r>
                  <w:r>
                    <w:rPr>
                      <w:spacing w:val="-15"/>
                    </w:rPr>
                    <w:t> </w:t>
                  </w:r>
                  <w:r>
                    <w:rPr/>
                    <w:t>jehož</w:t>
                  </w:r>
                  <w:r>
                    <w:rPr>
                      <w:spacing w:val="2"/>
                    </w:rPr>
                    <w:t> </w:t>
                  </w:r>
                  <w:r>
                    <w:rPr/>
                    <w:t>předmětem</w:t>
                  </w:r>
                  <w:r>
                    <w:rPr>
                      <w:spacing w:val="2"/>
                    </w:rPr>
                    <w:t> </w:t>
                  </w:r>
                  <w:r>
                    <w:rPr/>
                    <w:t>by bylo</w:t>
                  </w:r>
                  <w:r>
                    <w:rPr>
                      <w:spacing w:val="-8"/>
                    </w:rPr>
                    <w:t> </w:t>
                  </w:r>
                  <w:r>
                    <w:rPr/>
                    <w:t>omezení</w:t>
                  </w:r>
                  <w:r>
                    <w:rPr>
                      <w:spacing w:val="-3"/>
                    </w:rPr>
                    <w:t> </w:t>
                  </w:r>
                  <w:r>
                    <w:rPr/>
                    <w:t>či</w:t>
                  </w:r>
                  <w:r>
                    <w:rPr>
                      <w:spacing w:val="-7"/>
                    </w:rPr>
                    <w:t> </w:t>
                  </w:r>
                  <w:r>
                    <w:rPr/>
                    <w:t>zrušení</w:t>
                  </w:r>
                  <w:r>
                    <w:rPr>
                      <w:spacing w:val="-1"/>
                    </w:rPr>
                    <w:t> </w:t>
                  </w:r>
                  <w:r>
                    <w:rPr/>
                    <w:t>oprávnění</w:t>
                  </w:r>
                  <w:r>
                    <w:rPr>
                      <w:spacing w:val="-3"/>
                    </w:rPr>
                    <w:t> </w:t>
                  </w:r>
                  <w:r>
                    <w:rPr/>
                    <w:t>k</w:t>
                  </w:r>
                  <w:r>
                    <w:rPr>
                      <w:spacing w:val="-9"/>
                    </w:rPr>
                    <w:t> </w:t>
                  </w:r>
                  <w:r>
                    <w:rPr/>
                    <w:t>výkonu podnikatelské činnosti nezbytné k realizaci předmětu této</w:t>
                  </w:r>
                  <w:r>
                    <w:rPr>
                      <w:spacing w:val="-31"/>
                    </w:rPr>
                    <w:t> </w:t>
                  </w:r>
                  <w:r>
                    <w:rPr/>
                    <w:t>smlouvy.</w:t>
                  </w:r>
                </w:p>
                <w:p>
                  <w:pPr>
                    <w:pStyle w:val="BodyText"/>
                    <w:rPr>
                      <w:rFonts w:ascii="Times New Roman"/>
                      <w:sz w:val="20"/>
                    </w:rPr>
                  </w:pPr>
                </w:p>
                <w:p>
                  <w:pPr>
                    <w:spacing w:line="216" w:lineRule="exact" w:before="117"/>
                    <w:ind w:left="5076" w:right="4726" w:firstLine="518"/>
                    <w:jc w:val="left"/>
                    <w:rPr>
                      <w:b/>
                      <w:sz w:val="19"/>
                    </w:rPr>
                  </w:pPr>
                  <w:r>
                    <w:rPr>
                      <w:b/>
                      <w:sz w:val="19"/>
                    </w:rPr>
                    <w:t>Článek III. PŘEDMĚT SMLOUVY</w:t>
                  </w:r>
                </w:p>
                <w:p>
                  <w:pPr>
                    <w:pStyle w:val="BodyText"/>
                    <w:spacing w:line="242" w:lineRule="auto" w:before="117"/>
                    <w:ind w:left="2016" w:right="1601" w:hanging="324"/>
                    <w:jc w:val="both"/>
                  </w:pPr>
                  <w:r>
                    <w:rPr/>
                    <w:t>1. Předmětem této smlouvy je závazek zhotovitele provést pro objednatele, za podmínek stanovených touto smlouvou, na svůj náklad, nebezpečí a odpovědnost dílo </w:t>
                  </w:r>
                  <w:r>
                    <w:rPr>
                      <w:w w:val="155"/>
                    </w:rPr>
                    <w:t>- </w:t>
                  </w:r>
                  <w:r>
                    <w:rPr/>
                    <w:t>Zmapování rozšíření prhy arniky v oblasti Albeřice </w:t>
                  </w:r>
                  <w:r>
                    <w:rPr>
                      <w:w w:val="155"/>
                    </w:rPr>
                    <w:t>- </w:t>
                  </w:r>
                  <w:r>
                    <w:rPr/>
                    <w:t>Lysečiny, Modrý Důl </w:t>
                  </w:r>
                  <w:r>
                    <w:rPr>
                      <w:w w:val="155"/>
                    </w:rPr>
                    <w:t>- </w:t>
                  </w:r>
                  <w:r>
                    <w:rPr/>
                    <w:t>Růžohorky na lokalitách nacházejících se na území Krkonošského národního parku a jeho ochranného pásma, blíže specifikovaných v čl. IV odst. 5 této smlouvy (dále jen „dílo").</w:t>
                  </w:r>
                </w:p>
                <w:p>
                  <w:pPr>
                    <w:pStyle w:val="BodyText"/>
                    <w:spacing w:before="111"/>
                    <w:ind w:left="2016" w:right="1603" w:hanging="338"/>
                    <w:jc w:val="both"/>
                  </w:pPr>
                  <w:r>
                    <w:rPr/>
                    <w:t>2. Výstupem této smlouvy (díla) bude zákres výskytu daného druhu do ortofoto mapy v aplikaci Collector for ArcGIS, včetně doplnění předepsaných atributů ke každému zakreslenému polygonu dle přednastavení. Výstupy této smlouvy tak budou předány v digitální podobě.</w:t>
                  </w:r>
                </w:p>
                <w:p>
                  <w:pPr>
                    <w:pStyle w:val="BodyText"/>
                    <w:spacing w:before="119"/>
                    <w:ind w:left="1678"/>
                  </w:pPr>
                  <w:r>
                    <w:rPr/>
                    <w:t>3.   Při provádění díla je zhotovitel vázán pokyny objednatele</w:t>
                  </w:r>
                </w:p>
                <w:p>
                  <w:pPr>
                    <w:pStyle w:val="BodyText"/>
                    <w:spacing w:line="216" w:lineRule="exact" w:before="118"/>
                    <w:ind w:left="2016" w:right="1609" w:hanging="346"/>
                    <w:jc w:val="both"/>
                  </w:pPr>
                  <w:r>
                    <w:rPr/>
                    <w:t>4. Dílo bude financováno Evropskou unií NextGenerationEU z Národního plánu obnov - Podpora obnovy přirozených funkci krajiny.</w:t>
                  </w:r>
                </w:p>
                <w:p>
                  <w:pPr>
                    <w:pStyle w:val="BodyText"/>
                    <w:spacing w:before="6"/>
                    <w:rPr>
                      <w:rFonts w:ascii="Times New Roman"/>
                      <w:sz w:val="29"/>
                    </w:rPr>
                  </w:pPr>
                </w:p>
                <w:p>
                  <w:pPr>
                    <w:spacing w:before="0"/>
                    <w:ind w:left="144" w:right="0" w:firstLine="0"/>
                    <w:jc w:val="center"/>
                    <w:rPr>
                      <w:b/>
                      <w:sz w:val="19"/>
                    </w:rPr>
                  </w:pPr>
                  <w:r>
                    <w:rPr>
                      <w:b/>
                      <w:sz w:val="19"/>
                    </w:rPr>
                    <w:t>Článek IV.</w:t>
                  </w:r>
                </w:p>
                <w:p>
                  <w:pPr>
                    <w:spacing w:before="4"/>
                    <w:ind w:left="146" w:right="0" w:firstLine="0"/>
                    <w:jc w:val="center"/>
                    <w:rPr>
                      <w:b/>
                      <w:sz w:val="19"/>
                    </w:rPr>
                  </w:pPr>
                  <w:r>
                    <w:rPr>
                      <w:b/>
                      <w:sz w:val="19"/>
                    </w:rPr>
                    <w:t>DOBA A MÍSTO PLNĚNÍ</w:t>
                  </w:r>
                </w:p>
                <w:p>
                  <w:pPr>
                    <w:tabs>
                      <w:tab w:pos="2073" w:val="left" w:leader="none"/>
                    </w:tabs>
                    <w:spacing w:before="121"/>
                    <w:ind w:left="1685" w:right="0" w:firstLine="0"/>
                    <w:jc w:val="left"/>
                    <w:rPr>
                      <w:b/>
                      <w:sz w:val="19"/>
                    </w:rPr>
                  </w:pPr>
                  <w:r>
                    <w:rPr>
                      <w:sz w:val="19"/>
                    </w:rPr>
                    <w:t>1.</w:t>
                    <w:tab/>
                    <w:t>Termín zahájení provádění díla: </w:t>
                  </w:r>
                  <w:r>
                    <w:rPr>
                      <w:b/>
                      <w:sz w:val="19"/>
                    </w:rPr>
                    <w:t>dnem účinnosti této</w:t>
                  </w:r>
                  <w:r>
                    <w:rPr>
                      <w:b/>
                      <w:spacing w:val="-20"/>
                      <w:sz w:val="19"/>
                    </w:rPr>
                    <w:t> </w:t>
                  </w:r>
                  <w:r>
                    <w:rPr>
                      <w:b/>
                      <w:sz w:val="19"/>
                    </w:rPr>
                    <w:t>smlouvy</w:t>
                  </w:r>
                </w:p>
                <w:p>
                  <w:pPr>
                    <w:pStyle w:val="BodyText"/>
                    <w:tabs>
                      <w:tab w:pos="2073" w:val="left" w:leader="none"/>
                    </w:tabs>
                    <w:spacing w:before="119"/>
                    <w:ind w:left="1678"/>
                  </w:pPr>
                  <w:r>
                    <w:rPr/>
                    <w:t>2.</w:t>
                    <w:tab/>
                    <w:t>Zhotovitel provede a předá dílo nejpozdéji do: 30. 9.</w:t>
                  </w:r>
                  <w:r>
                    <w:rPr>
                      <w:spacing w:val="-26"/>
                    </w:rPr>
                    <w:t> </w:t>
                  </w:r>
                  <w:r>
                    <w:rPr/>
                    <w:t>2023.</w:t>
                  </w:r>
                </w:p>
                <w:p>
                  <w:pPr>
                    <w:pStyle w:val="BodyText"/>
                    <w:spacing w:line="216" w:lineRule="exact" w:before="117"/>
                    <w:ind w:left="2081" w:right="1618" w:hanging="403"/>
                    <w:jc w:val="both"/>
                  </w:pPr>
                  <w:r>
                    <w:rPr/>
                    <w:t>3. Zhotovitel není v prodlení s plněním této smlouvy a neodpovídá za škody tímto způsobené, pokud neplnění smluvních povinností je způsobeno vyšší mocí ve smyslu čl. Vlil. této smlouvy.</w:t>
                  </w:r>
                </w:p>
                <w:p>
                  <w:pPr>
                    <w:pStyle w:val="BodyText"/>
                    <w:spacing w:before="117"/>
                    <w:ind w:left="2074" w:right="1608" w:hanging="404"/>
                    <w:jc w:val="both"/>
                  </w:pPr>
                  <w:r>
                    <w:rPr/>
                    <w:t>4. Pokud zhotovitel během plnění zjistí okolnosti, které bráni včasnému předání díla, musí bez zbytečného odkladu písemné uvědomit objednatele o předpokládaném zpoždění, jeho pravděpodobném trvání a příčině.</w:t>
                  </w:r>
                </w:p>
                <w:p>
                  <w:pPr>
                    <w:pStyle w:val="BodyText"/>
                    <w:tabs>
                      <w:tab w:pos="2087" w:val="left" w:leader="none"/>
                    </w:tabs>
                    <w:spacing w:before="119"/>
                    <w:ind w:left="1678"/>
                  </w:pPr>
                  <w:r>
                    <w:rPr/>
                    <w:t>5.</w:t>
                    <w:tab/>
                    <w:t>Lokality</w:t>
                  </w:r>
                  <w:r>
                    <w:rPr>
                      <w:spacing w:val="-5"/>
                    </w:rPr>
                    <w:t> </w:t>
                  </w:r>
                  <w:r>
                    <w:rPr/>
                    <w:t>určené</w:t>
                  </w:r>
                  <w:r>
                    <w:rPr>
                      <w:spacing w:val="-8"/>
                    </w:rPr>
                    <w:t> </w:t>
                  </w:r>
                  <w:r>
                    <w:rPr/>
                    <w:t>k</w:t>
                  </w:r>
                  <w:r>
                    <w:rPr>
                      <w:spacing w:val="-17"/>
                    </w:rPr>
                    <w:t> </w:t>
                  </w:r>
                  <w:r>
                    <w:rPr/>
                    <w:t>zmapování</w:t>
                  </w:r>
                  <w:r>
                    <w:rPr>
                      <w:spacing w:val="-7"/>
                    </w:rPr>
                    <w:t> </w:t>
                  </w:r>
                  <w:r>
                    <w:rPr/>
                    <w:t>rozšíření</w:t>
                  </w:r>
                  <w:r>
                    <w:rPr>
                      <w:spacing w:val="-5"/>
                    </w:rPr>
                    <w:t> </w:t>
                  </w:r>
                  <w:r>
                    <w:rPr/>
                    <w:t>prhy</w:t>
                  </w:r>
                  <w:r>
                    <w:rPr>
                      <w:spacing w:val="-10"/>
                    </w:rPr>
                    <w:t> </w:t>
                  </w:r>
                  <w:r>
                    <w:rPr/>
                    <w:t>arniky:</w:t>
                  </w:r>
                </w:p>
                <w:p>
                  <w:pPr>
                    <w:pStyle w:val="BodyText"/>
                    <w:spacing w:before="112"/>
                    <w:ind w:left="2340"/>
                  </w:pPr>
                  <w:r>
                    <w:rPr>
                      <w:w w:val="105"/>
                    </w:rPr>
                    <w:t>a) Albeřice - Lysečiny</w:t>
                  </w:r>
                </w:p>
                <w:p>
                  <w:pPr>
                    <w:pStyle w:val="BodyText"/>
                    <w:spacing w:before="120"/>
                    <w:ind w:left="2346"/>
                  </w:pPr>
                  <w:r>
                    <w:rPr>
                      <w:w w:val="105"/>
                    </w:rPr>
                    <w:t>b) Modrý Důl - Růžohorky</w:t>
                  </w:r>
                </w:p>
                <w:p>
                  <w:pPr>
                    <w:pStyle w:val="BodyText"/>
                    <w:spacing w:line="244" w:lineRule="auto" w:before="105"/>
                    <w:ind w:left="2081" w:right="1613" w:hanging="411"/>
                    <w:jc w:val="both"/>
                  </w:pPr>
                  <w:r>
                    <w:rPr/>
                    <w:t>6. Písemné výstupy budou předány zhotovitelem v sídle  objednatele,  nevyplývá-li z této  smlouvy nebo nedohodnou-li se smluvní strany s ohledem na formu těchto výstupů jinak.</w:t>
                  </w:r>
                </w:p>
              </w:txbxContent>
            </v:textbox>
            <w10:wrap type="none"/>
          </v:shape>
        </w:pict>
      </w:r>
      <w:r>
        <w:rPr/>
        <w:pict>
          <v:group style="position:absolute;margin-left:0pt;margin-top:0pt;width:595.1pt;height:841.7pt;mso-position-horizontal-relative:page;mso-position-vertical-relative:page;z-index:-7264" coordorigin="0,0" coordsize="11902,16834">
            <v:shape style="position:absolute;left:0;top:0;width:11902;height:16834" type="#_x0000_t75" stroked="false">
              <v:imagedata r:id="rId6" o:title=""/>
            </v:shape>
            <v:shape style="position:absolute;left:10901;top:382;width:720;height:1310" type="#_x0000_t75" stroked="false">
              <v:imagedata r:id="rId7"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240" type="#_x0000_t202" filled="false" stroked="false">
            <v:textbox inset="0,0,0,0">
              <w:txbxContent>
                <w:p>
                  <w:pPr>
                    <w:pStyle w:val="BodyText"/>
                    <w:rPr>
                      <w:rFonts w:ascii="Times New Roman"/>
                      <w:sz w:val="34"/>
                    </w:rPr>
                  </w:pPr>
                </w:p>
                <w:p>
                  <w:pPr>
                    <w:pStyle w:val="BodyText"/>
                    <w:spacing w:before="2"/>
                    <w:rPr>
                      <w:rFonts w:ascii="Times New Roman"/>
                      <w:sz w:val="44"/>
                    </w:rPr>
                  </w:pPr>
                </w:p>
                <w:p>
                  <w:pPr>
                    <w:spacing w:before="0"/>
                    <w:ind w:left="3413" w:right="0" w:firstLine="0"/>
                    <w:jc w:val="left"/>
                    <w:rPr>
                      <w:b/>
                      <w:sz w:val="30"/>
                    </w:rPr>
                  </w:pPr>
                  <w:r>
                    <w:rPr>
                      <w:b/>
                      <w:sz w:val="30"/>
                    </w:rPr>
                    <w:t>Financováno</w:t>
                  </w:r>
                </w:p>
                <w:p>
                  <w:pPr>
                    <w:tabs>
                      <w:tab w:pos="7278" w:val="left" w:leader="none"/>
                    </w:tabs>
                    <w:spacing w:before="20"/>
                    <w:ind w:left="3406" w:right="0" w:firstLine="0"/>
                    <w:jc w:val="left"/>
                    <w:rPr>
                      <w:b/>
                      <w:sz w:val="22"/>
                    </w:rPr>
                  </w:pPr>
                  <w:r>
                    <w:rPr>
                      <w:b/>
                      <w:w w:val="95"/>
                      <w:position w:val="8"/>
                      <w:sz w:val="30"/>
                    </w:rPr>
                    <w:t>Evropskou </w:t>
                  </w:r>
                  <w:r>
                    <w:rPr>
                      <w:b/>
                      <w:spacing w:val="1"/>
                      <w:w w:val="95"/>
                      <w:position w:val="8"/>
                      <w:sz w:val="30"/>
                    </w:rPr>
                    <w:t> </w:t>
                  </w:r>
                  <w:r>
                    <w:rPr>
                      <w:b/>
                      <w:w w:val="95"/>
                      <w:position w:val="8"/>
                      <w:sz w:val="30"/>
                    </w:rPr>
                    <w:t>unií</w:t>
                    <w:tab/>
                  </w:r>
                  <w:r>
                    <w:rPr>
                      <w:b/>
                      <w:w w:val="75"/>
                      <w:sz w:val="22"/>
                    </w:rPr>
                    <w:t>Ministerstvo životního</w:t>
                  </w:r>
                  <w:r>
                    <w:rPr>
                      <w:b/>
                      <w:spacing w:val="10"/>
                      <w:w w:val="75"/>
                      <w:sz w:val="22"/>
                    </w:rPr>
                    <w:t> </w:t>
                  </w:r>
                  <w:r>
                    <w:rPr>
                      <w:b/>
                      <w:w w:val="75"/>
                      <w:sz w:val="22"/>
                    </w:rPr>
                    <w:t>prostředí</w:t>
                  </w:r>
                </w:p>
                <w:p>
                  <w:pPr>
                    <w:spacing w:before="26"/>
                    <w:ind w:left="3406" w:right="0" w:firstLine="0"/>
                    <w:jc w:val="left"/>
                    <w:rPr>
                      <w:sz w:val="26"/>
                    </w:rPr>
                  </w:pPr>
                  <w:r>
                    <w:rPr>
                      <w:sz w:val="26"/>
                    </w:rPr>
                    <w:t>NextGenerationEU</w:t>
                  </w:r>
                </w:p>
                <w:p>
                  <w:pPr>
                    <w:pStyle w:val="BodyText"/>
                    <w:spacing w:before="6"/>
                    <w:rPr>
                      <w:rFonts w:ascii="Times New Roman"/>
                      <w:sz w:val="39"/>
                    </w:rPr>
                  </w:pPr>
                </w:p>
                <w:p>
                  <w:pPr>
                    <w:spacing w:line="216" w:lineRule="exact" w:before="0"/>
                    <w:ind w:left="5428" w:right="5447" w:hanging="7"/>
                    <w:jc w:val="center"/>
                    <w:rPr>
                      <w:b/>
                      <w:sz w:val="19"/>
                    </w:rPr>
                  </w:pPr>
                  <w:r>
                    <w:rPr>
                      <w:b/>
                      <w:sz w:val="19"/>
                    </w:rPr>
                    <w:t>Článek V. CENA</w:t>
                  </w:r>
                  <w:r>
                    <w:rPr>
                      <w:b/>
                      <w:spacing w:val="-13"/>
                      <w:sz w:val="19"/>
                    </w:rPr>
                    <w:t> </w:t>
                  </w:r>
                  <w:r>
                    <w:rPr>
                      <w:b/>
                      <w:sz w:val="19"/>
                    </w:rPr>
                    <w:t>DÍLA</w:t>
                  </w:r>
                </w:p>
                <w:p>
                  <w:pPr>
                    <w:spacing w:line="268" w:lineRule="auto" w:before="117"/>
                    <w:ind w:left="1966" w:right="1680" w:hanging="390"/>
                    <w:jc w:val="both"/>
                    <w:rPr>
                      <w:b/>
                      <w:sz w:val="19"/>
                    </w:rPr>
                  </w:pPr>
                  <w:r>
                    <w:rPr>
                      <w:sz w:val="19"/>
                    </w:rPr>
                    <w:t>1. Zhotovitel se zavazuje, že realizuje dílo ve sjednaném rozsahu, kvalitě, termínu a za celou dobu trváni platnosti této smlouvy, a to za celkovou cenu ve výši </w:t>
                  </w:r>
                  <w:r>
                    <w:rPr>
                      <w:b/>
                      <w:sz w:val="19"/>
                    </w:rPr>
                    <w:t>39 000 Kč (třicet devět tisíc korun českých) bez DPH.</w:t>
                  </w:r>
                </w:p>
                <w:p>
                  <w:pPr>
                    <w:pStyle w:val="BodyText"/>
                    <w:spacing w:line="264" w:lineRule="auto" w:before="102"/>
                    <w:ind w:left="1966" w:right="1672" w:hanging="405"/>
                    <w:jc w:val="both"/>
                  </w:pPr>
                  <w:r>
                    <w:rPr/>
                    <w:t>2. Výše uvedená cena díla je cenou maximální, nejvýše přípustnou. K této ceně bude zhotovitelem připočtena výše DPH v procentní sazbě odpovídající zákonné úpravě účinné k datu uskutečnění zdanitelného plnění, vznikne-li k její úhradě povinnost.</w:t>
                  </w:r>
                </w:p>
                <w:p>
                  <w:pPr>
                    <w:pStyle w:val="BodyText"/>
                    <w:spacing w:line="264" w:lineRule="auto" w:before="113"/>
                    <w:ind w:left="1966" w:right="1673" w:hanging="396"/>
                    <w:jc w:val="both"/>
                  </w:pPr>
                  <w:r>
                    <w:rPr/>
                    <w:t>3.   Cena za dílo zahrnuje veškeré náklady zhotovitele související s provedením díla, jedná se zejména o veškeré administrativní náklady a režijní náklady vzniklé v průběhu doby plnění smlouvy, vývoj inflace, dopravu do místa plnění apod.</w:t>
                  </w:r>
                </w:p>
                <w:p>
                  <w:pPr>
                    <w:pStyle w:val="BodyText"/>
                    <w:spacing w:before="6"/>
                    <w:rPr>
                      <w:rFonts w:ascii="Times New Roman"/>
                      <w:sz w:val="29"/>
                    </w:rPr>
                  </w:pPr>
                </w:p>
                <w:p>
                  <w:pPr>
                    <w:spacing w:line="216" w:lineRule="exact" w:before="1"/>
                    <w:ind w:left="4925" w:right="4930" w:firstLine="561"/>
                    <w:jc w:val="left"/>
                    <w:rPr>
                      <w:b/>
                      <w:sz w:val="19"/>
                    </w:rPr>
                  </w:pPr>
                  <w:r>
                    <w:rPr>
                      <w:b/>
                      <w:sz w:val="19"/>
                    </w:rPr>
                    <w:t>Článek VI. PLATEBNÍ PODMÍNKY</w:t>
                  </w:r>
                </w:p>
                <w:p>
                  <w:pPr>
                    <w:pStyle w:val="BodyText"/>
                    <w:spacing w:line="247" w:lineRule="auto" w:before="118"/>
                    <w:ind w:left="1980" w:right="1667" w:hanging="403"/>
                    <w:jc w:val="both"/>
                  </w:pPr>
                  <w:r>
                    <w:rPr/>
                    <w:t>1. Cena za dílo bude uhrazena na základě daňového dokladu (faktury) vystavené zhotovitelem po provedení všech prací a protokolárním předání a převzetí celého díla objednatelem bez vad a nedodělků.</w:t>
                  </w:r>
                  <w:r>
                    <w:rPr>
                      <w:spacing w:val="-3"/>
                    </w:rPr>
                    <w:t> </w:t>
                  </w:r>
                  <w:r>
                    <w:rPr/>
                    <w:t>Objednatel</w:t>
                  </w:r>
                  <w:r>
                    <w:rPr>
                      <w:spacing w:val="-8"/>
                    </w:rPr>
                    <w:t> </w:t>
                  </w:r>
                  <w:r>
                    <w:rPr/>
                    <w:t>není</w:t>
                  </w:r>
                  <w:r>
                    <w:rPr>
                      <w:spacing w:val="-11"/>
                    </w:rPr>
                    <w:t> </w:t>
                  </w:r>
                  <w:r>
                    <w:rPr/>
                    <w:t>povinen</w:t>
                  </w:r>
                  <w:r>
                    <w:rPr>
                      <w:spacing w:val="-10"/>
                    </w:rPr>
                    <w:t> </w:t>
                  </w:r>
                  <w:r>
                    <w:rPr/>
                    <w:t>převzít</w:t>
                  </w:r>
                  <w:r>
                    <w:rPr>
                      <w:spacing w:val="-14"/>
                    </w:rPr>
                    <w:t> </w:t>
                  </w:r>
                  <w:r>
                    <w:rPr/>
                    <w:t>dílo</w:t>
                  </w:r>
                  <w:r>
                    <w:rPr>
                      <w:spacing w:val="-16"/>
                    </w:rPr>
                    <w:t> </w:t>
                  </w:r>
                  <w:r>
                    <w:rPr/>
                    <w:t>vykazující</w:t>
                  </w:r>
                  <w:r>
                    <w:rPr>
                      <w:spacing w:val="-13"/>
                    </w:rPr>
                    <w:t> </w:t>
                  </w:r>
                  <w:r>
                    <w:rPr/>
                    <w:t>vady,</w:t>
                  </w:r>
                  <w:r>
                    <w:rPr>
                      <w:spacing w:val="-5"/>
                    </w:rPr>
                    <w:t> </w:t>
                  </w:r>
                  <w:r>
                    <w:rPr/>
                    <w:t>popřípadě</w:t>
                  </w:r>
                  <w:r>
                    <w:rPr>
                      <w:spacing w:val="-13"/>
                    </w:rPr>
                    <w:t> </w:t>
                  </w:r>
                  <w:r>
                    <w:rPr/>
                    <w:t>dílo</w:t>
                  </w:r>
                  <w:r>
                    <w:rPr>
                      <w:spacing w:val="-4"/>
                    </w:rPr>
                    <w:t> </w:t>
                  </w:r>
                  <w:r>
                    <w:rPr/>
                    <w:t>nezpůsobilé</w:t>
                  </w:r>
                  <w:r>
                    <w:rPr>
                      <w:spacing w:val="-13"/>
                    </w:rPr>
                    <w:t> </w:t>
                  </w:r>
                  <w:r>
                    <w:rPr/>
                    <w:t>sloužit </w:t>
                  </w:r>
                  <w:r>
                    <w:rPr>
                      <w:w w:val="95"/>
                    </w:rPr>
                    <w:t>svému</w:t>
                  </w:r>
                  <w:r>
                    <w:rPr>
                      <w:spacing w:val="25"/>
                      <w:w w:val="95"/>
                    </w:rPr>
                    <w:t> </w:t>
                  </w:r>
                  <w:r>
                    <w:rPr>
                      <w:w w:val="95"/>
                    </w:rPr>
                    <w:t>účelu.</w:t>
                  </w:r>
                </w:p>
                <w:p>
                  <w:pPr>
                    <w:pStyle w:val="BodyText"/>
                    <w:spacing w:line="242" w:lineRule="auto" w:before="98"/>
                    <w:ind w:left="1972" w:right="1670" w:hanging="411"/>
                    <w:jc w:val="both"/>
                  </w:pPr>
                  <w:r>
                    <w:rPr/>
                    <w:t>2. Faktura bude mít náležitosti obecné závazných právních předpisů a náležitosti požadované objednatelem dle této smlouvy. Faktura tak bude mít tyto náležitosti: označení faktury a její číslo, bankovní spojeni, číslo účtu, název a sídlo zhotovitele, označení zhotoveného díla </w:t>
                  </w:r>
                  <w:r>
                    <w:rPr>
                      <w:w w:val="140"/>
                    </w:rPr>
                    <w:t>- </w:t>
                  </w:r>
                  <w:r>
                    <w:rPr/>
                    <w:t>číslo smlouvy o dílo a fakturovanou částku. Dále, bude-li to objednatel požadovat, bude faktura obsahovat další náležitosti dle příslušného dotačního programu, zejména název projektu, číslo projektu apod.</w:t>
                  </w:r>
                </w:p>
                <w:p>
                  <w:pPr>
                    <w:pStyle w:val="BodyText"/>
                    <w:spacing w:line="247" w:lineRule="auto" w:before="110"/>
                    <w:ind w:left="1972" w:right="1672" w:hanging="403"/>
                    <w:jc w:val="both"/>
                  </w:pPr>
                  <w:r>
                    <w:rPr/>
                    <w:t>3.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 fakturaci.</w:t>
                  </w:r>
                </w:p>
                <w:p>
                  <w:pPr>
                    <w:pStyle w:val="BodyText"/>
                    <w:spacing w:line="244" w:lineRule="auto" w:before="99"/>
                    <w:ind w:left="1966" w:right="1673" w:hanging="404"/>
                    <w:jc w:val="both"/>
                  </w:pPr>
                  <w:r>
                    <w:rPr/>
                    <w:t>4. Jestliže faktura nebude obsahovat stanovené náležitosti (případně bude obsahovat chybné údaje), nebo nebude k faktuře připojena povinná příloha, je objednatel oprávněn takovou fakturu vrátit ve lhůté splatnosti zhotoviteli. Po tomto vrácení je zhotovitel povinen vystavit novou fakturu se správnými náležitostmi. Do doby, než je vystavena nová faktura s novou lhůtou splatnosti, není objednatel v prodlení s placením faktury Splatnost nové vystavené faktury je rovněž 30 dní od jejího doručení objednateli.</w:t>
                  </w:r>
                </w:p>
                <w:p>
                  <w:pPr>
                    <w:pStyle w:val="BodyText"/>
                    <w:spacing w:before="8"/>
                    <w:rPr>
                      <w:rFonts w:ascii="Times New Roman"/>
                      <w:sz w:val="28"/>
                    </w:rPr>
                  </w:pPr>
                </w:p>
                <w:p>
                  <w:pPr>
                    <w:spacing w:line="217" w:lineRule="exact" w:before="0"/>
                    <w:ind w:left="228" w:right="237" w:firstLine="0"/>
                    <w:jc w:val="center"/>
                    <w:rPr>
                      <w:b/>
                      <w:sz w:val="19"/>
                    </w:rPr>
                  </w:pPr>
                  <w:r>
                    <w:rPr>
                      <w:b/>
                      <w:sz w:val="19"/>
                    </w:rPr>
                    <w:t>Článek VII.</w:t>
                  </w:r>
                </w:p>
                <w:p>
                  <w:pPr>
                    <w:spacing w:line="217" w:lineRule="exact" w:before="0"/>
                    <w:ind w:left="228" w:right="253" w:firstLine="0"/>
                    <w:jc w:val="center"/>
                    <w:rPr>
                      <w:b/>
                      <w:sz w:val="19"/>
                    </w:rPr>
                  </w:pPr>
                  <w:r>
                    <w:rPr>
                      <w:b/>
                      <w:sz w:val="19"/>
                    </w:rPr>
                    <w:t>PRÁVA A POVINNOSTI SMLUVNÍCH STRAN</w:t>
                  </w:r>
                </w:p>
                <w:p>
                  <w:pPr>
                    <w:pStyle w:val="BodyText"/>
                    <w:spacing w:line="242" w:lineRule="auto" w:before="128"/>
                    <w:ind w:left="1972" w:right="1666" w:hanging="396"/>
                    <w:jc w:val="both"/>
                  </w:pPr>
                  <w:r>
                    <w:rPr/>
                    <w:t>1. Objednatel se zavazuje poskytnout zhotoviteli nezbytnou součinnost k realizaci díla a předá zhotoviteli</w:t>
                  </w:r>
                  <w:r>
                    <w:rPr>
                      <w:spacing w:val="-10"/>
                    </w:rPr>
                    <w:t> </w:t>
                  </w:r>
                  <w:r>
                    <w:rPr/>
                    <w:t>veškeré</w:t>
                  </w:r>
                  <w:r>
                    <w:rPr>
                      <w:spacing w:val="-7"/>
                    </w:rPr>
                    <w:t> </w:t>
                  </w:r>
                  <w:r>
                    <w:rPr/>
                    <w:t>nezbytné</w:t>
                  </w:r>
                  <w:r>
                    <w:rPr>
                      <w:spacing w:val="1"/>
                    </w:rPr>
                    <w:t> </w:t>
                  </w:r>
                  <w:r>
                    <w:rPr/>
                    <w:t>podklady</w:t>
                  </w:r>
                  <w:r>
                    <w:rPr>
                      <w:spacing w:val="-2"/>
                    </w:rPr>
                    <w:t> </w:t>
                  </w:r>
                  <w:r>
                    <w:rPr/>
                    <w:t>ke</w:t>
                  </w:r>
                  <w:r>
                    <w:rPr>
                      <w:spacing w:val="-9"/>
                    </w:rPr>
                    <w:t> </w:t>
                  </w:r>
                  <w:r>
                    <w:rPr/>
                    <w:t>zpracování</w:t>
                  </w:r>
                  <w:r>
                    <w:rPr>
                      <w:spacing w:val="3"/>
                    </w:rPr>
                    <w:t> </w:t>
                  </w:r>
                  <w:r>
                    <w:rPr/>
                    <w:t>díla</w:t>
                  </w:r>
                  <w:r>
                    <w:rPr>
                      <w:spacing w:val="-8"/>
                    </w:rPr>
                    <w:t> </w:t>
                  </w:r>
                  <w:r>
                    <w:rPr/>
                    <w:t>do</w:t>
                  </w:r>
                  <w:r>
                    <w:rPr>
                      <w:spacing w:val="-6"/>
                    </w:rPr>
                    <w:t> </w:t>
                  </w:r>
                  <w:r>
                    <w:rPr/>
                    <w:t>7</w:t>
                  </w:r>
                  <w:r>
                    <w:rPr>
                      <w:spacing w:val="-9"/>
                    </w:rPr>
                    <w:t> </w:t>
                  </w:r>
                  <w:r>
                    <w:rPr/>
                    <w:t>dnů</w:t>
                  </w:r>
                  <w:r>
                    <w:rPr>
                      <w:spacing w:val="-1"/>
                    </w:rPr>
                    <w:t> </w:t>
                  </w:r>
                  <w:r>
                    <w:rPr/>
                    <w:t>ode</w:t>
                  </w:r>
                  <w:r>
                    <w:rPr>
                      <w:spacing w:val="-7"/>
                    </w:rPr>
                    <w:t> </w:t>
                  </w:r>
                  <w:r>
                    <w:rPr/>
                    <w:t>dne</w:t>
                  </w:r>
                  <w:r>
                    <w:rPr>
                      <w:spacing w:val="-3"/>
                    </w:rPr>
                    <w:t> </w:t>
                  </w:r>
                  <w:r>
                    <w:rPr/>
                    <w:t>účinnosti</w:t>
                  </w:r>
                  <w:r>
                    <w:rPr>
                      <w:spacing w:val="-12"/>
                    </w:rPr>
                    <w:t> </w:t>
                  </w:r>
                  <w:r>
                    <w:rPr/>
                    <w:t>této</w:t>
                  </w:r>
                  <w:r>
                    <w:rPr>
                      <w:spacing w:val="-5"/>
                    </w:rPr>
                    <w:t> </w:t>
                  </w:r>
                  <w:r>
                    <w:rPr/>
                    <w:t>smlouvy, vyžaduje-li realizace díla předání takových podkladů. Objednatel se dále zavazuje umožnit zhotoviteli přistup na lokality uvedené v čl. IV této</w:t>
                  </w:r>
                  <w:r>
                    <w:rPr>
                      <w:spacing w:val="11"/>
                    </w:rPr>
                    <w:t> </w:t>
                  </w:r>
                  <w:r>
                    <w:rPr/>
                    <w:t>smlouvy.</w:t>
                  </w:r>
                </w:p>
                <w:p>
                  <w:pPr>
                    <w:pStyle w:val="BodyText"/>
                    <w:spacing w:line="244" w:lineRule="auto" w:before="109"/>
                    <w:ind w:left="1980" w:right="1674" w:hanging="403"/>
                    <w:jc w:val="both"/>
                  </w:pPr>
                  <w:r>
                    <w:rPr/>
                    <w:t>2. Objednatel je oprávněn provádět kdykoli průběžnou kontrolu řádného plněni díla zhotovitelem. Zhotovitel</w:t>
                  </w:r>
                  <w:r>
                    <w:rPr>
                      <w:spacing w:val="-5"/>
                    </w:rPr>
                    <w:t> </w:t>
                  </w:r>
                  <w:r>
                    <w:rPr/>
                    <w:t>mu</w:t>
                  </w:r>
                  <w:r>
                    <w:rPr>
                      <w:spacing w:val="-20"/>
                    </w:rPr>
                    <w:t> </w:t>
                  </w:r>
                  <w:r>
                    <w:rPr/>
                    <w:t>je</w:t>
                  </w:r>
                  <w:r>
                    <w:rPr>
                      <w:spacing w:val="-6"/>
                    </w:rPr>
                    <w:t> </w:t>
                  </w:r>
                  <w:r>
                    <w:rPr/>
                    <w:t>povinen</w:t>
                  </w:r>
                  <w:r>
                    <w:rPr>
                      <w:spacing w:val="-8"/>
                    </w:rPr>
                    <w:t> </w:t>
                  </w:r>
                  <w:r>
                    <w:rPr/>
                    <w:t>poskytnout</w:t>
                  </w:r>
                  <w:r>
                    <w:rPr>
                      <w:spacing w:val="-13"/>
                    </w:rPr>
                    <w:t> </w:t>
                  </w:r>
                  <w:r>
                    <w:rPr/>
                    <w:t>veškeré</w:t>
                  </w:r>
                  <w:r>
                    <w:rPr>
                      <w:spacing w:val="-6"/>
                    </w:rPr>
                    <w:t> </w:t>
                  </w:r>
                  <w:r>
                    <w:rPr/>
                    <w:t>informace</w:t>
                  </w:r>
                  <w:r>
                    <w:rPr>
                      <w:spacing w:val="-8"/>
                    </w:rPr>
                    <w:t> </w:t>
                  </w:r>
                  <w:r>
                    <w:rPr/>
                    <w:t>o</w:t>
                  </w:r>
                  <w:r>
                    <w:rPr>
                      <w:spacing w:val="-9"/>
                    </w:rPr>
                    <w:t> </w:t>
                  </w:r>
                  <w:r>
                    <w:rPr/>
                    <w:t>průběhu</w:t>
                  </w:r>
                  <w:r>
                    <w:rPr>
                      <w:spacing w:val="4"/>
                    </w:rPr>
                    <w:t> </w:t>
                  </w:r>
                  <w:r>
                    <w:rPr/>
                    <w:t>plněni</w:t>
                  </w:r>
                  <w:r>
                    <w:rPr>
                      <w:spacing w:val="-7"/>
                    </w:rPr>
                    <w:t> </w:t>
                  </w:r>
                  <w:r>
                    <w:rPr/>
                    <w:t>díla</w:t>
                  </w:r>
                  <w:r>
                    <w:rPr>
                      <w:spacing w:val="-6"/>
                    </w:rPr>
                    <w:t> </w:t>
                  </w:r>
                  <w:r>
                    <w:rPr/>
                    <w:t>do</w:t>
                  </w:r>
                  <w:r>
                    <w:rPr>
                      <w:spacing w:val="-5"/>
                    </w:rPr>
                    <w:t> </w:t>
                  </w:r>
                  <w:r>
                    <w:rPr/>
                    <w:t>7</w:t>
                  </w:r>
                  <w:r>
                    <w:rPr>
                      <w:spacing w:val="-10"/>
                    </w:rPr>
                    <w:t> </w:t>
                  </w:r>
                  <w:r>
                    <w:rPr/>
                    <w:t>dnů</w:t>
                  </w:r>
                  <w:r>
                    <w:rPr>
                      <w:spacing w:val="-7"/>
                    </w:rPr>
                    <w:t> </w:t>
                  </w:r>
                  <w:r>
                    <w:rPr/>
                    <w:t>od</w:t>
                  </w:r>
                  <w:r>
                    <w:rPr>
                      <w:spacing w:val="-9"/>
                    </w:rPr>
                    <w:t> </w:t>
                  </w:r>
                  <w:r>
                    <w:rPr/>
                    <w:t>vznesení dotazu</w:t>
                  </w:r>
                  <w:r>
                    <w:rPr>
                      <w:spacing w:val="-18"/>
                    </w:rPr>
                    <w:t> </w:t>
                  </w:r>
                  <w:r>
                    <w:rPr/>
                    <w:t>objednatelem.</w:t>
                  </w:r>
                </w:p>
                <w:p>
                  <w:pPr>
                    <w:pStyle w:val="BodyText"/>
                    <w:tabs>
                      <w:tab w:pos="1979" w:val="left" w:leader="none"/>
                    </w:tabs>
                    <w:spacing w:before="107"/>
                    <w:ind w:left="1576"/>
                  </w:pPr>
                  <w:r>
                    <w:rPr/>
                    <w:t>3.</w:t>
                    <w:tab/>
                    <w:t>Zhotovitel při realizaci díla spolupracuje s odpovědnými osobami</w:t>
                  </w:r>
                  <w:r>
                    <w:rPr>
                      <w:spacing w:val="-13"/>
                    </w:rPr>
                    <w:t> </w:t>
                  </w:r>
                  <w:r>
                    <w:rPr/>
                    <w:t>objednatele.</w:t>
                  </w:r>
                </w:p>
                <w:p>
                  <w:pPr>
                    <w:pStyle w:val="BodyText"/>
                    <w:spacing w:before="112"/>
                    <w:ind w:left="1980" w:right="1674" w:hanging="410"/>
                    <w:jc w:val="both"/>
                  </w:pPr>
                  <w:r>
                    <w:rPr/>
                    <w:t>4. Zhotovitel je povinen provádět dílo v souladu s touto smlouvou a její přílohou. Zhotovitel se  zavazuje, že v případě, že nebude schopen sám provádět práce dle sjednaných podmínek, zajisti za sebe osobu, která tyto činnosti bude schopna provést se stejnou péčí a</w:t>
                  </w:r>
                  <w:r>
                    <w:rPr>
                      <w:spacing w:val="-13"/>
                    </w:rPr>
                    <w:t> </w:t>
                  </w:r>
                  <w:r>
                    <w:rPr/>
                    <w:t>odborností.</w:t>
                  </w:r>
                </w:p>
                <w:p>
                  <w:pPr>
                    <w:pStyle w:val="BodyText"/>
                    <w:spacing w:line="259" w:lineRule="auto" w:before="113"/>
                    <w:ind w:left="1986" w:right="1674" w:hanging="410"/>
                    <w:jc w:val="both"/>
                  </w:pPr>
                  <w:r>
                    <w:rPr/>
                    <w:t>5.</w:t>
                  </w:r>
                  <w:r>
                    <w:rPr>
                      <w:spacing w:val="50"/>
                    </w:rPr>
                    <w:t> </w:t>
                  </w:r>
                  <w:r>
                    <w:rPr/>
                    <w:t>Při provádění díla prostřednictvím poddodavatele má zhotovitel odpovědnost, jako by dílo prováděl sám.</w:t>
                  </w:r>
                </w:p>
              </w:txbxContent>
            </v:textbox>
            <w10:wrap type="none"/>
          </v:shape>
        </w:pict>
      </w:r>
      <w:r>
        <w:rPr/>
        <w:pict>
          <v:group style="position:absolute;margin-left:0pt;margin-top:0pt;width:595.1pt;height:841.7pt;mso-position-horizontal-relative:page;mso-position-vertical-relative:page;z-index:-7216" coordorigin="0,0" coordsize="11902,16834">
            <v:shape style="position:absolute;left:0;top:0;width:11902;height:16834" type="#_x0000_t75" stroked="false">
              <v:imagedata r:id="rId8" o:title=""/>
            </v:shape>
            <v:shape style="position:absolute;left:288;top:374;width:986;height:1303" type="#_x0000_t75" stroked="false">
              <v:imagedata r:id="rId9"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192" type="#_x0000_t202" filled="false" stroked="false">
            <v:textbox inset="0,0,0,0">
              <w:txbxContent>
                <w:p>
                  <w:pPr>
                    <w:pStyle w:val="BodyText"/>
                    <w:rPr>
                      <w:rFonts w:ascii="Times New Roman"/>
                      <w:sz w:val="34"/>
                    </w:rPr>
                  </w:pPr>
                </w:p>
                <w:p>
                  <w:pPr>
                    <w:pStyle w:val="BodyText"/>
                    <w:spacing w:before="5"/>
                    <w:rPr>
                      <w:rFonts w:ascii="Times New Roman"/>
                      <w:sz w:val="45"/>
                    </w:rPr>
                  </w:pPr>
                </w:p>
                <w:p>
                  <w:pPr>
                    <w:spacing w:before="0"/>
                    <w:ind w:left="3542" w:right="0" w:firstLine="0"/>
                    <w:jc w:val="left"/>
                    <w:rPr>
                      <w:b/>
                      <w:sz w:val="30"/>
                    </w:rPr>
                  </w:pPr>
                  <w:r>
                    <w:rPr>
                      <w:b/>
                      <w:sz w:val="30"/>
                    </w:rPr>
                    <w:t>Financováno</w:t>
                  </w:r>
                </w:p>
                <w:p>
                  <w:pPr>
                    <w:tabs>
                      <w:tab w:pos="7386" w:val="left" w:leader="none"/>
                    </w:tabs>
                    <w:spacing w:before="16"/>
                    <w:ind w:left="3542" w:right="0" w:firstLine="0"/>
                    <w:jc w:val="left"/>
                    <w:rPr>
                      <w:b/>
                      <w:sz w:val="22"/>
                    </w:rPr>
                  </w:pPr>
                  <w:r>
                    <w:rPr>
                      <w:b/>
                      <w:w w:val="95"/>
                      <w:position w:val="10"/>
                      <w:sz w:val="30"/>
                    </w:rPr>
                    <w:t>Evropskou</w:t>
                  </w:r>
                  <w:r>
                    <w:rPr>
                      <w:b/>
                      <w:spacing w:val="63"/>
                      <w:w w:val="95"/>
                      <w:position w:val="10"/>
                      <w:sz w:val="30"/>
                    </w:rPr>
                    <w:t> </w:t>
                  </w:r>
                  <w:r>
                    <w:rPr>
                      <w:b/>
                      <w:w w:val="95"/>
                      <w:position w:val="10"/>
                      <w:sz w:val="30"/>
                    </w:rPr>
                    <w:t>unií</w:t>
                    <w:tab/>
                  </w:r>
                  <w:r>
                    <w:rPr>
                      <w:b/>
                      <w:w w:val="75"/>
                      <w:sz w:val="22"/>
                    </w:rPr>
                    <w:t>Ministerstvo životního</w:t>
                  </w:r>
                  <w:r>
                    <w:rPr>
                      <w:b/>
                      <w:spacing w:val="8"/>
                      <w:w w:val="75"/>
                      <w:sz w:val="22"/>
                    </w:rPr>
                    <w:t> </w:t>
                  </w:r>
                  <w:r>
                    <w:rPr>
                      <w:b/>
                      <w:w w:val="75"/>
                      <w:sz w:val="22"/>
                    </w:rPr>
                    <w:t>prostředí</w:t>
                  </w:r>
                </w:p>
                <w:p>
                  <w:pPr>
                    <w:spacing w:before="11"/>
                    <w:ind w:left="3535" w:right="0" w:firstLine="0"/>
                    <w:jc w:val="left"/>
                    <w:rPr>
                      <w:sz w:val="26"/>
                    </w:rPr>
                  </w:pPr>
                  <w:r>
                    <w:rPr>
                      <w:sz w:val="26"/>
                    </w:rPr>
                    <w:t>NextGenerationEU</w:t>
                  </w:r>
                </w:p>
                <w:p>
                  <w:pPr>
                    <w:pStyle w:val="BodyText"/>
                    <w:spacing w:before="6"/>
                    <w:rPr>
                      <w:rFonts w:ascii="Times New Roman"/>
                      <w:sz w:val="38"/>
                    </w:rPr>
                  </w:pPr>
                </w:p>
                <w:p>
                  <w:pPr>
                    <w:pStyle w:val="BodyText"/>
                    <w:tabs>
                      <w:tab w:pos="2094" w:val="left" w:leader="none"/>
                    </w:tabs>
                    <w:ind w:left="1691"/>
                  </w:pPr>
                  <w:r>
                    <w:rPr/>
                    <w:t>6.</w:t>
                    <w:tab/>
                    <w:t>Zhotovitel je dále povinen při plnění této</w:t>
                  </w:r>
                  <w:r>
                    <w:rPr>
                      <w:spacing w:val="-13"/>
                    </w:rPr>
                    <w:t> </w:t>
                  </w:r>
                  <w:r>
                    <w:rPr/>
                    <w:t>smlouvy:</w:t>
                  </w:r>
                </w:p>
                <w:p>
                  <w:pPr>
                    <w:pStyle w:val="BodyText"/>
                    <w:spacing w:line="244" w:lineRule="auto" w:before="120"/>
                    <w:ind w:left="2765" w:right="1580" w:hanging="396"/>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poddodavatelú;</w:t>
                  </w:r>
                </w:p>
                <w:p>
                  <w:pPr>
                    <w:pStyle w:val="BodyText"/>
                    <w:spacing w:line="244" w:lineRule="auto" w:before="108"/>
                    <w:ind w:left="2765" w:right="1582" w:hanging="397"/>
                    <w:jc w:val="both"/>
                  </w:pPr>
                  <w:r>
                    <w:rPr/>
                    <w:t>b. ve smlouvách se svými poddodavateli zajistil srovnatelné podmínky s podmínkami sjednanými v této smlouvě;</w:t>
                  </w:r>
                </w:p>
                <w:p>
                  <w:pPr>
                    <w:pStyle w:val="BodyText"/>
                    <w:tabs>
                      <w:tab w:pos="2757" w:val="left" w:leader="none"/>
                    </w:tabs>
                    <w:spacing w:before="116"/>
                    <w:ind w:left="2361"/>
                  </w:pPr>
                  <w:r>
                    <w:rPr/>
                    <w:t>c.</w:t>
                    <w:tab/>
                    <w:t>zajistit řádné a včasné plněni svých finančních závazků vůči svým</w:t>
                  </w:r>
                  <w:r>
                    <w:rPr>
                      <w:spacing w:val="1"/>
                    </w:rPr>
                    <w:t> </w:t>
                  </w:r>
                  <w:r>
                    <w:rPr/>
                    <w:t>poddodavatelům;</w:t>
                  </w:r>
                </w:p>
                <w:p>
                  <w:pPr>
                    <w:pStyle w:val="BodyText"/>
                    <w:spacing w:line="244" w:lineRule="auto" w:before="112"/>
                    <w:ind w:left="2765" w:right="1596" w:hanging="404"/>
                    <w:jc w:val="both"/>
                  </w:pPr>
                  <w:r>
                    <w:rPr/>
                    <w:t>d. používat při výkonu administrativních činností souvisejících s plněním předmětu smlouvy, bude-li to objektivně možné, recyklované nebo recyklovatelné materiály, výrobky a obaly.</w:t>
                  </w:r>
                </w:p>
                <w:p>
                  <w:pPr>
                    <w:pStyle w:val="BodyText"/>
                    <w:spacing w:before="116"/>
                    <w:ind w:left="2095" w:right="1580" w:hanging="403"/>
                    <w:jc w:val="both"/>
                  </w:pPr>
                  <w:r>
                    <w:rPr/>
                    <w:t>7. Zhotovitel nesmi objednatelem mu poskytnutá data a údaje půjčovat, kopírovat nebo reprodukovat pro jiné účely než jsou definované touto smlouvou o dílo a převádět smluvní vztah na třetí osoby bez předchozího souhlasu objednatele.</w:t>
                  </w:r>
                </w:p>
                <w:p>
                  <w:pPr>
                    <w:pStyle w:val="BodyText"/>
                    <w:spacing w:line="242" w:lineRule="auto" w:before="111"/>
                    <w:ind w:left="2066" w:right="1580" w:hanging="388"/>
                    <w:jc w:val="both"/>
                  </w:pPr>
                  <w:r>
                    <w:rPr/>
                    <w:t>8. Žádná část díla ani poskytnutých podkladů nesmí být žádným způsobem zhotovitelem použita pro jiné dílo, které by nevznikalo podle této smlouvy, bez předchozího písemného souhlasu objednatele.</w:t>
                  </w:r>
                  <w:r>
                    <w:rPr>
                      <w:spacing w:val="-3"/>
                    </w:rPr>
                    <w:t> </w:t>
                  </w:r>
                  <w:r>
                    <w:rPr/>
                    <w:t>Žádná</w:t>
                  </w:r>
                  <w:r>
                    <w:rPr>
                      <w:spacing w:val="-14"/>
                    </w:rPr>
                    <w:t> </w:t>
                  </w:r>
                  <w:r>
                    <w:rPr/>
                    <w:t>část</w:t>
                  </w:r>
                  <w:r>
                    <w:rPr>
                      <w:spacing w:val="-14"/>
                    </w:rPr>
                    <w:t> </w:t>
                  </w:r>
                  <w:r>
                    <w:rPr/>
                    <w:t>díla</w:t>
                  </w:r>
                  <w:r>
                    <w:rPr>
                      <w:spacing w:val="-13"/>
                    </w:rPr>
                    <w:t> </w:t>
                  </w:r>
                  <w:r>
                    <w:rPr/>
                    <w:t>ani</w:t>
                  </w:r>
                  <w:r>
                    <w:rPr>
                      <w:spacing w:val="-9"/>
                    </w:rPr>
                    <w:t> </w:t>
                  </w:r>
                  <w:r>
                    <w:rPr/>
                    <w:t>poskytnutých</w:t>
                  </w:r>
                  <w:r>
                    <w:rPr>
                      <w:spacing w:val="-4"/>
                    </w:rPr>
                    <w:t> </w:t>
                  </w:r>
                  <w:r>
                    <w:rPr/>
                    <w:t>podkladů</w:t>
                  </w:r>
                  <w:r>
                    <w:rPr>
                      <w:spacing w:val="-6"/>
                    </w:rPr>
                    <w:t> </w:t>
                  </w:r>
                  <w:r>
                    <w:rPr/>
                    <w:t>nesmí</w:t>
                  </w:r>
                  <w:r>
                    <w:rPr>
                      <w:spacing w:val="-2"/>
                    </w:rPr>
                    <w:t> </w:t>
                  </w:r>
                  <w:r>
                    <w:rPr/>
                    <w:t>být</w:t>
                  </w:r>
                  <w:r>
                    <w:rPr>
                      <w:spacing w:val="-21"/>
                    </w:rPr>
                    <w:t> </w:t>
                  </w:r>
                  <w:r>
                    <w:rPr/>
                    <w:t>žádným</w:t>
                  </w:r>
                  <w:r>
                    <w:rPr>
                      <w:spacing w:val="-15"/>
                    </w:rPr>
                    <w:t> </w:t>
                  </w:r>
                  <w:r>
                    <w:rPr/>
                    <w:t>způsobem</w:t>
                  </w:r>
                  <w:r>
                    <w:rPr>
                      <w:spacing w:val="-15"/>
                    </w:rPr>
                    <w:t> </w:t>
                  </w:r>
                  <w:r>
                    <w:rPr/>
                    <w:t>zhotovitelem poskytnuta třetí osobě bez předchozího písemného souhlasu</w:t>
                  </w:r>
                  <w:r>
                    <w:rPr>
                      <w:spacing w:val="-37"/>
                    </w:rPr>
                    <w:t> </w:t>
                  </w:r>
                  <w:r>
                    <w:rPr/>
                    <w:t>objednatele.</w:t>
                  </w:r>
                </w:p>
                <w:p>
                  <w:pPr>
                    <w:pStyle w:val="BodyText"/>
                    <w:spacing w:before="6"/>
                    <w:rPr>
                      <w:rFonts w:ascii="Times New Roman"/>
                      <w:sz w:val="29"/>
                    </w:rPr>
                  </w:pPr>
                </w:p>
                <w:p>
                  <w:pPr>
                    <w:spacing w:line="244" w:lineRule="auto" w:before="0"/>
                    <w:ind w:left="5480" w:right="5325" w:firstLine="0"/>
                    <w:jc w:val="center"/>
                    <w:rPr>
                      <w:b/>
                      <w:sz w:val="19"/>
                    </w:rPr>
                  </w:pPr>
                  <w:r>
                    <w:rPr>
                      <w:b/>
                      <w:sz w:val="19"/>
                    </w:rPr>
                    <w:t>Článek Vlil. VYŠŠÍ MOC</w:t>
                  </w:r>
                </w:p>
                <w:p>
                  <w:pPr>
                    <w:pStyle w:val="BodyText"/>
                    <w:spacing w:before="116"/>
                    <w:ind w:left="2059" w:right="1587" w:hanging="374"/>
                    <w:jc w:val="both"/>
                  </w:pPr>
                  <w:r>
                    <w:rPr/>
                    <w:t>1. Vyšší mocí se pro potřeby této smlouvy rozumí události, které nastaly za okolností, které nemohly být</w:t>
                  </w:r>
                  <w:r>
                    <w:rPr>
                      <w:spacing w:val="-16"/>
                    </w:rPr>
                    <w:t> </w:t>
                  </w:r>
                  <w:r>
                    <w:rPr/>
                    <w:t>odvráceny</w:t>
                  </w:r>
                  <w:r>
                    <w:rPr>
                      <w:spacing w:val="-22"/>
                    </w:rPr>
                    <w:t> </w:t>
                  </w:r>
                  <w:r>
                    <w:rPr/>
                    <w:t>smluvními</w:t>
                  </w:r>
                  <w:r>
                    <w:rPr>
                      <w:spacing w:val="-16"/>
                    </w:rPr>
                    <w:t> </w:t>
                  </w:r>
                  <w:r>
                    <w:rPr/>
                    <w:t>stranami,</w:t>
                  </w:r>
                  <w:r>
                    <w:rPr>
                      <w:spacing w:val="-2"/>
                    </w:rPr>
                    <w:t> </w:t>
                  </w:r>
                  <w:r>
                    <w:rPr/>
                    <w:t>které</w:t>
                  </w:r>
                  <w:r>
                    <w:rPr>
                      <w:spacing w:val="-10"/>
                    </w:rPr>
                    <w:t> </w:t>
                  </w:r>
                  <w:r>
                    <w:rPr/>
                    <w:t>nebylo</w:t>
                  </w:r>
                  <w:r>
                    <w:rPr>
                      <w:spacing w:val="-8"/>
                    </w:rPr>
                    <w:t> </w:t>
                  </w:r>
                  <w:r>
                    <w:rPr/>
                    <w:t>možné</w:t>
                  </w:r>
                  <w:r>
                    <w:rPr>
                      <w:spacing w:val="-4"/>
                    </w:rPr>
                    <w:t> </w:t>
                  </w:r>
                  <w:r>
                    <w:rPr/>
                    <w:t>předvídat</w:t>
                  </w:r>
                  <w:r>
                    <w:rPr>
                      <w:spacing w:val="-10"/>
                    </w:rPr>
                    <w:t> </w:t>
                  </w:r>
                  <w:r>
                    <w:rPr/>
                    <w:t>a</w:t>
                  </w:r>
                  <w:r>
                    <w:rPr>
                      <w:spacing w:val="-17"/>
                    </w:rPr>
                    <w:t> </w:t>
                  </w:r>
                  <w:r>
                    <w:rPr/>
                    <w:t>které</w:t>
                  </w:r>
                  <w:r>
                    <w:rPr>
                      <w:spacing w:val="-10"/>
                    </w:rPr>
                    <w:t> </w:t>
                  </w:r>
                  <w:r>
                    <w:rPr/>
                    <w:t>nebyly</w:t>
                  </w:r>
                  <w:r>
                    <w:rPr>
                      <w:spacing w:val="-20"/>
                    </w:rPr>
                    <w:t> </w:t>
                  </w:r>
                  <w:r>
                    <w:rPr/>
                    <w:t>způsobeny</w:t>
                  </w:r>
                  <w:r>
                    <w:rPr>
                      <w:spacing w:val="-15"/>
                    </w:rPr>
                    <w:t> </w:t>
                  </w:r>
                  <w:r>
                    <w:rPr/>
                    <w:t>chybou nebo zanedbáním žádné ze smluvních stran, jako např. války, revoluce, požáry, záplavy, zemětřesení,</w:t>
                  </w:r>
                  <w:r>
                    <w:rPr>
                      <w:spacing w:val="-5"/>
                    </w:rPr>
                    <w:t> </w:t>
                  </w:r>
                  <w:r>
                    <w:rPr/>
                    <w:t>epidemie</w:t>
                  </w:r>
                  <w:r>
                    <w:rPr>
                      <w:spacing w:val="-9"/>
                    </w:rPr>
                    <w:t> </w:t>
                  </w:r>
                  <w:r>
                    <w:rPr/>
                    <w:t>nebo</w:t>
                  </w:r>
                  <w:r>
                    <w:rPr>
                      <w:spacing w:val="-15"/>
                    </w:rPr>
                    <w:t> </w:t>
                  </w:r>
                  <w:r>
                    <w:rPr/>
                    <w:t>dopravní</w:t>
                  </w:r>
                  <w:r>
                    <w:rPr>
                      <w:spacing w:val="-8"/>
                    </w:rPr>
                    <w:t> </w:t>
                  </w:r>
                  <w:r>
                    <w:rPr/>
                    <w:t>embarga.</w:t>
                  </w:r>
                  <w:r>
                    <w:rPr>
                      <w:spacing w:val="-8"/>
                    </w:rPr>
                    <w:t> </w:t>
                  </w:r>
                  <w:r>
                    <w:rPr/>
                    <w:t>Vyšší</w:t>
                  </w:r>
                  <w:r>
                    <w:rPr>
                      <w:spacing w:val="-1"/>
                    </w:rPr>
                    <w:t> </w:t>
                  </w:r>
                  <w:r>
                    <w:rPr/>
                    <w:t>mocí</w:t>
                  </w:r>
                  <w:r>
                    <w:rPr>
                      <w:spacing w:val="-7"/>
                    </w:rPr>
                    <w:t> </w:t>
                  </w:r>
                  <w:r>
                    <w:rPr/>
                    <w:t>není</w:t>
                  </w:r>
                  <w:r>
                    <w:rPr>
                      <w:spacing w:val="-3"/>
                    </w:rPr>
                    <w:t> </w:t>
                  </w:r>
                  <w:r>
                    <w:rPr/>
                    <w:t>nedostatek</w:t>
                  </w:r>
                  <w:r>
                    <w:rPr>
                      <w:spacing w:val="-7"/>
                    </w:rPr>
                    <w:t> </w:t>
                  </w:r>
                  <w:r>
                    <w:rPr/>
                    <w:t>úředního</w:t>
                  </w:r>
                  <w:r>
                    <w:rPr>
                      <w:spacing w:val="-11"/>
                    </w:rPr>
                    <w:t> </w:t>
                  </w:r>
                  <w:r>
                    <w:rPr/>
                    <w:t>povoleni</w:t>
                  </w:r>
                  <w:r>
                    <w:rPr>
                      <w:spacing w:val="-6"/>
                    </w:rPr>
                    <w:t> </w:t>
                  </w:r>
                  <w:r>
                    <w:rPr/>
                    <w:t>ani jiný zásah orgánu státní moci v České republice.</w:t>
                  </w:r>
                </w:p>
                <w:p>
                  <w:pPr>
                    <w:pStyle w:val="BodyText"/>
                    <w:spacing w:before="113"/>
                    <w:ind w:left="2059" w:right="1602" w:hanging="389"/>
                    <w:jc w:val="both"/>
                  </w:pPr>
                  <w:r>
                    <w:rPr/>
                    <w:t>2. Nastane-li situace vyšší moci, uvědomí příslušná smluvní strana o takovém stavu, o jeho příčině a jeho skončeni druhou smluvní stranu. Zhotovitel je povinen hledat alternativní prostředky pro splnění smlouvy.</w:t>
                  </w:r>
                </w:p>
                <w:p>
                  <w:pPr>
                    <w:pStyle w:val="BodyText"/>
                    <w:spacing w:line="216" w:lineRule="exact" w:before="126"/>
                    <w:ind w:left="2074" w:right="1602" w:hanging="405"/>
                    <w:jc w:val="both"/>
                  </w:pPr>
                  <w:r>
                    <w:rPr/>
                    <w:t>3. Trvá-li vyšší moc déle než 14 dní a nedohodnou-li se smluvní strany v této době na alternativním řešeni, má objednatel právo od smlouvy odstoupit.</w:t>
                  </w:r>
                </w:p>
                <w:p>
                  <w:pPr>
                    <w:pStyle w:val="BodyText"/>
                    <w:spacing w:before="6"/>
                    <w:rPr>
                      <w:rFonts w:ascii="Times New Roman"/>
                      <w:sz w:val="29"/>
                    </w:rPr>
                  </w:pPr>
                </w:p>
                <w:p>
                  <w:pPr>
                    <w:spacing w:line="244" w:lineRule="auto" w:before="0"/>
                    <w:ind w:left="4586" w:right="4435" w:firstLine="986"/>
                    <w:jc w:val="left"/>
                    <w:rPr>
                      <w:b/>
                      <w:sz w:val="19"/>
                    </w:rPr>
                  </w:pPr>
                  <w:r>
                    <w:rPr>
                      <w:b/>
                      <w:sz w:val="19"/>
                    </w:rPr>
                    <w:t>Článek IX. ODPOVĚDNOST ZA VADY DÍLA</w:t>
                  </w:r>
                </w:p>
                <w:p>
                  <w:pPr>
                    <w:pStyle w:val="BodyText"/>
                    <w:spacing w:line="242" w:lineRule="auto" w:before="116"/>
                    <w:ind w:left="2066" w:right="1610" w:hanging="396"/>
                    <w:jc w:val="both"/>
                  </w:pPr>
                  <w:r>
                    <w:rPr/>
                    <w:t>1. Zhotovitel se zavazuje, že dílo bude mít vlastnosti stanovené touto smlouvou a jejími přílohami a všemi technickými normami, které se vztahuji k materiálům a pracím prováděným na základě této smlouvy, jinak vlastnosti obvyklé, a dále že bude použitelné ke smluvenému, jinak obvyklému účelu. Odpovědnost za vady se řídi příslušnými ustanoveními občanského zákoníku</w:t>
                  </w:r>
                </w:p>
                <w:p>
                  <w:pPr>
                    <w:pStyle w:val="BodyText"/>
                    <w:spacing w:before="111"/>
                    <w:ind w:left="2059" w:right="1615" w:hanging="403"/>
                    <w:jc w:val="both"/>
                  </w:pPr>
                  <w:r>
                    <w:rPr/>
                    <w:t>2. Zhotovitel poskytuje na dílo záruku za jakost. Záruční doba na celé dílo je 12 měsíců. Záruční doba začíná běžet ode dne protokolárního předáni díla dle čl. IV odst. 7 této smlouvy. Záruční doba se automaticky prodlužuje o dobu, které uplyne mezi uplatněním reklamace a odstraněním vady</w:t>
                  </w:r>
                </w:p>
                <w:p>
                  <w:pPr>
                    <w:pStyle w:val="BodyText"/>
                    <w:spacing w:before="119"/>
                    <w:ind w:left="2051" w:right="1615" w:hanging="396"/>
                    <w:jc w:val="both"/>
                  </w:pPr>
                  <w:r>
                    <w:rPr/>
                    <w:t>3.</w:t>
                  </w:r>
                  <w:r>
                    <w:rPr>
                      <w:spacing w:val="34"/>
                    </w:rPr>
                    <w:t> </w:t>
                  </w:r>
                  <w:r>
                    <w:rPr/>
                    <w:t>Objednatel je povinen nahlásit zhotoviteli zjištěné vady písemně (reklamační protokol). Pokud bude objednatel požadovat odstranění vady zhotovitelem, zavazuje se zhotovitel započít s odstraňováním</w:t>
                  </w:r>
                  <w:r>
                    <w:rPr>
                      <w:spacing w:val="-3"/>
                    </w:rPr>
                    <w:t> </w:t>
                  </w:r>
                  <w:r>
                    <w:rPr/>
                    <w:t>nahlášených</w:t>
                  </w:r>
                  <w:r>
                    <w:rPr>
                      <w:spacing w:val="-7"/>
                    </w:rPr>
                    <w:t> </w:t>
                  </w:r>
                  <w:r>
                    <w:rPr/>
                    <w:t>vad bez</w:t>
                  </w:r>
                  <w:r>
                    <w:rPr>
                      <w:spacing w:val="-15"/>
                    </w:rPr>
                    <w:t> </w:t>
                  </w:r>
                  <w:r>
                    <w:rPr/>
                    <w:t>zbytečného</w:t>
                  </w:r>
                  <w:r>
                    <w:rPr>
                      <w:spacing w:val="-6"/>
                    </w:rPr>
                    <w:t> </w:t>
                  </w:r>
                  <w:r>
                    <w:rPr/>
                    <w:t>odkladu</w:t>
                  </w:r>
                  <w:r>
                    <w:rPr>
                      <w:spacing w:val="-7"/>
                    </w:rPr>
                    <w:t> </w:t>
                  </w:r>
                  <w:r>
                    <w:rPr/>
                    <w:t>a</w:t>
                  </w:r>
                  <w:r>
                    <w:rPr>
                      <w:spacing w:val="-10"/>
                    </w:rPr>
                    <w:t> </w:t>
                  </w:r>
                  <w:r>
                    <w:rPr/>
                    <w:t>bez</w:t>
                  </w:r>
                  <w:r>
                    <w:rPr>
                      <w:spacing w:val="-14"/>
                    </w:rPr>
                    <w:t> </w:t>
                  </w:r>
                  <w:r>
                    <w:rPr/>
                    <w:t>zbytečného</w:t>
                  </w:r>
                  <w:r>
                    <w:rPr>
                      <w:spacing w:val="-8"/>
                    </w:rPr>
                    <w:t> </w:t>
                  </w:r>
                  <w:r>
                    <w:rPr/>
                    <w:t>odkladu</w:t>
                  </w:r>
                  <w:r>
                    <w:rPr>
                      <w:spacing w:val="-8"/>
                    </w:rPr>
                    <w:t> </w:t>
                  </w:r>
                  <w:r>
                    <w:rPr/>
                    <w:t>tyto</w:t>
                  </w:r>
                  <w:r>
                    <w:rPr>
                      <w:spacing w:val="-13"/>
                    </w:rPr>
                    <w:t> </w:t>
                  </w:r>
                  <w:r>
                    <w:rPr/>
                    <w:t>odstranit, a</w:t>
                  </w:r>
                  <w:r>
                    <w:rPr>
                      <w:spacing w:val="-7"/>
                    </w:rPr>
                    <w:t> </w:t>
                  </w:r>
                  <w:r>
                    <w:rPr/>
                    <w:t>to</w:t>
                  </w:r>
                  <w:r>
                    <w:rPr>
                      <w:spacing w:val="-7"/>
                    </w:rPr>
                    <w:t> </w:t>
                  </w:r>
                  <w:r>
                    <w:rPr/>
                    <w:t>na</w:t>
                  </w:r>
                  <w:r>
                    <w:rPr>
                      <w:spacing w:val="-10"/>
                    </w:rPr>
                    <w:t> </w:t>
                  </w:r>
                  <w:r>
                    <w:rPr/>
                    <w:t>své</w:t>
                  </w:r>
                  <w:r>
                    <w:rPr>
                      <w:spacing w:val="-7"/>
                    </w:rPr>
                    <w:t> </w:t>
                  </w:r>
                  <w:r>
                    <w:rPr/>
                    <w:t>náklady.</w:t>
                  </w:r>
                  <w:r>
                    <w:rPr>
                      <w:spacing w:val="-2"/>
                    </w:rPr>
                    <w:t> </w:t>
                  </w:r>
                  <w:r>
                    <w:rPr/>
                    <w:t>V</w:t>
                  </w:r>
                  <w:r>
                    <w:rPr>
                      <w:spacing w:val="-11"/>
                    </w:rPr>
                    <w:t> </w:t>
                  </w:r>
                  <w:r>
                    <w:rPr/>
                    <w:t>případě,</w:t>
                  </w:r>
                  <w:r>
                    <w:rPr>
                      <w:spacing w:val="-2"/>
                    </w:rPr>
                    <w:t> </w:t>
                  </w:r>
                  <w:r>
                    <w:rPr/>
                    <w:t>že</w:t>
                  </w:r>
                  <w:r>
                    <w:rPr>
                      <w:spacing w:val="-12"/>
                    </w:rPr>
                    <w:t> </w:t>
                  </w:r>
                  <w:r>
                    <w:rPr/>
                    <w:t>se</w:t>
                  </w:r>
                  <w:r>
                    <w:rPr>
                      <w:spacing w:val="-7"/>
                    </w:rPr>
                    <w:t> </w:t>
                  </w:r>
                  <w:r>
                    <w:rPr/>
                    <w:t>strany</w:t>
                  </w:r>
                  <w:r>
                    <w:rPr>
                      <w:spacing w:val="-7"/>
                    </w:rPr>
                    <w:t> </w:t>
                  </w:r>
                  <w:r>
                    <w:rPr/>
                    <w:t>nedohodnou</w:t>
                  </w:r>
                  <w:r>
                    <w:rPr>
                      <w:spacing w:val="-16"/>
                    </w:rPr>
                    <w:t> </w:t>
                  </w:r>
                  <w:r>
                    <w:rPr/>
                    <w:t>jinak,</w:t>
                  </w:r>
                  <w:r>
                    <w:rPr>
                      <w:spacing w:val="-11"/>
                    </w:rPr>
                    <w:t> </w:t>
                  </w:r>
                  <w:r>
                    <w:rPr/>
                    <w:t>je</w:t>
                  </w:r>
                  <w:r>
                    <w:rPr>
                      <w:spacing w:val="-13"/>
                    </w:rPr>
                    <w:t> </w:t>
                  </w:r>
                  <w:r>
                    <w:rPr/>
                    <w:t>Zhotovitel</w:t>
                  </w:r>
                  <w:r>
                    <w:rPr>
                      <w:spacing w:val="-4"/>
                    </w:rPr>
                    <w:t> </w:t>
                  </w:r>
                  <w:r>
                    <w:rPr/>
                    <w:t>povinen</w:t>
                  </w:r>
                  <w:r>
                    <w:rPr>
                      <w:spacing w:val="-9"/>
                    </w:rPr>
                    <w:t> </w:t>
                  </w:r>
                  <w:r>
                    <w:rPr/>
                    <w:t>odstranit</w:t>
                  </w:r>
                  <w:r>
                    <w:rPr>
                      <w:spacing w:val="-6"/>
                    </w:rPr>
                    <w:t> </w:t>
                  </w:r>
                  <w:r>
                    <w:rPr/>
                    <w:t>vady vždy nejpozději do 30 dnů od nahlášeni. Nebude-li možno konkrétní vadu ve stanovené lhůtě odstranit, mohou Smluvní strany na základě písemné dohody tuto lhůtu prodloužit o přiměřenou dobu, nutnou k odstranění takové vady. Zhotovitel je povinen odstranit vadu i v případě, kdy neuznává, že za vady odpovídá, ve sporných případech nese zhotovitel náklady až do rozhodnutí o</w:t>
                  </w:r>
                  <w:r>
                    <w:rPr>
                      <w:spacing w:val="-26"/>
                    </w:rPr>
                    <w:t> </w:t>
                  </w:r>
                  <w:r>
                    <w:rPr/>
                    <w:t>reklamaci.</w:t>
                  </w:r>
                </w:p>
              </w:txbxContent>
            </v:textbox>
            <w10:wrap type="none"/>
          </v:shape>
        </w:pict>
      </w:r>
      <w:r>
        <w:rPr/>
        <w:pict>
          <v:group style="position:absolute;margin-left:0pt;margin-top:0pt;width:595.1pt;height:841.7pt;mso-position-horizontal-relative:page;mso-position-vertical-relative:page;z-index:-7168" coordorigin="0,0" coordsize="11902,16834">
            <v:shape style="position:absolute;left:0;top:0;width:11902;height:16834" type="#_x0000_t75" stroked="false">
              <v:imagedata r:id="rId10" o:title=""/>
            </v:shape>
            <v:shape style="position:absolute;left:1843;top:922;width:1570;height:1080" type="#_x0000_t75" stroked="false">
              <v:imagedata r:id="rId11" o:title=""/>
            </v:shape>
            <v:shape style="position:absolute;left:10901;top:389;width:742;height:1303" type="#_x0000_t75" stroked="false">
              <v:imagedata r:id="rId12"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606.25pt;height:849.6pt;mso-position-horizontal-relative:page;mso-position-vertical-relative:page;z-index:-7144" type="#_x0000_t202" filled="false" stroked="false">
            <v:textbox inset="0,0,0,0">
              <w:txbxContent>
                <w:p>
                  <w:pPr>
                    <w:pStyle w:val="BodyText"/>
                    <w:rPr>
                      <w:rFonts w:ascii="Times New Roman"/>
                      <w:sz w:val="34"/>
                    </w:rPr>
                  </w:pPr>
                </w:p>
                <w:p>
                  <w:pPr>
                    <w:pStyle w:val="BodyText"/>
                    <w:rPr>
                      <w:rFonts w:ascii="Times New Roman"/>
                      <w:sz w:val="34"/>
                    </w:rPr>
                  </w:pPr>
                </w:p>
                <w:p>
                  <w:pPr>
                    <w:tabs>
                      <w:tab w:pos="3541" w:val="left" w:leader="none"/>
                    </w:tabs>
                    <w:spacing w:before="261"/>
                    <w:ind w:left="2498" w:right="0" w:firstLine="0"/>
                    <w:jc w:val="left"/>
                    <w:rPr>
                      <w:b/>
                      <w:sz w:val="30"/>
                    </w:rPr>
                  </w:pPr>
                  <w:r>
                    <w:rPr>
                      <w:b/>
                      <w:w w:val="95"/>
                      <w:sz w:val="30"/>
                    </w:rPr>
                    <w:t>,</w:t>
                  </w:r>
                  <w:r>
                    <w:rPr>
                      <w:b/>
                      <w:spacing w:val="-6"/>
                      <w:w w:val="95"/>
                      <w:sz w:val="30"/>
                    </w:rPr>
                    <w:t> </w:t>
                  </w:r>
                  <w:r>
                    <w:rPr>
                      <w:b/>
                      <w:w w:val="85"/>
                      <w:sz w:val="30"/>
                    </w:rPr>
                    <w:t>*</w:t>
                  </w:r>
                  <w:r>
                    <w:rPr>
                      <w:b/>
                      <w:spacing w:val="2"/>
                      <w:w w:val="85"/>
                      <w:sz w:val="30"/>
                    </w:rPr>
                    <w:t> </w:t>
                  </w:r>
                  <w:r>
                    <w:rPr>
                      <w:b/>
                      <w:w w:val="85"/>
                      <w:sz w:val="30"/>
                    </w:rPr>
                    <w:t>*</w:t>
                    <w:tab/>
                  </w:r>
                  <w:r>
                    <w:rPr>
                      <w:b/>
                      <w:w w:val="95"/>
                      <w:sz w:val="30"/>
                    </w:rPr>
                    <w:t>Financováno</w:t>
                  </w:r>
                </w:p>
                <w:p>
                  <w:pPr>
                    <w:tabs>
                      <w:tab w:pos="809" w:val="left" w:leader="none"/>
                      <w:tab w:pos="1478" w:val="left" w:leader="none"/>
                      <w:tab w:pos="5352" w:val="left" w:leader="none"/>
                    </w:tabs>
                    <w:spacing w:before="7"/>
                    <w:ind w:left="211" w:right="0" w:firstLine="0"/>
                    <w:jc w:val="center"/>
                    <w:rPr>
                      <w:b/>
                      <w:sz w:val="22"/>
                    </w:rPr>
                  </w:pPr>
                  <w:r>
                    <w:rPr>
                      <w:b/>
                      <w:position w:val="10"/>
                      <w:sz w:val="30"/>
                    </w:rPr>
                    <w:t>{</w:t>
                    <w:tab/>
                    <w:t>;</w:t>
                    <w:tab/>
                    <w:t>Evropskou</w:t>
                  </w:r>
                  <w:r>
                    <w:rPr>
                      <w:b/>
                      <w:spacing w:val="38"/>
                      <w:position w:val="10"/>
                      <w:sz w:val="30"/>
                    </w:rPr>
                    <w:t> </w:t>
                  </w:r>
                  <w:r>
                    <w:rPr>
                      <w:b/>
                      <w:position w:val="10"/>
                      <w:sz w:val="30"/>
                    </w:rPr>
                    <w:t>unií</w:t>
                    <w:tab/>
                  </w:r>
                  <w:r>
                    <w:rPr>
                      <w:b/>
                      <w:w w:val="75"/>
                      <w:sz w:val="22"/>
                    </w:rPr>
                    <w:t>Ministerstvo životního</w:t>
                  </w:r>
                  <w:r>
                    <w:rPr>
                      <w:b/>
                      <w:spacing w:val="23"/>
                      <w:w w:val="75"/>
                      <w:sz w:val="22"/>
                    </w:rPr>
                    <w:t> </w:t>
                  </w:r>
                  <w:r>
                    <w:rPr>
                      <w:b/>
                      <w:w w:val="75"/>
                      <w:sz w:val="22"/>
                    </w:rPr>
                    <w:t>prostředí</w:t>
                  </w:r>
                </w:p>
                <w:p>
                  <w:pPr>
                    <w:tabs>
                      <w:tab w:pos="3541" w:val="left" w:leader="none"/>
                    </w:tabs>
                    <w:spacing w:before="16"/>
                    <w:ind w:left="2498" w:right="0" w:firstLine="0"/>
                    <w:jc w:val="left"/>
                    <w:rPr>
                      <w:sz w:val="26"/>
                    </w:rPr>
                  </w:pPr>
                  <w:r>
                    <w:rPr>
                      <w:w w:val="85"/>
                      <w:sz w:val="26"/>
                    </w:rPr>
                    <w:t>*</w:t>
                  </w:r>
                  <w:r>
                    <w:rPr>
                      <w:spacing w:val="22"/>
                      <w:w w:val="85"/>
                      <w:sz w:val="26"/>
                    </w:rPr>
                    <w:t> </w:t>
                  </w:r>
                  <w:r>
                    <w:rPr>
                      <w:w w:val="85"/>
                      <w:sz w:val="26"/>
                    </w:rPr>
                    <w:t>*</w:t>
                  </w:r>
                  <w:r>
                    <w:rPr>
                      <w:spacing w:val="8"/>
                      <w:w w:val="85"/>
                      <w:sz w:val="26"/>
                    </w:rPr>
                    <w:t> </w:t>
                  </w:r>
                  <w:r>
                    <w:rPr>
                      <w:w w:val="85"/>
                      <w:sz w:val="26"/>
                    </w:rPr>
                    <w:t>*</w:t>
                    <w:tab/>
                  </w:r>
                  <w:r>
                    <w:rPr>
                      <w:w w:val="95"/>
                      <w:sz w:val="26"/>
                    </w:rPr>
                    <w:t>NextGenerationEU</w:t>
                  </w:r>
                </w:p>
                <w:p>
                  <w:pPr>
                    <w:pStyle w:val="BodyText"/>
                    <w:rPr>
                      <w:rFonts w:ascii="Times New Roman"/>
                      <w:sz w:val="40"/>
                    </w:rPr>
                  </w:pPr>
                </w:p>
                <w:p>
                  <w:pPr>
                    <w:pStyle w:val="BodyText"/>
                    <w:spacing w:line="244" w:lineRule="auto"/>
                    <w:ind w:left="2160" w:right="1610" w:hanging="410"/>
                  </w:pPr>
                  <w:r>
                    <w:rPr/>
                    <w:t>4. V případě, že objednatel bude požadovat odstranění vady zhotovitelem a zhotovitel nezačne s odstraňováním nahlášených vad bez zbytečného odkladu, nebo tyto neodstraní ve Ihůtě stanovené dle odst. 2 tohoto článku smlouvy, je objednatel oprávněn odstranit tyto vady sám nebo prostřednictvím třetích osob, a to na náklady zhotovitele.</w:t>
                  </w:r>
                </w:p>
                <w:p>
                  <w:pPr>
                    <w:pStyle w:val="BodyText"/>
                    <w:spacing w:before="9"/>
                    <w:rPr>
                      <w:rFonts w:ascii="Times New Roman"/>
                      <w:sz w:val="29"/>
                    </w:rPr>
                  </w:pPr>
                </w:p>
                <w:p>
                  <w:pPr>
                    <w:spacing w:line="216" w:lineRule="exact" w:before="0"/>
                    <w:ind w:left="4846" w:right="4672" w:firstLine="878"/>
                    <w:jc w:val="left"/>
                    <w:rPr>
                      <w:b/>
                      <w:sz w:val="19"/>
                    </w:rPr>
                  </w:pPr>
                  <w:r>
                    <w:rPr>
                      <w:b/>
                      <w:sz w:val="19"/>
                    </w:rPr>
                    <w:t>Článek X. ODSTOUPENÍ OD SMLOUVY</w:t>
                  </w:r>
                </w:p>
                <w:p>
                  <w:pPr>
                    <w:pStyle w:val="BodyText"/>
                    <w:spacing w:line="244" w:lineRule="auto" w:before="124"/>
                    <w:ind w:left="2166" w:right="1694" w:hanging="396"/>
                    <w:jc w:val="both"/>
                  </w:pPr>
                  <w:r>
                    <w:rPr/>
                    <w:t>1. Smluvní strany jsou oprávněny od smlouvy odstoupit v případech stanovených  touto smlouvou  nebo</w:t>
                  </w:r>
                  <w:r>
                    <w:rPr>
                      <w:spacing w:val="-15"/>
                    </w:rPr>
                    <w:t> </w:t>
                  </w:r>
                  <w:r>
                    <w:rPr/>
                    <w:t>občanským</w:t>
                  </w:r>
                  <w:r>
                    <w:rPr>
                      <w:spacing w:val="-12"/>
                    </w:rPr>
                    <w:t> </w:t>
                  </w:r>
                  <w:r>
                    <w:rPr/>
                    <w:t>zákoníkem.</w:t>
                  </w:r>
                  <w:r>
                    <w:rPr>
                      <w:spacing w:val="-3"/>
                    </w:rPr>
                    <w:t> </w:t>
                  </w:r>
                  <w:r>
                    <w:rPr/>
                    <w:t>Odstoupení</w:t>
                  </w:r>
                  <w:r>
                    <w:rPr>
                      <w:spacing w:val="-10"/>
                    </w:rPr>
                    <w:t> </w:t>
                  </w:r>
                  <w:r>
                    <w:rPr/>
                    <w:t>od</w:t>
                  </w:r>
                  <w:r>
                    <w:rPr>
                      <w:spacing w:val="-9"/>
                    </w:rPr>
                    <w:t> </w:t>
                  </w:r>
                  <w:r>
                    <w:rPr/>
                    <w:t>smlouvy</w:t>
                  </w:r>
                  <w:r>
                    <w:rPr>
                      <w:spacing w:val="-7"/>
                    </w:rPr>
                    <w:t> </w:t>
                  </w:r>
                  <w:r>
                    <w:rPr/>
                    <w:t>musí</w:t>
                  </w:r>
                  <w:r>
                    <w:rPr>
                      <w:spacing w:val="-6"/>
                    </w:rPr>
                    <w:t> </w:t>
                  </w:r>
                  <w:r>
                    <w:rPr/>
                    <w:t>být</w:t>
                  </w:r>
                  <w:r>
                    <w:rPr>
                      <w:spacing w:val="-13"/>
                    </w:rPr>
                    <w:t> </w:t>
                  </w:r>
                  <w:r>
                    <w:rPr/>
                    <w:t>písemné</w:t>
                  </w:r>
                  <w:r>
                    <w:rPr>
                      <w:spacing w:val="-10"/>
                    </w:rPr>
                    <w:t> </w:t>
                  </w:r>
                  <w:r>
                    <w:rPr/>
                    <w:t>a</w:t>
                  </w:r>
                  <w:r>
                    <w:rPr>
                      <w:spacing w:val="-6"/>
                    </w:rPr>
                    <w:t> </w:t>
                  </w:r>
                  <w:r>
                    <w:rPr/>
                    <w:t>musí</w:t>
                  </w:r>
                  <w:r>
                    <w:rPr>
                      <w:spacing w:val="-9"/>
                    </w:rPr>
                    <w:t> </w:t>
                  </w:r>
                  <w:r>
                    <w:rPr/>
                    <w:t>být</w:t>
                  </w:r>
                  <w:r>
                    <w:rPr>
                      <w:spacing w:val="-19"/>
                    </w:rPr>
                    <w:t> </w:t>
                  </w:r>
                  <w:r>
                    <w:rPr/>
                    <w:t>doručeno</w:t>
                  </w:r>
                  <w:r>
                    <w:rPr>
                      <w:spacing w:val="-15"/>
                    </w:rPr>
                    <w:t> </w:t>
                  </w:r>
                  <w:r>
                    <w:rPr/>
                    <w:t>druhé smluvní</w:t>
                  </w:r>
                  <w:r>
                    <w:rPr>
                      <w:spacing w:val="-23"/>
                    </w:rPr>
                    <w:t> </w:t>
                  </w:r>
                  <w:r>
                    <w:rPr/>
                    <w:t>straně.</w:t>
                  </w:r>
                </w:p>
                <w:p>
                  <w:pPr>
                    <w:pStyle w:val="BodyText"/>
                    <w:spacing w:line="242" w:lineRule="auto" w:before="109"/>
                    <w:ind w:left="2159" w:right="1693" w:hanging="403"/>
                    <w:jc w:val="both"/>
                  </w:pPr>
                  <w:r>
                    <w:rPr/>
                    <w:t>2. Objednatel je oprávněn odstoupit od smlouvy </w:t>
                  </w:r>
                  <w:r>
                    <w:rPr>
                      <w:w w:val="90"/>
                    </w:rPr>
                    <w:t>i </w:t>
                  </w:r>
                  <w:r>
                    <w:rPr/>
                    <w:t>tehdy, jestliže ze všech okolnosti je zřejmé, že zhotovitel z jakýchkoliv důvodů, které nastaly od podpisu této smlouvy, není objektivně schopen dílo zhotovit v požadovaném termínu a kvalitě. Objednatel je oprávněn odstoupit od smlouvy či její části </w:t>
                  </w:r>
                  <w:r>
                    <w:rPr>
                      <w:w w:val="90"/>
                    </w:rPr>
                    <w:t>i </w:t>
                  </w:r>
                  <w:r>
                    <w:rPr/>
                    <w:t>v případě, je-li se zhotovitelem zahájeno insolvenční řízení. Dále je objednatel oprávněn odstoupit od této smlouvy, pokud prováděni díla je v rozporu s kvalitativními parametry danými touto smlouvou.</w:t>
                  </w:r>
                </w:p>
                <w:p>
                  <w:pPr>
                    <w:pStyle w:val="BodyText"/>
                    <w:spacing w:line="244" w:lineRule="auto" w:before="111"/>
                    <w:ind w:left="2160" w:right="1689" w:hanging="403"/>
                    <w:jc w:val="both"/>
                  </w:pPr>
                  <w:r>
                    <w:rPr/>
                    <w:t>3. Ukončení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svojí povahou mají trvat i po ukončení této smlouvy.</w:t>
                  </w:r>
                </w:p>
                <w:p>
                  <w:pPr>
                    <w:pStyle w:val="BodyText"/>
                    <w:spacing w:before="9"/>
                    <w:rPr>
                      <w:rFonts w:ascii="Times New Roman"/>
                      <w:sz w:val="28"/>
                    </w:rPr>
                  </w:pPr>
                </w:p>
                <w:p>
                  <w:pPr>
                    <w:spacing w:line="217" w:lineRule="exact" w:before="0"/>
                    <w:ind w:left="151" w:right="0" w:firstLine="0"/>
                    <w:jc w:val="center"/>
                    <w:rPr>
                      <w:b/>
                      <w:sz w:val="19"/>
                    </w:rPr>
                  </w:pPr>
                  <w:r>
                    <w:rPr>
                      <w:b/>
                      <w:sz w:val="19"/>
                    </w:rPr>
                    <w:t>Článek XI.</w:t>
                  </w:r>
                </w:p>
                <w:p>
                  <w:pPr>
                    <w:spacing w:line="217" w:lineRule="exact" w:before="0"/>
                    <w:ind w:left="138" w:right="0" w:firstLine="0"/>
                    <w:jc w:val="center"/>
                    <w:rPr>
                      <w:b/>
                      <w:sz w:val="19"/>
                    </w:rPr>
                  </w:pPr>
                  <w:r>
                    <w:rPr>
                      <w:b/>
                      <w:sz w:val="19"/>
                    </w:rPr>
                    <w:t>SMLUVNÍ POKUTY A ÚROK Z PRODLENÍ</w:t>
                  </w:r>
                </w:p>
                <w:p>
                  <w:pPr>
                    <w:pStyle w:val="BodyText"/>
                    <w:spacing w:line="242" w:lineRule="auto" w:before="127"/>
                    <w:ind w:left="2095" w:right="1687" w:hanging="324"/>
                    <w:jc w:val="both"/>
                  </w:pPr>
                  <w:r>
                    <w:rPr/>
                    <w:t>1. V případě, že zhotovitel nedodrží dobu plnění díla, popř. jeho části, sjednané v této smlouvě, uhradí objednateli smluvní pokutu ve výši 0,2% z celkové ceny díla bez DPH za každý kalendářní den zpoždění. Tím však jeho povinnost splnit dílo ve sjednaném rozsahu není dotčena a dílo musí provést v dodatečně zhotovitelem stanovené přiměřené lhůté. Dobu plnění je možné upravit dohodou smluvních stran.</w:t>
                  </w:r>
                </w:p>
                <w:p>
                  <w:pPr>
                    <w:pStyle w:val="BodyText"/>
                    <w:spacing w:line="244" w:lineRule="auto" w:before="109"/>
                    <w:ind w:left="2088" w:right="1696" w:hanging="331"/>
                    <w:jc w:val="both"/>
                  </w:pPr>
                  <w:r>
                    <w:rPr/>
                    <w:t>2.  V případě prodlení některé smluvní strany s úhradou svého peněžního závazku dle této smlouvy,   je druhá smluvní strana oprávněna požadovat po povinné smluvní straně zaplacení smluvní pokuty ve výši 0,05 % z dlužné částky za každý i započatý den</w:t>
                  </w:r>
                  <w:r>
                    <w:rPr>
                      <w:spacing w:val="-22"/>
                    </w:rPr>
                    <w:t> </w:t>
                  </w:r>
                  <w:r>
                    <w:rPr/>
                    <w:t>prodlení.</w:t>
                  </w:r>
                </w:p>
                <w:p>
                  <w:pPr>
                    <w:pStyle w:val="BodyText"/>
                    <w:spacing w:before="108"/>
                    <w:ind w:left="2101" w:right="1695" w:hanging="338"/>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line="244" w:lineRule="auto" w:before="119"/>
                    <w:ind w:left="2101" w:right="1694" w:hanging="345"/>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line="244" w:lineRule="auto" w:before="101"/>
                    <w:ind w:left="2095" w:right="1696" w:hanging="331"/>
                    <w:jc w:val="both"/>
                  </w:pPr>
                  <w:r>
                    <w:rPr/>
                    <w:t>5. V případě, že objednateli vznikne nárok na smluvní pokutu dle této smlouvy vůči zhotoviteli, je objednatel</w:t>
                  </w:r>
                  <w:r>
                    <w:rPr>
                      <w:spacing w:val="-29"/>
                    </w:rPr>
                    <w:t> </w:t>
                  </w:r>
                  <w:r>
                    <w:rPr/>
                    <w:t>oprávněn</w:t>
                  </w:r>
                  <w:r>
                    <w:rPr>
                      <w:spacing w:val="-31"/>
                    </w:rPr>
                    <w:t> </w:t>
                  </w:r>
                  <w:r>
                    <w:rPr/>
                    <w:t>započíst</w:t>
                  </w:r>
                  <w:r>
                    <w:rPr>
                      <w:spacing w:val="-34"/>
                    </w:rPr>
                    <w:t> </w:t>
                  </w:r>
                  <w:r>
                    <w:rPr/>
                    <w:t>si</w:t>
                  </w:r>
                  <w:r>
                    <w:rPr>
                      <w:spacing w:val="-34"/>
                    </w:rPr>
                    <w:t> </w:t>
                  </w:r>
                  <w:r>
                    <w:rPr/>
                    <w:t>částku</w:t>
                  </w:r>
                  <w:r>
                    <w:rPr>
                      <w:spacing w:val="-31"/>
                    </w:rPr>
                    <w:t> </w:t>
                  </w:r>
                  <w:r>
                    <w:rPr/>
                    <w:t>odpovídající</w:t>
                  </w:r>
                  <w:r>
                    <w:rPr>
                      <w:spacing w:val="-27"/>
                    </w:rPr>
                    <w:t> </w:t>
                  </w:r>
                  <w:r>
                    <w:rPr/>
                    <w:t>smluvní</w:t>
                  </w:r>
                  <w:r>
                    <w:rPr>
                      <w:spacing w:val="-27"/>
                    </w:rPr>
                    <w:t> </w:t>
                  </w:r>
                  <w:r>
                    <w:rPr/>
                    <w:t>pokutě</w:t>
                  </w:r>
                  <w:r>
                    <w:rPr>
                      <w:spacing w:val="-29"/>
                    </w:rPr>
                    <w:t> </w:t>
                  </w:r>
                  <w:r>
                    <w:rPr/>
                    <w:t>proti</w:t>
                  </w:r>
                  <w:r>
                    <w:rPr>
                      <w:spacing w:val="-35"/>
                    </w:rPr>
                    <w:t> </w:t>
                  </w:r>
                  <w:r>
                    <w:rPr/>
                    <w:t>jakémukoliv</w:t>
                  </w:r>
                  <w:r>
                    <w:rPr>
                      <w:spacing w:val="-31"/>
                    </w:rPr>
                    <w:t> </w:t>
                  </w:r>
                  <w:r>
                    <w:rPr/>
                    <w:t>účetního</w:t>
                  </w:r>
                  <w:r>
                    <w:rPr>
                      <w:spacing w:val="-30"/>
                    </w:rPr>
                    <w:t> </w:t>
                  </w:r>
                  <w:r>
                    <w:rPr/>
                    <w:t>dokladu zhotovitele</w:t>
                  </w:r>
                  <w:r>
                    <w:rPr>
                      <w:spacing w:val="-19"/>
                    </w:rPr>
                    <w:t> </w:t>
                  </w:r>
                  <w:r>
                    <w:rPr/>
                    <w:t>a</w:t>
                  </w:r>
                  <w:r>
                    <w:rPr>
                      <w:spacing w:val="-20"/>
                    </w:rPr>
                    <w:t> </w:t>
                  </w:r>
                  <w:r>
                    <w:rPr/>
                    <w:t>snížit</w:t>
                  </w:r>
                  <w:r>
                    <w:rPr>
                      <w:spacing w:val="-23"/>
                    </w:rPr>
                    <w:t> </w:t>
                  </w:r>
                  <w:r>
                    <w:rPr/>
                    <w:t>o</w:t>
                  </w:r>
                  <w:r>
                    <w:rPr>
                      <w:spacing w:val="-19"/>
                    </w:rPr>
                    <w:t> </w:t>
                  </w:r>
                  <w:r>
                    <w:rPr/>
                    <w:t>ni</w:t>
                  </w:r>
                  <w:r>
                    <w:rPr>
                      <w:spacing w:val="-23"/>
                    </w:rPr>
                    <w:t> </w:t>
                  </w:r>
                  <w:r>
                    <w:rPr/>
                    <w:t>sjednanou</w:t>
                  </w:r>
                  <w:r>
                    <w:rPr>
                      <w:spacing w:val="-22"/>
                    </w:rPr>
                    <w:t> </w:t>
                  </w:r>
                  <w:r>
                    <w:rPr/>
                    <w:t>cenu</w:t>
                  </w:r>
                  <w:r>
                    <w:rPr>
                      <w:spacing w:val="-19"/>
                    </w:rPr>
                    <w:t> </w:t>
                  </w:r>
                  <w:r>
                    <w:rPr/>
                    <w:t>díla.</w:t>
                  </w:r>
                </w:p>
                <w:p>
                  <w:pPr>
                    <w:pStyle w:val="BodyText"/>
                    <w:spacing w:before="9"/>
                    <w:rPr>
                      <w:rFonts w:ascii="Times New Roman"/>
                      <w:sz w:val="29"/>
                    </w:rPr>
                  </w:pPr>
                </w:p>
                <w:p>
                  <w:pPr>
                    <w:spacing w:line="216" w:lineRule="exact" w:before="1"/>
                    <w:ind w:left="4888" w:right="4736" w:firstLine="777"/>
                    <w:jc w:val="left"/>
                    <w:rPr>
                      <w:b/>
                      <w:sz w:val="19"/>
                    </w:rPr>
                  </w:pPr>
                  <w:r>
                    <w:rPr>
                      <w:b/>
                      <w:sz w:val="19"/>
                    </w:rPr>
                    <w:t>Článek XII. ZÁVĚREČNÁ USTANOVENÍ</w:t>
                  </w:r>
                </w:p>
                <w:p>
                  <w:pPr>
                    <w:pStyle w:val="BodyText"/>
                    <w:spacing w:line="252" w:lineRule="auto" w:before="117"/>
                    <w:ind w:left="2095" w:right="1692" w:hanging="325"/>
                    <w:jc w:val="both"/>
                  </w:pPr>
                  <w:r>
                    <w:rPr/>
                    <w:t>1. Tato smlouva a práva a povinnosti z ní vyplývající se řídí příslušnými ustanoveními občanského zákoníku.</w:t>
                  </w:r>
                </w:p>
                <w:p>
                  <w:pPr>
                    <w:pStyle w:val="BodyText"/>
                    <w:spacing w:line="244" w:lineRule="auto" w:before="94"/>
                    <w:ind w:left="2101" w:right="1693" w:hanging="338"/>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nepiatné/neúčinné novým ustanovením platným/účinným, které nejlépe odpovídá původně zamýšlenému účelu ustanovení neplatného/neúčinného.</w:t>
                  </w:r>
                </w:p>
              </w:txbxContent>
            </v:textbox>
            <w10:wrap type="none"/>
          </v:shape>
        </w:pict>
      </w:r>
      <w:r>
        <w:rPr/>
        <w:pict>
          <v:group style="position:absolute;margin-left:0pt;margin-top:0pt;width:606.25pt;height:849.6pt;mso-position-horizontal-relative:page;mso-position-vertical-relative:page;z-index:-7120" coordorigin="0,0" coordsize="12125,16992">
            <v:shape style="position:absolute;left:0;top:0;width:12125;height:16992" type="#_x0000_t75" stroked="false">
              <v:imagedata r:id="rId13" o:title=""/>
            </v:shape>
            <v:shape style="position:absolute;left:497;top:346;width:821;height:1447" type="#_x0000_t75" stroked="false">
              <v:imagedata r:id="rId14" o:title=""/>
            </v:shape>
            <w10:wrap type="none"/>
          </v:group>
        </w:pict>
      </w:r>
    </w:p>
    <w:p>
      <w:pPr>
        <w:spacing w:after="0"/>
        <w:rPr>
          <w:rFonts w:ascii="Times New Roman"/>
          <w:sz w:val="17"/>
        </w:rPr>
        <w:sectPr>
          <w:pgSz w:w="12130" w:h="17000"/>
          <w:pgMar w:top="1600" w:bottom="280" w:left="1700" w:right="1700"/>
        </w:sectPr>
      </w:pPr>
    </w:p>
    <w:p>
      <w:pPr>
        <w:pStyle w:val="BodyText"/>
        <w:spacing w:before="4"/>
        <w:rPr>
          <w:rFonts w:ascii="Times New Roman"/>
          <w:sz w:val="17"/>
        </w:rPr>
      </w:pPr>
      <w:r>
        <w:rPr/>
        <w:pict>
          <v:shape style="position:absolute;margin-left:0pt;margin-top:0pt;width:597.6pt;height:843.5pt;mso-position-horizontal-relative:page;mso-position-vertical-relative:page;z-index:-7096" type="#_x0000_t202" filled="false" stroked="false">
            <v:textbox inset="0,0,0,0">
              <w:txbxContent>
                <w:p>
                  <w:pPr>
                    <w:pStyle w:val="BodyText"/>
                    <w:rPr>
                      <w:rFonts w:ascii="Times New Roman"/>
                      <w:sz w:val="34"/>
                    </w:rPr>
                  </w:pPr>
                </w:p>
                <w:p>
                  <w:pPr>
                    <w:pStyle w:val="BodyText"/>
                    <w:spacing w:before="11"/>
                    <w:rPr>
                      <w:rFonts w:ascii="Times New Roman"/>
                      <w:sz w:val="47"/>
                    </w:rPr>
                  </w:pPr>
                </w:p>
                <w:p>
                  <w:pPr>
                    <w:tabs>
                      <w:tab w:pos="3592" w:val="left" w:leader="none"/>
                    </w:tabs>
                    <w:spacing w:line="293" w:lineRule="exact" w:before="0"/>
                    <w:ind w:left="2484" w:right="0" w:firstLine="0"/>
                    <w:jc w:val="left"/>
                    <w:rPr>
                      <w:b/>
                      <w:sz w:val="30"/>
                    </w:rPr>
                  </w:pPr>
                  <w:r>
                    <w:rPr>
                      <w:position w:val="-1"/>
                      <w:sz w:val="19"/>
                    </w:rPr>
                    <w:t>*</w:t>
                  </w:r>
                  <w:r>
                    <w:rPr>
                      <w:spacing w:val="31"/>
                      <w:position w:val="-1"/>
                      <w:sz w:val="19"/>
                    </w:rPr>
                    <w:t> </w:t>
                  </w:r>
                  <w:r>
                    <w:rPr>
                      <w:position w:val="2"/>
                      <w:sz w:val="19"/>
                    </w:rPr>
                    <w:t>*</w:t>
                  </w:r>
                  <w:r>
                    <w:rPr>
                      <w:spacing w:val="-16"/>
                      <w:position w:val="2"/>
                      <w:sz w:val="19"/>
                    </w:rPr>
                    <w:t> </w:t>
                  </w:r>
                  <w:r>
                    <w:rPr>
                      <w:w w:val="180"/>
                      <w:position w:val="-1"/>
                      <w:sz w:val="8"/>
                    </w:rPr>
                    <w:t>*</w:t>
                    <w:tab/>
                  </w:r>
                  <w:r>
                    <w:rPr>
                      <w:b/>
                      <w:sz w:val="30"/>
                    </w:rPr>
                    <w:t>Financováno</w:t>
                  </w:r>
                </w:p>
                <w:p>
                  <w:pPr>
                    <w:tabs>
                      <w:tab w:pos="2915" w:val="left" w:leader="none"/>
                    </w:tabs>
                    <w:spacing w:line="122" w:lineRule="exact" w:before="0"/>
                    <w:ind w:left="2369" w:right="0" w:firstLine="0"/>
                    <w:jc w:val="left"/>
                    <w:rPr>
                      <w:sz w:val="19"/>
                    </w:rPr>
                  </w:pPr>
                  <w:r>
                    <w:rPr>
                      <w:w w:val="190"/>
                      <w:sz w:val="8"/>
                    </w:rPr>
                    <w:t>*</w:t>
                    <w:tab/>
                  </w:r>
                  <w:r>
                    <w:rPr>
                      <w:w w:val="105"/>
                      <w:sz w:val="19"/>
                    </w:rPr>
                    <w:t>*</w:t>
                  </w:r>
                </w:p>
                <w:p>
                  <w:pPr>
                    <w:tabs>
                      <w:tab w:pos="5419" w:val="left" w:leader="none"/>
                    </w:tabs>
                    <w:spacing w:line="370" w:lineRule="exact" w:before="0"/>
                    <w:ind w:left="1582" w:right="0" w:firstLine="0"/>
                    <w:jc w:val="center"/>
                    <w:rPr>
                      <w:b/>
                      <w:sz w:val="22"/>
                    </w:rPr>
                  </w:pPr>
                  <w:r>
                    <w:rPr>
                      <w:b/>
                      <w:w w:val="95"/>
                      <w:position w:val="9"/>
                      <w:sz w:val="30"/>
                    </w:rPr>
                    <w:t>Evropskou</w:t>
                  </w:r>
                  <w:r>
                    <w:rPr>
                      <w:b/>
                      <w:spacing w:val="70"/>
                      <w:w w:val="95"/>
                      <w:position w:val="9"/>
                      <w:sz w:val="30"/>
                    </w:rPr>
                    <w:t> </w:t>
                  </w:r>
                  <w:r>
                    <w:rPr>
                      <w:b/>
                      <w:w w:val="95"/>
                      <w:position w:val="9"/>
                      <w:sz w:val="30"/>
                    </w:rPr>
                    <w:t>unií</w:t>
                    <w:tab/>
                  </w:r>
                  <w:r>
                    <w:rPr>
                      <w:b/>
                      <w:w w:val="75"/>
                      <w:sz w:val="22"/>
                    </w:rPr>
                    <w:t>Ministerstvo životního</w:t>
                  </w:r>
                  <w:r>
                    <w:rPr>
                      <w:b/>
                      <w:spacing w:val="5"/>
                      <w:w w:val="75"/>
                      <w:sz w:val="22"/>
                    </w:rPr>
                    <w:t> </w:t>
                  </w:r>
                  <w:r>
                    <w:rPr>
                      <w:b/>
                      <w:w w:val="75"/>
                      <w:sz w:val="22"/>
                    </w:rPr>
                    <w:t>prostředí</w:t>
                  </w:r>
                </w:p>
                <w:p>
                  <w:pPr>
                    <w:spacing w:line="57" w:lineRule="exact" w:before="0"/>
                    <w:ind w:left="2476" w:right="0" w:firstLine="0"/>
                    <w:jc w:val="left"/>
                    <w:rPr>
                      <w:sz w:val="9"/>
                    </w:rPr>
                  </w:pPr>
                  <w:r>
                    <w:rPr>
                      <w:w w:val="185"/>
                      <w:sz w:val="9"/>
                    </w:rPr>
                    <w:t>*</w:t>
                  </w:r>
                </w:p>
                <w:p>
                  <w:pPr>
                    <w:spacing w:line="258" w:lineRule="exact" w:before="0"/>
                    <w:ind w:left="3593" w:right="0" w:firstLine="0"/>
                    <w:jc w:val="left"/>
                    <w:rPr>
                      <w:sz w:val="26"/>
                    </w:rPr>
                  </w:pPr>
                  <w:r>
                    <w:rPr>
                      <w:sz w:val="26"/>
                    </w:rPr>
                    <w:t>NextGenerationEU</w:t>
                  </w:r>
                </w:p>
                <w:p>
                  <w:pPr>
                    <w:pStyle w:val="BodyText"/>
                    <w:spacing w:before="2"/>
                    <w:rPr>
                      <w:rFonts w:ascii="Times New Roman"/>
                      <w:sz w:val="39"/>
                    </w:rPr>
                  </w:pPr>
                </w:p>
                <w:p>
                  <w:pPr>
                    <w:pStyle w:val="BodyText"/>
                    <w:spacing w:line="244" w:lineRule="auto"/>
                    <w:ind w:left="2088" w:right="1567" w:hanging="339"/>
                    <w:jc w:val="both"/>
                  </w:pPr>
                  <w:r>
                    <w:rPr/>
                    <w:t>3. Tato smlouva nabývá platnosti a účinnosti dnem podpisu obou smluvních stran. Smluvní strany tímto souhlasí se zveřejněním smlouvy a jejich</w:t>
                  </w:r>
                  <w:r>
                    <w:rPr>
                      <w:spacing w:val="-16"/>
                    </w:rPr>
                    <w:t> </w:t>
                  </w:r>
                  <w:r>
                    <w:rPr/>
                    <w:t>dodatků.</w:t>
                  </w:r>
                </w:p>
                <w:p>
                  <w:pPr>
                    <w:pStyle w:val="BodyText"/>
                    <w:spacing w:before="109"/>
                    <w:ind w:left="2087" w:right="1581" w:hanging="353"/>
                    <w:jc w:val="both"/>
                  </w:pPr>
                  <w:r>
                    <w:rPr/>
                    <w:t>4. Smluvní strany sjednávají, že měnit nebo doplňovat text smlouvy je možné pouze formou  písemných</w:t>
                  </w:r>
                  <w:r>
                    <w:rPr>
                      <w:spacing w:val="-2"/>
                    </w:rPr>
                    <w:t> </w:t>
                  </w:r>
                  <w:r>
                    <w:rPr/>
                    <w:t>dodatků</w:t>
                  </w:r>
                  <w:r>
                    <w:rPr>
                      <w:spacing w:val="2"/>
                    </w:rPr>
                    <w:t> </w:t>
                  </w:r>
                  <w:r>
                    <w:rPr/>
                    <w:t>podepsaných</w:t>
                  </w:r>
                  <w:r>
                    <w:rPr>
                      <w:spacing w:val="-13"/>
                    </w:rPr>
                    <w:t> </w:t>
                  </w:r>
                  <w:r>
                    <w:rPr/>
                    <w:t>oběma</w:t>
                  </w:r>
                  <w:r>
                    <w:rPr>
                      <w:spacing w:val="-6"/>
                    </w:rPr>
                    <w:t> </w:t>
                  </w:r>
                  <w:r>
                    <w:rPr/>
                    <w:t>smluvními</w:t>
                  </w:r>
                  <w:r>
                    <w:rPr>
                      <w:spacing w:val="-10"/>
                    </w:rPr>
                    <w:t> </w:t>
                  </w:r>
                  <w:r>
                    <w:rPr/>
                    <w:t>stranami.</w:t>
                  </w:r>
                  <w:r>
                    <w:rPr>
                      <w:spacing w:val="7"/>
                    </w:rPr>
                    <w:t> </w:t>
                  </w:r>
                  <w:r>
                    <w:rPr/>
                    <w:t>Možnost</w:t>
                  </w:r>
                  <w:r>
                    <w:rPr>
                      <w:spacing w:val="-11"/>
                    </w:rPr>
                    <w:t> </w:t>
                  </w:r>
                  <w:r>
                    <w:rPr/>
                    <w:t>měnit</w:t>
                  </w:r>
                  <w:r>
                    <w:rPr>
                      <w:spacing w:val="-16"/>
                    </w:rPr>
                    <w:t> </w:t>
                  </w:r>
                  <w:r>
                    <w:rPr/>
                    <w:t>smlouvu</w:t>
                  </w:r>
                  <w:r>
                    <w:rPr>
                      <w:spacing w:val="-20"/>
                    </w:rPr>
                    <w:t> </w:t>
                  </w:r>
                  <w:r>
                    <w:rPr/>
                    <w:t>jinou</w:t>
                  </w:r>
                  <w:r>
                    <w:rPr>
                      <w:spacing w:val="-16"/>
                    </w:rPr>
                    <w:t> </w:t>
                  </w:r>
                  <w:r>
                    <w:rPr/>
                    <w:t>formou smluvní strany</w:t>
                  </w:r>
                  <w:r>
                    <w:rPr>
                      <w:spacing w:val="-30"/>
                    </w:rPr>
                    <w:t> </w:t>
                  </w:r>
                  <w:r>
                    <w:rPr/>
                    <w:t>vylučují.</w:t>
                  </w:r>
                </w:p>
                <w:p>
                  <w:pPr>
                    <w:pStyle w:val="BodyText"/>
                    <w:spacing w:line="244" w:lineRule="auto" w:before="119"/>
                    <w:ind w:left="2081" w:right="1588" w:hanging="339"/>
                    <w:jc w:val="both"/>
                  </w:pPr>
                  <w:r>
                    <w:rPr/>
                    <w:t>5. Smlouva je vyhotovena ve dvou stejnopisech s platností originálu, z nichž každá smluvní strana obdrží jedno vyhotovení.</w:t>
                  </w:r>
                </w:p>
                <w:p>
                  <w:pPr>
                    <w:pStyle w:val="BodyText"/>
                    <w:spacing w:before="116"/>
                    <w:ind w:left="2088" w:right="1586" w:hanging="346"/>
                    <w:jc w:val="both"/>
                  </w:pPr>
                  <w:r>
                    <w:rPr/>
                    <w:t>6. Smluvní strany prohlašují, že tato smlouva byla uzavřena na základě vážné a svobodné vůle obou smluvních stran, nikoliv v tísni či za nápadně nevýhodných podmínek, že smlouvě porozuměly a chápou její význam, což stvrzují svými podpisy.</w:t>
                  </w: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BodyText"/>
                    <w:ind w:left="1821"/>
                  </w:pPr>
                  <w:r>
                    <w:rPr/>
                    <w:t>Ve Vrchlabí dne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pStyle w:val="BodyText"/>
                    <w:spacing w:line="217" w:lineRule="exact"/>
                    <w:ind w:left="1763"/>
                    <w:jc w:val="center"/>
                  </w:pPr>
                  <w:r>
                    <w:rPr/>
                    <w:t>Zhotovitel</w:t>
                  </w:r>
                </w:p>
                <w:p>
                  <w:pPr>
                    <w:pStyle w:val="BodyText"/>
                    <w:spacing w:line="217" w:lineRule="exact"/>
                    <w:ind w:left="6466"/>
                  </w:pPr>
                  <w:r>
                    <w:rPr>
                      <w:w w:val="95"/>
                    </w:rPr>
                    <w:t>Markéta  Dostálková</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spacing w:before="0"/>
                    <w:ind w:left="1582" w:right="4399" w:firstLine="0"/>
                    <w:jc w:val="center"/>
                    <w:rPr>
                      <w:sz w:val="17"/>
                    </w:rPr>
                  </w:pPr>
                  <w:r>
                    <w:rPr>
                      <w:sz w:val="17"/>
                    </w:rPr>
                    <w:t>Za správnost:</w:t>
                  </w:r>
                </w:p>
              </w:txbxContent>
            </v:textbox>
            <w10:wrap type="none"/>
          </v:shape>
        </w:pict>
      </w:r>
      <w:r>
        <w:rPr/>
        <w:pict>
          <v:group style="position:absolute;margin-left:0pt;margin-top:0pt;width:597.6pt;height:843.5pt;mso-position-horizontal-relative:page;mso-position-vertical-relative:page;z-index:-7072" coordorigin="0,0" coordsize="11952,16870">
            <v:shape style="position:absolute;left:0;top:0;width:11952;height:16870" type="#_x0000_t75" stroked="false">
              <v:imagedata r:id="rId15" o:title=""/>
            </v:shape>
            <v:shape style="position:absolute;left:6458;top:5674;width:3514;height:346" type="#_x0000_t75" stroked="false">
              <v:imagedata r:id="rId16" o:title=""/>
            </v:shape>
            <v:shape style="position:absolute;left:1829;top:6574;width:3384;height:1382" type="#_x0000_t75" stroked="false">
              <v:imagedata r:id="rId17" o:title=""/>
            </v:shape>
            <v:shape style="position:absolute;left:1664;top:6312;width:8182;height:4220" coordorigin="1664,6312" coordsize="8182,4220" path="m5588,6312l1664,6312,1664,7364,5588,7364,5588,6312m6880,9419l5553,9419,5553,9734,6880,9734,6880,9419m7326,9788l4787,9788,4787,10531,7326,10531,7326,9788m9846,6671l6525,6671,6525,7396,9846,7396,9846,6671e" filled="true" fillcolor="#000000" stroked="false">
              <v:path arrowok="t"/>
              <v:fill type="solid"/>
            </v:shape>
            <w10:wrap type="none"/>
          </v:group>
        </w:pict>
      </w:r>
    </w:p>
    <w:sectPr>
      <w:pgSz w:w="11960" w:h="1687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2024-06-24T13:20:49Z</dcterms:created>
  <dcterms:modified xsi:type="dcterms:W3CDTF">2024-06-24T13:20:49Z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LastSaved">
    <vt:filetime>2024-06-24T00:00:00Z</vt:filetime>
  </property>
</Properties>
</file>