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60" w:rsidRDefault="00100D60">
      <w:pPr>
        <w:spacing w:line="1" w:lineRule="exact"/>
      </w:pPr>
    </w:p>
    <w:p w:rsidR="00100D60" w:rsidRDefault="004C7BBC">
      <w:pPr>
        <w:pStyle w:val="Zkladntext30"/>
        <w:framePr w:w="8808" w:h="12389" w:hRule="exact" w:wrap="none" w:vAnchor="page" w:hAnchor="page" w:x="1546" w:y="1686"/>
        <w:shd w:val="clear" w:color="auto" w:fill="auto"/>
      </w:pPr>
      <w:r>
        <w:t>Smlouva o nájmu dopravních prostředků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0" w:line="437" w:lineRule="auto"/>
        <w:jc w:val="center"/>
      </w:pPr>
      <w:r>
        <w:t>číslo smlouvy Pronajímatele:</w:t>
      </w:r>
      <w:r>
        <w:br/>
        <w:t>číslo smlouvy Nájemce: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80" w:line="437" w:lineRule="auto"/>
        <w:jc w:val="center"/>
      </w:pPr>
      <w:r>
        <w:t>(dále jen „</w:t>
      </w:r>
      <w:r>
        <w:rPr>
          <w:b/>
          <w:bCs/>
        </w:rPr>
        <w:t>Smlouva</w:t>
      </w:r>
      <w:r>
        <w:t>“)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0" w:line="331" w:lineRule="auto"/>
      </w:pPr>
      <w:r>
        <w:rPr>
          <w:b/>
          <w:bCs/>
        </w:rPr>
        <w:t>uzavřená podle § 2321 a násl. občanského zákoníku, v platném znění níže uvedeného dne,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240" w:line="331" w:lineRule="auto"/>
      </w:pPr>
      <w:r>
        <w:rPr>
          <w:b/>
          <w:bCs/>
        </w:rPr>
        <w:t xml:space="preserve">měsíce a roku </w:t>
      </w:r>
      <w:proofErr w:type="gramStart"/>
      <w:r>
        <w:rPr>
          <w:b/>
          <w:bCs/>
        </w:rPr>
        <w:t>mezi</w:t>
      </w:r>
      <w:proofErr w:type="gramEnd"/>
      <w:r>
        <w:rPr>
          <w:b/>
          <w:bCs/>
        </w:rPr>
        <w:t>:</w:t>
      </w:r>
    </w:p>
    <w:p w:rsidR="00100D60" w:rsidRDefault="004C7BBC">
      <w:pPr>
        <w:pStyle w:val="Nadpis30"/>
        <w:framePr w:w="8808" w:h="12389" w:hRule="exact" w:wrap="none" w:vAnchor="page" w:hAnchor="page" w:x="1546" w:y="1686"/>
        <w:shd w:val="clear" w:color="auto" w:fill="auto"/>
        <w:spacing w:after="0" w:line="331" w:lineRule="auto"/>
        <w:ind w:firstLine="160"/>
      </w:pPr>
      <w:bookmarkStart w:id="0" w:name="bookmark0"/>
      <w:bookmarkStart w:id="1" w:name="bookmark1"/>
      <w:r>
        <w:t xml:space="preserve">(A) DOPRAVNÍ PODNIK měst Mostu a </w:t>
      </w:r>
      <w:r>
        <w:t>Litvínova, a.s.</w:t>
      </w:r>
      <w:bookmarkEnd w:id="0"/>
      <w:bookmarkEnd w:id="1"/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0" w:line="331" w:lineRule="auto"/>
        <w:ind w:firstLine="520"/>
      </w:pPr>
      <w:r>
        <w:t>se sídlem tř. Budovatelů 1395/23, 434 01 Most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0" w:line="331" w:lineRule="auto"/>
        <w:ind w:firstLine="520"/>
      </w:pPr>
      <w:r>
        <w:t>IČ: 62242504, DIČ: CZ 62242504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0" w:line="331" w:lineRule="auto"/>
        <w:ind w:firstLine="520"/>
      </w:pPr>
      <w:r>
        <w:t>zapsaná v obchodním rejstříku vedeného Krajským soudem v Ústí nad Labem, oddíl B,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0" w:line="331" w:lineRule="auto"/>
        <w:ind w:firstLine="520"/>
      </w:pPr>
      <w:r>
        <w:t>vložka 660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0" w:line="331" w:lineRule="auto"/>
        <w:ind w:firstLine="520"/>
      </w:pPr>
      <w:r>
        <w:t>zastoupenou MUDr. Sášou Štemberou, předsedou představenstva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0" w:line="331" w:lineRule="auto"/>
        <w:ind w:left="1740"/>
      </w:pPr>
      <w:r>
        <w:t xml:space="preserve">Bc. </w:t>
      </w:r>
      <w:r>
        <w:t xml:space="preserve">Danielem </w:t>
      </w:r>
      <w:proofErr w:type="spellStart"/>
      <w:r>
        <w:t>Dunovským</w:t>
      </w:r>
      <w:proofErr w:type="spellEnd"/>
      <w:r>
        <w:t>, místopředsedou představenstva a ředitelem společnosti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0" w:line="331" w:lineRule="auto"/>
        <w:ind w:firstLine="520"/>
      </w:pPr>
      <w:r>
        <w:t>bankovní spojení: Komerční banka, a.s., číslo účtu: 1406491/0100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300" w:line="331" w:lineRule="auto"/>
        <w:ind w:firstLine="520"/>
      </w:pPr>
      <w:r>
        <w:t>(dále jen „</w:t>
      </w:r>
      <w:r>
        <w:rPr>
          <w:b/>
          <w:bCs/>
        </w:rPr>
        <w:t>Pronajímatel</w:t>
      </w:r>
      <w:r>
        <w:t>“)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300" w:line="331" w:lineRule="auto"/>
        <w:ind w:left="1100"/>
      </w:pPr>
      <w:r>
        <w:t>a</w:t>
      </w:r>
    </w:p>
    <w:p w:rsidR="00100D60" w:rsidRDefault="004C7BBC">
      <w:pPr>
        <w:pStyle w:val="Nadpis30"/>
        <w:framePr w:w="8808" w:h="12389" w:hRule="exact" w:wrap="none" w:vAnchor="page" w:hAnchor="page" w:x="1546" w:y="1686"/>
        <w:shd w:val="clear" w:color="auto" w:fill="auto"/>
        <w:spacing w:after="0" w:line="331" w:lineRule="auto"/>
        <w:ind w:firstLine="160"/>
      </w:pPr>
      <w:bookmarkStart w:id="2" w:name="bookmark2"/>
      <w:bookmarkStart w:id="3" w:name="bookmark3"/>
      <w:r>
        <w:t xml:space="preserve">(B) Městská doprava Teplice, </w:t>
      </w:r>
      <w:proofErr w:type="spellStart"/>
      <w:proofErr w:type="gramStart"/>
      <w:r>
        <w:t>p.o</w:t>
      </w:r>
      <w:proofErr w:type="spellEnd"/>
      <w:r>
        <w:t>.</w:t>
      </w:r>
      <w:bookmarkEnd w:id="2"/>
      <w:bookmarkEnd w:id="3"/>
      <w:proofErr w:type="gramEnd"/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0" w:line="331" w:lineRule="auto"/>
        <w:ind w:firstLine="520"/>
      </w:pPr>
      <w:r>
        <w:t>se sídlem Emilie Dvořákové 70, 415 01 Teplice - Trnovan</w:t>
      </w:r>
      <w:r>
        <w:t>y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0" w:line="331" w:lineRule="auto"/>
        <w:ind w:firstLine="520"/>
      </w:pPr>
      <w:r>
        <w:t>IČ:</w:t>
      </w:r>
      <w:r>
        <w:rPr>
          <w:color w:val="202124"/>
        </w:rPr>
        <w:t>17196264</w:t>
      </w:r>
      <w:r>
        <w:t xml:space="preserve">, DIČ: </w:t>
      </w:r>
      <w:r>
        <w:rPr>
          <w:color w:val="202124"/>
        </w:rPr>
        <w:t>CZ17196264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0" w:line="331" w:lineRule="auto"/>
        <w:ind w:firstLine="520"/>
      </w:pPr>
      <w:r>
        <w:t xml:space="preserve">Zastoupenou: Ing. Františkem </w:t>
      </w:r>
      <w:proofErr w:type="spellStart"/>
      <w:r>
        <w:t>Stožickým</w:t>
      </w:r>
      <w:proofErr w:type="spellEnd"/>
      <w:r>
        <w:t>, ředitelem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0" w:line="331" w:lineRule="auto"/>
        <w:ind w:firstLine="520"/>
      </w:pPr>
      <w:r>
        <w:t>bankovní spojení: Československá obchodní banka, a.s., číslo účtu: 330739940/0300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440" w:line="331" w:lineRule="auto"/>
        <w:ind w:firstLine="520"/>
      </w:pPr>
      <w:r>
        <w:t>(dále jen „</w:t>
      </w:r>
      <w:r>
        <w:rPr>
          <w:b/>
          <w:bCs/>
        </w:rPr>
        <w:t>Nájemce</w:t>
      </w:r>
      <w:r>
        <w:t>“)</w:t>
      </w:r>
    </w:p>
    <w:p w:rsidR="00100D60" w:rsidRDefault="004C7BBC">
      <w:pPr>
        <w:pStyle w:val="Nadpis30"/>
        <w:framePr w:w="8808" w:h="12389" w:hRule="exact" w:wrap="none" w:vAnchor="page" w:hAnchor="page" w:x="1546" w:y="1686"/>
        <w:shd w:val="clear" w:color="auto" w:fill="auto"/>
        <w:spacing w:after="380" w:line="331" w:lineRule="auto"/>
      </w:pPr>
      <w:bookmarkStart w:id="4" w:name="bookmark4"/>
      <w:bookmarkStart w:id="5" w:name="bookmark5"/>
      <w:r>
        <w:t>Vzhledem k tomu, že:</w:t>
      </w:r>
      <w:bookmarkEnd w:id="4"/>
      <w:bookmarkEnd w:id="5"/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140" w:line="331" w:lineRule="auto"/>
      </w:pPr>
      <w:r>
        <w:t xml:space="preserve">Pronajímatel je výlučným vlastníkem 2 ks autobusů </w:t>
      </w:r>
      <w:r>
        <w:t>značky IRISBUS PS09D1, a to: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shd w:val="clear" w:color="auto" w:fill="auto"/>
        <w:spacing w:after="0" w:line="240" w:lineRule="auto"/>
        <w:ind w:left="1460"/>
      </w:pPr>
      <w:r>
        <w:rPr>
          <w:b/>
          <w:bCs/>
        </w:rPr>
        <w:t>1) VIN: VNEPS09D106000538, RZ 5U2 2837</w:t>
      </w:r>
    </w:p>
    <w:p w:rsidR="00100D60" w:rsidRDefault="004C7BBC">
      <w:pPr>
        <w:pStyle w:val="Nadpis30"/>
        <w:framePr w:w="8808" w:h="12389" w:hRule="exact" w:wrap="none" w:vAnchor="page" w:hAnchor="page" w:x="1546" w:y="1686"/>
        <w:shd w:val="clear" w:color="auto" w:fill="auto"/>
        <w:spacing w:after="300" w:line="240" w:lineRule="auto"/>
        <w:ind w:left="1460"/>
      </w:pPr>
      <w:bookmarkStart w:id="6" w:name="bookmark6"/>
      <w:bookmarkStart w:id="7" w:name="bookmark7"/>
      <w:r>
        <w:t>2) VIN: VNEPS09D106000535, RZ 5U2 2835</w:t>
      </w:r>
      <w:bookmarkEnd w:id="6"/>
      <w:bookmarkEnd w:id="7"/>
    </w:p>
    <w:p w:rsidR="00100D60" w:rsidRDefault="004C7BBC">
      <w:pPr>
        <w:pStyle w:val="Zkladntext1"/>
        <w:framePr w:w="8808" w:h="12389" w:hRule="exact" w:wrap="none" w:vAnchor="page" w:hAnchor="page" w:x="1546" w:y="1686"/>
        <w:numPr>
          <w:ilvl w:val="0"/>
          <w:numId w:val="1"/>
        </w:numPr>
        <w:shd w:val="clear" w:color="auto" w:fill="auto"/>
        <w:tabs>
          <w:tab w:val="left" w:pos="684"/>
        </w:tabs>
        <w:spacing w:after="140" w:line="312" w:lineRule="auto"/>
      </w:pPr>
      <w:r>
        <w:t>v provedení dle specifikace v příloze č. 1 této Smlouvy („</w:t>
      </w:r>
      <w:r>
        <w:rPr>
          <w:b/>
          <w:bCs/>
        </w:rPr>
        <w:t>Předmět nájmu</w:t>
      </w:r>
      <w:r>
        <w:t>“);</w:t>
      </w:r>
    </w:p>
    <w:p w:rsidR="00100D60" w:rsidRDefault="004C7BBC">
      <w:pPr>
        <w:pStyle w:val="Zkladntext1"/>
        <w:framePr w:w="8808" w:h="12389" w:hRule="exact" w:wrap="none" w:vAnchor="page" w:hAnchor="page" w:x="1546" w:y="1686"/>
        <w:numPr>
          <w:ilvl w:val="0"/>
          <w:numId w:val="1"/>
        </w:numPr>
        <w:shd w:val="clear" w:color="auto" w:fill="auto"/>
        <w:tabs>
          <w:tab w:val="left" w:pos="684"/>
        </w:tabs>
        <w:spacing w:after="0" w:line="326" w:lineRule="auto"/>
        <w:ind w:left="700" w:hanging="700"/>
      </w:pPr>
      <w:r>
        <w:t xml:space="preserve">Nájemce provozuje autobusovou dopravu a má zájem o dočasný pronájem </w:t>
      </w:r>
      <w:r>
        <w:t>Předmětu nájmu na území České republiky;</w:t>
      </w:r>
    </w:p>
    <w:p w:rsidR="00100D60" w:rsidRDefault="004C7BBC">
      <w:pPr>
        <w:pStyle w:val="Zhlavnebozpat0"/>
        <w:framePr w:wrap="none" w:vAnchor="page" w:hAnchor="page" w:x="5870" w:y="15956"/>
        <w:shd w:val="clear" w:color="auto" w:fill="auto"/>
      </w:pPr>
      <w:r>
        <w:t>1</w:t>
      </w:r>
    </w:p>
    <w:p w:rsidR="00100D60" w:rsidRDefault="00100D60">
      <w:pPr>
        <w:spacing w:line="1" w:lineRule="exact"/>
        <w:sectPr w:rsidR="00100D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0D60" w:rsidRDefault="00100D60">
      <w:pPr>
        <w:spacing w:line="1" w:lineRule="exact"/>
      </w:pPr>
    </w:p>
    <w:p w:rsidR="00100D60" w:rsidRDefault="004C7BBC">
      <w:pPr>
        <w:pStyle w:val="Zkladntext1"/>
        <w:framePr w:wrap="none" w:vAnchor="page" w:hAnchor="page" w:x="1546" w:y="1777"/>
        <w:shd w:val="clear" w:color="auto" w:fill="auto"/>
        <w:spacing w:after="0" w:line="240" w:lineRule="auto"/>
      </w:pPr>
      <w:r>
        <w:rPr>
          <w:b/>
          <w:bCs/>
        </w:rPr>
        <w:t>se smluvní strany dohodly takto:</w:t>
      </w:r>
    </w:p>
    <w:p w:rsidR="00100D60" w:rsidRDefault="004C7BBC">
      <w:pPr>
        <w:pStyle w:val="Nadpis30"/>
        <w:framePr w:w="8808" w:h="7003" w:hRule="exact" w:wrap="none" w:vAnchor="page" w:hAnchor="page" w:x="1546" w:y="2372"/>
        <w:numPr>
          <w:ilvl w:val="0"/>
          <w:numId w:val="2"/>
        </w:numPr>
        <w:shd w:val="clear" w:color="auto" w:fill="auto"/>
        <w:tabs>
          <w:tab w:val="left" w:pos="569"/>
        </w:tabs>
        <w:spacing w:after="120" w:line="336" w:lineRule="auto"/>
      </w:pPr>
      <w:bookmarkStart w:id="8" w:name="bookmark8"/>
      <w:bookmarkStart w:id="9" w:name="bookmark9"/>
      <w:r>
        <w:t>Předmět Smlouvy</w:t>
      </w:r>
      <w:bookmarkEnd w:id="8"/>
      <w:bookmarkEnd w:id="9"/>
    </w:p>
    <w:p w:rsidR="00100D60" w:rsidRDefault="004C7BBC">
      <w:pPr>
        <w:pStyle w:val="Zkladntext1"/>
        <w:framePr w:w="8808" w:h="7003" w:hRule="exact" w:wrap="none" w:vAnchor="page" w:hAnchor="page" w:x="1546" w:y="2372"/>
        <w:numPr>
          <w:ilvl w:val="1"/>
          <w:numId w:val="2"/>
        </w:numPr>
        <w:shd w:val="clear" w:color="auto" w:fill="auto"/>
        <w:tabs>
          <w:tab w:val="left" w:pos="569"/>
        </w:tabs>
        <w:spacing w:line="336" w:lineRule="auto"/>
        <w:ind w:left="580" w:hanging="580"/>
        <w:jc w:val="both"/>
      </w:pPr>
      <w:r>
        <w:t xml:space="preserve">Pronajímatel se touto Smlouvou zavazuje přenechat Nájemci </w:t>
      </w:r>
      <w:r>
        <w:rPr>
          <w:b/>
          <w:bCs/>
        </w:rPr>
        <w:t>od 14. 06. 2024 do 31. 12. 2024</w:t>
      </w:r>
      <w:r>
        <w:t xml:space="preserve">, nebude-li mezi smluvními stranami dohodnuto </w:t>
      </w:r>
      <w:r>
        <w:t>jinak, do užívání Předmět nájmu a Nájemce se zavazuje platit Pronajímateli za užívání Předmětu nájmu nájemné.</w:t>
      </w:r>
    </w:p>
    <w:p w:rsidR="00100D60" w:rsidRDefault="004C7BBC">
      <w:pPr>
        <w:pStyle w:val="Zkladntext1"/>
        <w:framePr w:w="8808" w:h="7003" w:hRule="exact" w:wrap="none" w:vAnchor="page" w:hAnchor="page" w:x="1546" w:y="2372"/>
        <w:numPr>
          <w:ilvl w:val="1"/>
          <w:numId w:val="2"/>
        </w:numPr>
        <w:shd w:val="clear" w:color="auto" w:fill="auto"/>
        <w:tabs>
          <w:tab w:val="left" w:pos="569"/>
        </w:tabs>
        <w:spacing w:line="336" w:lineRule="auto"/>
        <w:ind w:left="580" w:hanging="580"/>
        <w:jc w:val="both"/>
      </w:pPr>
      <w:r>
        <w:t>Pronajímatel se zavazuje předat Nájemci Předmět nájmu nejpozději do 20. 06. 2024 do 15 hodin ve vozovně Most, Tř. Budovatelů 1395/23, 434 01 Most.</w:t>
      </w:r>
      <w:r>
        <w:t xml:space="preserve"> O předání Předmětu nájmu sepíší smluvní strany předávací protokol, který bude tvořit přílohu č. 1 této Smlouvy. Oprávněnými zástupci smluvních stran k předání a zpětnému převzetí Předmětu nájmu a k podpisu předávacího protokolu jsou za Nájemce Ing. Franti</w:t>
      </w:r>
      <w:r>
        <w:t xml:space="preserve">šek </w:t>
      </w:r>
      <w:proofErr w:type="spellStart"/>
      <w:r>
        <w:t>Stožický</w:t>
      </w:r>
      <w:proofErr w:type="spellEnd"/>
      <w:r>
        <w:t xml:space="preserve"> - ředitel společnosti a za Pronajímatele XXX</w:t>
      </w:r>
      <w:r>
        <w:t>, dopravně-technický náměstek.</w:t>
      </w:r>
    </w:p>
    <w:p w:rsidR="00100D60" w:rsidRDefault="004C7BBC">
      <w:pPr>
        <w:pStyle w:val="Zkladntext1"/>
        <w:framePr w:w="8808" w:h="7003" w:hRule="exact" w:wrap="none" w:vAnchor="page" w:hAnchor="page" w:x="1546" w:y="2372"/>
        <w:numPr>
          <w:ilvl w:val="1"/>
          <w:numId w:val="2"/>
        </w:numPr>
        <w:shd w:val="clear" w:color="auto" w:fill="auto"/>
        <w:tabs>
          <w:tab w:val="left" w:pos="569"/>
        </w:tabs>
        <w:spacing w:line="336" w:lineRule="auto"/>
        <w:ind w:left="580" w:hanging="580"/>
        <w:jc w:val="both"/>
      </w:pPr>
      <w:r>
        <w:t xml:space="preserve">Pronajímatel je povinen při předání Předmětu nájmu předat Nájemci veškeré doklady nutné k převzetí a užívání Předmětu nájmu. Pronajímatel prohlašuje, že </w:t>
      </w:r>
      <w:r>
        <w:t>Předmět nájmu je plně způsobilý k plnění účelu dle této Smlouvy, tedy k provozu na pozemních komunikacích a přepravě osob.</w:t>
      </w:r>
    </w:p>
    <w:p w:rsidR="00100D60" w:rsidRDefault="004C7BBC">
      <w:pPr>
        <w:pStyle w:val="Zkladntext1"/>
        <w:framePr w:w="8808" w:h="7003" w:hRule="exact" w:wrap="none" w:vAnchor="page" w:hAnchor="page" w:x="1546" w:y="2372"/>
        <w:numPr>
          <w:ilvl w:val="1"/>
          <w:numId w:val="2"/>
        </w:numPr>
        <w:shd w:val="clear" w:color="auto" w:fill="auto"/>
        <w:tabs>
          <w:tab w:val="left" w:pos="569"/>
        </w:tabs>
        <w:spacing w:after="0" w:line="336" w:lineRule="auto"/>
        <w:ind w:left="580" w:hanging="580"/>
        <w:jc w:val="both"/>
      </w:pPr>
      <w:r>
        <w:t>Nájemní smlouva se sjednává na dobu určitou, jak je výše v bodě 1.1 uvedeno. Případné změny v datu či hodině předání dle bodu 1.2 mus</w:t>
      </w:r>
      <w:r>
        <w:t>í být stranou, která žádá o změny oznámeny druhé straně, a to bez zbytečného odkladu, jakmile se tato strana dozví o překážkách bránících předání. Pronajímatel je oprávněn požadovat vrácení Předmětu nájmu kdykoliv, jestliže ho Nájemce užívá k jinému než do</w:t>
      </w:r>
      <w:r>
        <w:t>hodnutému účelu nebo jestliže Nájemce poruší další povinnosti uvedené v této Smlouvě</w:t>
      </w:r>
    </w:p>
    <w:p w:rsidR="00100D60" w:rsidRDefault="004C7BBC">
      <w:pPr>
        <w:pStyle w:val="Nadpis30"/>
        <w:framePr w:w="8808" w:h="5395" w:hRule="exact" w:wrap="none" w:vAnchor="page" w:hAnchor="page" w:x="1546" w:y="10076"/>
        <w:numPr>
          <w:ilvl w:val="0"/>
          <w:numId w:val="2"/>
        </w:numPr>
        <w:shd w:val="clear" w:color="auto" w:fill="auto"/>
        <w:tabs>
          <w:tab w:val="left" w:pos="569"/>
        </w:tabs>
        <w:spacing w:after="120" w:line="334" w:lineRule="auto"/>
      </w:pPr>
      <w:bookmarkStart w:id="10" w:name="bookmark10"/>
      <w:bookmarkStart w:id="11" w:name="bookmark11"/>
      <w:r>
        <w:t>Nájemné</w:t>
      </w:r>
      <w:bookmarkEnd w:id="10"/>
      <w:bookmarkEnd w:id="11"/>
    </w:p>
    <w:p w:rsidR="00100D60" w:rsidRDefault="004C7BBC">
      <w:pPr>
        <w:pStyle w:val="Zkladntext1"/>
        <w:framePr w:w="8808" w:h="5395" w:hRule="exact" w:wrap="none" w:vAnchor="page" w:hAnchor="page" w:x="1546" w:y="10076"/>
        <w:numPr>
          <w:ilvl w:val="0"/>
          <w:numId w:val="3"/>
        </w:numPr>
        <w:shd w:val="clear" w:color="auto" w:fill="auto"/>
        <w:tabs>
          <w:tab w:val="left" w:pos="569"/>
        </w:tabs>
        <w:spacing w:line="336" w:lineRule="auto"/>
        <w:ind w:left="580" w:hanging="580"/>
        <w:jc w:val="both"/>
      </w:pPr>
      <w:r>
        <w:t xml:space="preserve">Nájemné za užívání Předmětu nájmu je stanoveno dohodou smluvních stran, a to výpočtem z pevné měsíční částky ve výši </w:t>
      </w:r>
      <w:r>
        <w:rPr>
          <w:b/>
          <w:bCs/>
        </w:rPr>
        <w:t xml:space="preserve">15 000 Kč </w:t>
      </w:r>
      <w:r>
        <w:t>za každý jeden autobus (za první měs</w:t>
      </w:r>
      <w:r>
        <w:t xml:space="preserve">íc červen 2024 je účtováno nájemné ve výši 7 500 Kč za každý jeden autobus), ke které je připočtena </w:t>
      </w:r>
      <w:proofErr w:type="spellStart"/>
      <w:r>
        <w:t>čáska</w:t>
      </w:r>
      <w:proofErr w:type="spellEnd"/>
      <w:r>
        <w:t xml:space="preserve"> rovnající se násobku celkového počtu ujetých kilometrů za oba autobusy za dobu trvání nájmu dle této smlouvy a sazby </w:t>
      </w:r>
      <w:r>
        <w:rPr>
          <w:b/>
          <w:bCs/>
        </w:rPr>
        <w:t xml:space="preserve">5 Kč </w:t>
      </w:r>
      <w:r>
        <w:t>za 1 ujetý km.</w:t>
      </w:r>
    </w:p>
    <w:p w:rsidR="00100D60" w:rsidRDefault="004C7BBC">
      <w:pPr>
        <w:pStyle w:val="Zkladntext1"/>
        <w:framePr w:w="8808" w:h="5395" w:hRule="exact" w:wrap="none" w:vAnchor="page" w:hAnchor="page" w:x="1546" w:y="10076"/>
        <w:numPr>
          <w:ilvl w:val="0"/>
          <w:numId w:val="3"/>
        </w:numPr>
        <w:shd w:val="clear" w:color="auto" w:fill="auto"/>
        <w:tabs>
          <w:tab w:val="left" w:pos="569"/>
        </w:tabs>
        <w:spacing w:line="334" w:lineRule="auto"/>
        <w:ind w:left="580" w:hanging="580"/>
        <w:jc w:val="both"/>
      </w:pPr>
      <w:r>
        <w:t xml:space="preserve">Nájemce je </w:t>
      </w:r>
      <w:r>
        <w:t>povinen uhradit nájemné za proběhlé období nájmu, a to na základě daňového dokladu - faktury, kterou je Pronajímatel povinen doručit Nájemci nejpozději do 15. dne následujícího měsíce po skončení nájmu.</w:t>
      </w:r>
    </w:p>
    <w:p w:rsidR="00100D60" w:rsidRDefault="004C7BBC">
      <w:pPr>
        <w:pStyle w:val="Zkladntext1"/>
        <w:framePr w:w="8808" w:h="5395" w:hRule="exact" w:wrap="none" w:vAnchor="page" w:hAnchor="page" w:x="1546" w:y="10076"/>
        <w:numPr>
          <w:ilvl w:val="0"/>
          <w:numId w:val="3"/>
        </w:numPr>
        <w:shd w:val="clear" w:color="auto" w:fill="auto"/>
        <w:tabs>
          <w:tab w:val="left" w:pos="569"/>
        </w:tabs>
        <w:spacing w:line="336" w:lineRule="auto"/>
        <w:ind w:left="580" w:hanging="580"/>
        <w:jc w:val="both"/>
      </w:pPr>
      <w:r>
        <w:t xml:space="preserve">K ceně bez DPH bude připočtena DPH ve výši stanovené </w:t>
      </w:r>
      <w:r>
        <w:t>právními předpisy platnými v době plnění.</w:t>
      </w:r>
    </w:p>
    <w:p w:rsidR="00100D60" w:rsidRDefault="004C7BBC">
      <w:pPr>
        <w:pStyle w:val="Zkladntext1"/>
        <w:framePr w:w="8808" w:h="5395" w:hRule="exact" w:wrap="none" w:vAnchor="page" w:hAnchor="page" w:x="1546" w:y="10076"/>
        <w:numPr>
          <w:ilvl w:val="0"/>
          <w:numId w:val="3"/>
        </w:numPr>
        <w:shd w:val="clear" w:color="auto" w:fill="auto"/>
        <w:tabs>
          <w:tab w:val="left" w:pos="569"/>
        </w:tabs>
        <w:spacing w:after="0" w:line="334" w:lineRule="auto"/>
        <w:ind w:left="580" w:hanging="580"/>
        <w:jc w:val="both"/>
      </w:pPr>
      <w:r>
        <w:t>Faktura - daňový doklad - bude obsahovat náležitosti běžné v obchodním styku, náležitosti daňového dokladu podle zákona č. 235/2004 Sb., o dani z přidané hodnoty, a náležitosti obchodní listiny ve smyslu ustanovení</w:t>
      </w:r>
      <w:r>
        <w:t xml:space="preserve"> § 435 zákona č. 89/2012 Sb., občanského zákoníku, a číslo této Smlouvy.</w:t>
      </w:r>
    </w:p>
    <w:p w:rsidR="00100D60" w:rsidRDefault="004C7BBC">
      <w:pPr>
        <w:pStyle w:val="Zhlavnebozpat0"/>
        <w:framePr w:wrap="none" w:vAnchor="page" w:hAnchor="page" w:x="5870" w:y="15951"/>
        <w:shd w:val="clear" w:color="auto" w:fill="auto"/>
      </w:pPr>
      <w:r>
        <w:t>2</w:t>
      </w:r>
    </w:p>
    <w:p w:rsidR="00100D60" w:rsidRDefault="00100D60">
      <w:pPr>
        <w:spacing w:line="1" w:lineRule="exact"/>
        <w:sectPr w:rsidR="00100D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0D60" w:rsidRDefault="00100D60">
      <w:pPr>
        <w:spacing w:line="1" w:lineRule="exact"/>
      </w:pPr>
    </w:p>
    <w:p w:rsidR="00100D60" w:rsidRDefault="004C7BBC">
      <w:pPr>
        <w:pStyle w:val="Zkladntext1"/>
        <w:framePr w:w="8803" w:h="3523" w:hRule="exact" w:wrap="none" w:vAnchor="page" w:hAnchor="page" w:x="1548" w:y="1772"/>
        <w:numPr>
          <w:ilvl w:val="0"/>
          <w:numId w:val="3"/>
        </w:numPr>
        <w:shd w:val="clear" w:color="auto" w:fill="auto"/>
        <w:tabs>
          <w:tab w:val="left" w:pos="651"/>
        </w:tabs>
        <w:spacing w:line="336" w:lineRule="auto"/>
        <w:ind w:left="580" w:hanging="580"/>
        <w:jc w:val="both"/>
      </w:pPr>
      <w:r>
        <w:t>Dnem uskutečnění zdanitelného plnění je den předání Předmětu nájmu zpět Pronajímateli na základě oboustranně potvrzeného předávacího protokolu s informací o</w:t>
      </w:r>
      <w:r>
        <w:t xml:space="preserve"> celkovém počtu ujetých kilometrů.</w:t>
      </w:r>
    </w:p>
    <w:p w:rsidR="00100D60" w:rsidRDefault="004C7BBC">
      <w:pPr>
        <w:pStyle w:val="Zkladntext1"/>
        <w:framePr w:w="8803" w:h="3523" w:hRule="exact" w:wrap="none" w:vAnchor="page" w:hAnchor="page" w:x="1548" w:y="1772"/>
        <w:numPr>
          <w:ilvl w:val="0"/>
          <w:numId w:val="3"/>
        </w:numPr>
        <w:shd w:val="clear" w:color="auto" w:fill="auto"/>
        <w:tabs>
          <w:tab w:val="left" w:pos="651"/>
        </w:tabs>
        <w:spacing w:line="336" w:lineRule="auto"/>
        <w:ind w:left="580" w:hanging="580"/>
        <w:jc w:val="both"/>
      </w:pPr>
      <w:r>
        <w:t>Faktura je splatná do 21 dnů ode dne vystavení, min. však 14 dní ode dne doručení faktury Nájemci. Pokud faktura neobsahuje všechny uvedené náležitosti a přílohy, má Nájemce právo fakturu vrátit k doplnění. V takovém příp</w:t>
      </w:r>
      <w:r>
        <w:t>adě nastane splatnost faktury až dnem, který je jako den splatnosti vyznačen v dodatečně doručené řádné faktuře, ne však dříve, než uplynutím 14 dnů ode dne doručení takové řádné faktury Nájemci.</w:t>
      </w:r>
    </w:p>
    <w:p w:rsidR="00100D60" w:rsidRDefault="004C7BBC">
      <w:pPr>
        <w:pStyle w:val="Zkladntext1"/>
        <w:framePr w:w="8803" w:h="3523" w:hRule="exact" w:wrap="none" w:vAnchor="page" w:hAnchor="page" w:x="1548" w:y="1772"/>
        <w:numPr>
          <w:ilvl w:val="0"/>
          <w:numId w:val="3"/>
        </w:numPr>
        <w:shd w:val="clear" w:color="auto" w:fill="auto"/>
        <w:tabs>
          <w:tab w:val="left" w:pos="651"/>
        </w:tabs>
        <w:spacing w:after="0" w:line="336" w:lineRule="auto"/>
        <w:ind w:left="580" w:hanging="580"/>
        <w:jc w:val="both"/>
      </w:pPr>
      <w:r>
        <w:t>Faktura - daňový doklad musí být zaslána elektronicky na e-m</w:t>
      </w:r>
      <w:r>
        <w:t xml:space="preserve">ailovou adresu </w:t>
      </w:r>
      <w:hyperlink r:id="rId8" w:history="1">
        <w:r>
          <w:rPr>
            <w:b/>
            <w:bCs/>
          </w:rPr>
          <w:t>faktury@mdteplice.cz</w:t>
        </w:r>
      </w:hyperlink>
      <w:r>
        <w:rPr>
          <w:b/>
          <w:bCs/>
        </w:rPr>
        <w:t xml:space="preserve"> </w:t>
      </w:r>
      <w:r>
        <w:t>ve formátu PDF.</w:t>
      </w:r>
    </w:p>
    <w:p w:rsidR="00100D60" w:rsidRDefault="004C7BBC">
      <w:pPr>
        <w:pStyle w:val="Nadpis30"/>
        <w:framePr w:w="8803" w:h="9034" w:hRule="exact" w:wrap="none" w:vAnchor="page" w:hAnchor="page" w:x="1548" w:y="5996"/>
        <w:numPr>
          <w:ilvl w:val="0"/>
          <w:numId w:val="2"/>
        </w:numPr>
        <w:shd w:val="clear" w:color="auto" w:fill="auto"/>
        <w:tabs>
          <w:tab w:val="left" w:pos="651"/>
        </w:tabs>
        <w:spacing w:line="290" w:lineRule="auto"/>
        <w:jc w:val="both"/>
      </w:pPr>
      <w:bookmarkStart w:id="12" w:name="bookmark12"/>
      <w:bookmarkStart w:id="13" w:name="bookmark13"/>
      <w:r>
        <w:t>Práva a povinnost smluvních stran</w:t>
      </w:r>
      <w:bookmarkEnd w:id="12"/>
      <w:bookmarkEnd w:id="13"/>
    </w:p>
    <w:p w:rsidR="00100D60" w:rsidRDefault="004C7BBC">
      <w:pPr>
        <w:pStyle w:val="Zkladntext1"/>
        <w:framePr w:w="8803" w:h="9034" w:hRule="exact" w:wrap="none" w:vAnchor="page" w:hAnchor="page" w:x="1548" w:y="5996"/>
        <w:numPr>
          <w:ilvl w:val="1"/>
          <w:numId w:val="2"/>
        </w:numPr>
        <w:shd w:val="clear" w:color="auto" w:fill="auto"/>
        <w:tabs>
          <w:tab w:val="left" w:pos="651"/>
        </w:tabs>
        <w:spacing w:line="290" w:lineRule="auto"/>
        <w:ind w:left="700" w:hanging="700"/>
        <w:jc w:val="both"/>
      </w:pPr>
      <w:r>
        <w:t>Nájemce není oprávněn užívat Předmět nájmu k jinému než sjednanému účelu, tj. k provozu na pozemních komunikacích na území České</w:t>
      </w:r>
      <w:r>
        <w:t xml:space="preserve"> republiky pro zajištění potřeb městské hromadné dopravy. Nájemce prohlašuje, že je oprávněným provozovatelem předmětné silniční dopravy s příslušným oprávněním dle platné právní úpravy.</w:t>
      </w:r>
    </w:p>
    <w:p w:rsidR="00100D60" w:rsidRDefault="004C7BBC">
      <w:pPr>
        <w:pStyle w:val="Zkladntext1"/>
        <w:framePr w:w="8803" w:h="9034" w:hRule="exact" w:wrap="none" w:vAnchor="page" w:hAnchor="page" w:x="1548" w:y="5996"/>
        <w:numPr>
          <w:ilvl w:val="1"/>
          <w:numId w:val="2"/>
        </w:numPr>
        <w:shd w:val="clear" w:color="auto" w:fill="auto"/>
        <w:tabs>
          <w:tab w:val="left" w:pos="651"/>
        </w:tabs>
        <w:spacing w:line="290" w:lineRule="auto"/>
        <w:ind w:left="700" w:hanging="700"/>
        <w:jc w:val="both"/>
      </w:pPr>
      <w:r>
        <w:t>Nájemce není oprávněn bez předchozího písemného souhlasu Pronajímatel</w:t>
      </w:r>
      <w:r>
        <w:t>e přenechat Předmět nájmu do podnájmu třetí osobě.</w:t>
      </w:r>
    </w:p>
    <w:p w:rsidR="00100D60" w:rsidRDefault="004C7BBC">
      <w:pPr>
        <w:pStyle w:val="Zkladntext1"/>
        <w:framePr w:w="8803" w:h="9034" w:hRule="exact" w:wrap="none" w:vAnchor="page" w:hAnchor="page" w:x="1548" w:y="5996"/>
        <w:numPr>
          <w:ilvl w:val="1"/>
          <w:numId w:val="2"/>
        </w:numPr>
        <w:shd w:val="clear" w:color="auto" w:fill="auto"/>
        <w:tabs>
          <w:tab w:val="left" w:pos="651"/>
        </w:tabs>
        <w:spacing w:line="290" w:lineRule="auto"/>
        <w:ind w:left="700" w:hanging="700"/>
        <w:jc w:val="both"/>
      </w:pPr>
      <w:r>
        <w:t>Nájemce se zavazuje užívat Předmět nájmu v souladu s jeho technickým určením a udržovat jej s péčí řádného hospodáře a předcházet jakýmkoli škodám. Nájemce je povinen uhradit náklady vynaložené na odstraně</w:t>
      </w:r>
      <w:r>
        <w:t>ní škod na Předmětu nájmu, které vznikly jeho zaviněním či neodpovídají běžnému opotřebení.</w:t>
      </w:r>
    </w:p>
    <w:p w:rsidR="00100D60" w:rsidRDefault="004C7BBC">
      <w:pPr>
        <w:pStyle w:val="Zkladntext1"/>
        <w:framePr w:w="8803" w:h="9034" w:hRule="exact" w:wrap="none" w:vAnchor="page" w:hAnchor="page" w:x="1548" w:y="5996"/>
        <w:numPr>
          <w:ilvl w:val="1"/>
          <w:numId w:val="2"/>
        </w:numPr>
        <w:shd w:val="clear" w:color="auto" w:fill="auto"/>
        <w:tabs>
          <w:tab w:val="left" w:pos="651"/>
        </w:tabs>
        <w:spacing w:line="290" w:lineRule="auto"/>
        <w:ind w:left="700" w:hanging="700"/>
        <w:jc w:val="both"/>
      </w:pPr>
      <w:r>
        <w:t>Nájemce se dále zavazuje dbát na dodržování bezpečnostních, protipožárních, hygienických a dalších předpisů a norem, vztahujících se svým obsahem k užívání Předmětu</w:t>
      </w:r>
      <w:r>
        <w:t xml:space="preserve"> nájmu.</w:t>
      </w:r>
    </w:p>
    <w:p w:rsidR="00100D60" w:rsidRDefault="004C7BBC">
      <w:pPr>
        <w:pStyle w:val="Zkladntext1"/>
        <w:framePr w:w="8803" w:h="9034" w:hRule="exact" w:wrap="none" w:vAnchor="page" w:hAnchor="page" w:x="1548" w:y="5996"/>
        <w:numPr>
          <w:ilvl w:val="1"/>
          <w:numId w:val="2"/>
        </w:numPr>
        <w:shd w:val="clear" w:color="auto" w:fill="auto"/>
        <w:tabs>
          <w:tab w:val="left" w:pos="651"/>
        </w:tabs>
        <w:spacing w:line="290" w:lineRule="auto"/>
        <w:jc w:val="both"/>
      </w:pPr>
      <w:r>
        <w:t>Nájemce se zavazuje nést náklady na provoz a běžnou údržbu Předmětu nájmu.</w:t>
      </w:r>
    </w:p>
    <w:p w:rsidR="00100D60" w:rsidRDefault="004C7BBC">
      <w:pPr>
        <w:pStyle w:val="Zkladntext1"/>
        <w:framePr w:w="8803" w:h="9034" w:hRule="exact" w:wrap="none" w:vAnchor="page" w:hAnchor="page" w:x="1548" w:y="5996"/>
        <w:numPr>
          <w:ilvl w:val="1"/>
          <w:numId w:val="2"/>
        </w:numPr>
        <w:shd w:val="clear" w:color="auto" w:fill="auto"/>
        <w:tabs>
          <w:tab w:val="left" w:pos="651"/>
        </w:tabs>
        <w:spacing w:line="290" w:lineRule="auto"/>
        <w:ind w:left="700" w:hanging="700"/>
        <w:jc w:val="both"/>
      </w:pPr>
      <w:r>
        <w:t xml:space="preserve">Pronajímatel se zavazuje, že po celou dobu užívání Předmětu nájmu bude Předmět nájmu zákonně pojištěn (pojištění hradí Pronajímatel). V případě vzniku pojistné události u </w:t>
      </w:r>
      <w:r>
        <w:t>Předmětu nájmu, je Nájemce povinen provést všechny úkony, které jsou nezbytné pro řádnou likvidaci z pojištění vozidel, zejména okamžité oznámení události Policii ČR a Pronajímateli, a poskytnout Pronajímateli nezbytnou součinnost při vyřizování události s</w:t>
      </w:r>
      <w:r>
        <w:t xml:space="preserve"> pojišťovnou. V opačném případě bude Nájemce odpovídat za vzniklou škodu.</w:t>
      </w:r>
    </w:p>
    <w:p w:rsidR="00100D60" w:rsidRDefault="004C7BBC">
      <w:pPr>
        <w:pStyle w:val="Zkladntext1"/>
        <w:framePr w:w="8803" w:h="9034" w:hRule="exact" w:wrap="none" w:vAnchor="page" w:hAnchor="page" w:x="1548" w:y="5996"/>
        <w:numPr>
          <w:ilvl w:val="1"/>
          <w:numId w:val="2"/>
        </w:numPr>
        <w:shd w:val="clear" w:color="auto" w:fill="auto"/>
        <w:tabs>
          <w:tab w:val="left" w:pos="651"/>
        </w:tabs>
        <w:spacing w:line="288" w:lineRule="auto"/>
        <w:ind w:left="700" w:hanging="700"/>
        <w:jc w:val="both"/>
      </w:pPr>
      <w:r>
        <w:t>Nájemce je povinen neprodleně ohlásit Pronajímateli všechna poškození či vady nebo odcizení Předmětu nájmu. Při porušení této povinnosti Nájemce odpovídá za škodu tímto způsobenou.</w:t>
      </w:r>
    </w:p>
    <w:p w:rsidR="00100D60" w:rsidRDefault="004C7BBC">
      <w:pPr>
        <w:pStyle w:val="Zkladntext1"/>
        <w:framePr w:w="8803" w:h="9034" w:hRule="exact" w:wrap="none" w:vAnchor="page" w:hAnchor="page" w:x="1548" w:y="5996"/>
        <w:numPr>
          <w:ilvl w:val="1"/>
          <w:numId w:val="2"/>
        </w:numPr>
        <w:shd w:val="clear" w:color="auto" w:fill="auto"/>
        <w:tabs>
          <w:tab w:val="left" w:pos="651"/>
        </w:tabs>
        <w:spacing w:line="295" w:lineRule="auto"/>
        <w:ind w:left="700" w:hanging="700"/>
        <w:jc w:val="both"/>
      </w:pPr>
      <w:r>
        <w:t>N</w:t>
      </w:r>
      <w:r>
        <w:t>ájemce se zavazuje neprovádět na Předmětu nájmu žádné změny bez předchozího souhlasu Pronajímatele.</w:t>
      </w:r>
    </w:p>
    <w:p w:rsidR="00100D60" w:rsidRDefault="004C7BBC">
      <w:pPr>
        <w:pStyle w:val="Zkladntext1"/>
        <w:framePr w:w="8803" w:h="9034" w:hRule="exact" w:wrap="none" w:vAnchor="page" w:hAnchor="page" w:x="1548" w:y="5996"/>
        <w:numPr>
          <w:ilvl w:val="1"/>
          <w:numId w:val="2"/>
        </w:numPr>
        <w:shd w:val="clear" w:color="auto" w:fill="auto"/>
        <w:tabs>
          <w:tab w:val="left" w:pos="651"/>
        </w:tabs>
        <w:spacing w:after="0" w:line="290" w:lineRule="auto"/>
        <w:ind w:left="700" w:hanging="700"/>
        <w:jc w:val="both"/>
      </w:pPr>
      <w:r>
        <w:t>Nájemce bere na vědomí, že po dobu trvání nájmu přebírá na sebe veškeré povinnosti provozovatele vozidla, včetně povinnosti vést předepsanou dokumentaci.</w:t>
      </w:r>
    </w:p>
    <w:p w:rsidR="00100D60" w:rsidRDefault="004C7BBC">
      <w:pPr>
        <w:pStyle w:val="Zhlavnebozpat0"/>
        <w:framePr w:wrap="none" w:vAnchor="page" w:hAnchor="page" w:x="5873" w:y="15951"/>
        <w:shd w:val="clear" w:color="auto" w:fill="auto"/>
      </w:pPr>
      <w:r>
        <w:t>3</w:t>
      </w:r>
    </w:p>
    <w:p w:rsidR="00100D60" w:rsidRDefault="00100D60">
      <w:pPr>
        <w:spacing w:line="1" w:lineRule="exact"/>
        <w:sectPr w:rsidR="00100D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0D60" w:rsidRDefault="00100D60">
      <w:pPr>
        <w:spacing w:line="1" w:lineRule="exact"/>
      </w:pPr>
    </w:p>
    <w:p w:rsidR="00100D60" w:rsidRDefault="004C7BBC">
      <w:pPr>
        <w:pStyle w:val="Zkladntext1"/>
        <w:framePr w:w="8798" w:h="5462" w:hRule="exact" w:wrap="none" w:vAnchor="page" w:hAnchor="page" w:x="1550" w:y="1686"/>
        <w:numPr>
          <w:ilvl w:val="1"/>
          <w:numId w:val="2"/>
        </w:numPr>
        <w:shd w:val="clear" w:color="auto" w:fill="auto"/>
        <w:tabs>
          <w:tab w:val="left" w:pos="672"/>
        </w:tabs>
        <w:spacing w:line="290" w:lineRule="auto"/>
        <w:ind w:left="700" w:hanging="700"/>
        <w:jc w:val="both"/>
      </w:pPr>
      <w:r>
        <w:t xml:space="preserve">Nájemce se zavazuje vrátit Pronajímateli Předmět nájmu po ukončení nájemního vztahu (nedohodnou-li se smluvní strany jinak) ve stavu, v jakém mu byl předán, s přihlédnutím k běžnému opotřebení, s doplněnými pohonnými hmotami (tj. </w:t>
      </w:r>
      <w:r>
        <w:t>plnou nádrží), a to v místě předání dle bodu 1.2 této Smlouvy.</w:t>
      </w:r>
    </w:p>
    <w:p w:rsidR="00100D60" w:rsidRDefault="004C7BBC">
      <w:pPr>
        <w:pStyle w:val="Zkladntext1"/>
        <w:framePr w:w="8798" w:h="5462" w:hRule="exact" w:wrap="none" w:vAnchor="page" w:hAnchor="page" w:x="1550" w:y="1686"/>
        <w:numPr>
          <w:ilvl w:val="1"/>
          <w:numId w:val="2"/>
        </w:numPr>
        <w:shd w:val="clear" w:color="auto" w:fill="auto"/>
        <w:tabs>
          <w:tab w:val="left" w:pos="672"/>
        </w:tabs>
        <w:spacing w:line="290" w:lineRule="auto"/>
        <w:ind w:left="700" w:hanging="700"/>
        <w:jc w:val="both"/>
      </w:pPr>
      <w:r>
        <w:t>V případě prodlení Nájemce s vrácením Předmětu nájmu Pronajímateli je Nájemce povinen zaplatit Pronajímateli smluvní pokutu, která činí 5.000, - Kč za každý den prodlení.</w:t>
      </w:r>
    </w:p>
    <w:p w:rsidR="00100D60" w:rsidRDefault="004C7BBC">
      <w:pPr>
        <w:pStyle w:val="Zkladntext1"/>
        <w:framePr w:w="8798" w:h="5462" w:hRule="exact" w:wrap="none" w:vAnchor="page" w:hAnchor="page" w:x="1550" w:y="1686"/>
        <w:numPr>
          <w:ilvl w:val="1"/>
          <w:numId w:val="2"/>
        </w:numPr>
        <w:shd w:val="clear" w:color="auto" w:fill="auto"/>
        <w:tabs>
          <w:tab w:val="left" w:pos="672"/>
        </w:tabs>
        <w:spacing w:line="290" w:lineRule="auto"/>
        <w:ind w:left="700" w:hanging="700"/>
        <w:jc w:val="both"/>
      </w:pPr>
      <w:r>
        <w:t>Jestliže ze strany Náj</w:t>
      </w:r>
      <w:r>
        <w:t>emce dojde k porušení smluvní povinnosti nebo povinnosti stanovené obecně závaznými předpisy související s předmětem této Smlouvy, je Pronajímatel oprávněn účtovat Nájemci smluvní pokutu ve výši 10.000, - za každý případ porušení.</w:t>
      </w:r>
    </w:p>
    <w:p w:rsidR="00100D60" w:rsidRDefault="004C7BBC">
      <w:pPr>
        <w:pStyle w:val="Zkladntext1"/>
        <w:framePr w:w="8798" w:h="5462" w:hRule="exact" w:wrap="none" w:vAnchor="page" w:hAnchor="page" w:x="1550" w:y="1686"/>
        <w:numPr>
          <w:ilvl w:val="1"/>
          <w:numId w:val="2"/>
        </w:numPr>
        <w:shd w:val="clear" w:color="auto" w:fill="auto"/>
        <w:tabs>
          <w:tab w:val="left" w:pos="672"/>
        </w:tabs>
        <w:spacing w:line="290" w:lineRule="auto"/>
        <w:ind w:left="700" w:hanging="700"/>
        <w:jc w:val="both"/>
      </w:pPr>
      <w:r>
        <w:t>V případě prodlení Nájemc</w:t>
      </w:r>
      <w:r>
        <w:t>e s úhradou nájemného dle této Smlouvy si Pronajímatel vyhrazuje právo účtovat Nájemci smluvní pokutu ve výši 0,05 % z dlužné částky za každý započatý den prodlení.</w:t>
      </w:r>
    </w:p>
    <w:p w:rsidR="00100D60" w:rsidRDefault="004C7BBC">
      <w:pPr>
        <w:pStyle w:val="Zkladntext1"/>
        <w:framePr w:w="8798" w:h="5462" w:hRule="exact" w:wrap="none" w:vAnchor="page" w:hAnchor="page" w:x="1550" w:y="1686"/>
        <w:numPr>
          <w:ilvl w:val="1"/>
          <w:numId w:val="2"/>
        </w:numPr>
        <w:shd w:val="clear" w:color="auto" w:fill="auto"/>
        <w:tabs>
          <w:tab w:val="left" w:pos="672"/>
        </w:tabs>
        <w:spacing w:line="290" w:lineRule="auto"/>
        <w:ind w:left="700" w:hanging="700"/>
        <w:jc w:val="both"/>
      </w:pPr>
      <w:r>
        <w:t>Zaplacením smluvní pokuty dle odst. 3.11, 3.12 a 3.13 není dotčeno právo Pronajímatele na n</w:t>
      </w:r>
      <w:r>
        <w:t>áhradu škody ve výši převyšující smluvní pokutu.</w:t>
      </w:r>
    </w:p>
    <w:p w:rsidR="00100D60" w:rsidRDefault="004C7BBC">
      <w:pPr>
        <w:pStyle w:val="Zkladntext1"/>
        <w:framePr w:w="8798" w:h="5462" w:hRule="exact" w:wrap="none" w:vAnchor="page" w:hAnchor="page" w:x="1550" w:y="1686"/>
        <w:numPr>
          <w:ilvl w:val="1"/>
          <w:numId w:val="2"/>
        </w:numPr>
        <w:shd w:val="clear" w:color="auto" w:fill="auto"/>
        <w:tabs>
          <w:tab w:val="left" w:pos="672"/>
        </w:tabs>
        <w:spacing w:after="0" w:line="290" w:lineRule="auto"/>
        <w:ind w:left="700" w:hanging="700"/>
        <w:jc w:val="both"/>
      </w:pPr>
      <w:r>
        <w:t>V případě prodlení Pronajímatele s předáním Předmětu nájmu Nájemci je Pronajímatel povinen zaplatit Nájemci smluvní pokutu, která činí 5.000, - Kč za každý započatý den prodlení.</w:t>
      </w:r>
    </w:p>
    <w:p w:rsidR="00100D60" w:rsidRDefault="004C7BBC">
      <w:pPr>
        <w:pStyle w:val="Nadpis30"/>
        <w:framePr w:w="8798" w:h="7781" w:hRule="exact" w:wrap="none" w:vAnchor="page" w:hAnchor="page" w:x="1550" w:y="7897"/>
        <w:numPr>
          <w:ilvl w:val="0"/>
          <w:numId w:val="2"/>
        </w:numPr>
        <w:shd w:val="clear" w:color="auto" w:fill="auto"/>
        <w:tabs>
          <w:tab w:val="left" w:pos="672"/>
        </w:tabs>
        <w:spacing w:line="290" w:lineRule="auto"/>
        <w:jc w:val="both"/>
      </w:pPr>
      <w:bookmarkStart w:id="14" w:name="bookmark14"/>
      <w:bookmarkStart w:id="15" w:name="bookmark15"/>
      <w:r>
        <w:t>Závěrečná ustanovení</w:t>
      </w:r>
      <w:bookmarkEnd w:id="14"/>
      <w:bookmarkEnd w:id="15"/>
    </w:p>
    <w:p w:rsidR="00100D60" w:rsidRDefault="004C7BBC">
      <w:pPr>
        <w:pStyle w:val="Zkladntext1"/>
        <w:framePr w:w="8798" w:h="7781" w:hRule="exact" w:wrap="none" w:vAnchor="page" w:hAnchor="page" w:x="1550" w:y="7897"/>
        <w:shd w:val="clear" w:color="auto" w:fill="auto"/>
        <w:spacing w:line="290" w:lineRule="auto"/>
        <w:ind w:left="700" w:hanging="700"/>
        <w:jc w:val="both"/>
      </w:pPr>
      <w:r>
        <w:t xml:space="preserve">4.1 </w:t>
      </w:r>
      <w:r>
        <w:t>Nájemce bere na vědomí a souhlasí s tím, že tato Smlouva, včetně případných dodatků, podléhá povinnosti uveřejnění v registru smluv vedeném Ministerstvem vnitra ČR dle zákona č. 340/2015 Sb. o zvláštních podmínkách účinnost některých smluv, uveřejňování tě</w:t>
      </w:r>
      <w:r>
        <w:t>chto smluv (zákon o registru smluv) a bude včetně jejích příloh uveřejněna v souladu s tímto zákonem v registru smluv. Zveřejnění smlouvy zajistí Pronajímatel, a to v zákonem stanovené lhůtě.</w:t>
      </w:r>
    </w:p>
    <w:p w:rsidR="00100D60" w:rsidRDefault="004C7BBC">
      <w:pPr>
        <w:pStyle w:val="Zkladntext1"/>
        <w:framePr w:w="8798" w:h="7781" w:hRule="exact" w:wrap="none" w:vAnchor="page" w:hAnchor="page" w:x="1550" w:y="7897"/>
        <w:numPr>
          <w:ilvl w:val="0"/>
          <w:numId w:val="4"/>
        </w:numPr>
        <w:shd w:val="clear" w:color="auto" w:fill="auto"/>
        <w:tabs>
          <w:tab w:val="left" w:pos="672"/>
        </w:tabs>
        <w:spacing w:line="290" w:lineRule="auto"/>
        <w:ind w:left="700" w:hanging="700"/>
        <w:jc w:val="both"/>
      </w:pPr>
      <w:r>
        <w:t xml:space="preserve">Tato Smlouva je platná dnem jejího podpisu smluvními stranami a </w:t>
      </w:r>
      <w:r>
        <w:t>účinná okamžikem zveřejnění v registru smluv. Smluvní strany shodně potvrzují, že podle pravidel této Smlouvy mají v úmyslu být vázány od 14. 06. 2024.</w:t>
      </w:r>
    </w:p>
    <w:p w:rsidR="00100D60" w:rsidRDefault="004C7BBC">
      <w:pPr>
        <w:pStyle w:val="Zkladntext1"/>
        <w:framePr w:w="8798" w:h="7781" w:hRule="exact" w:wrap="none" w:vAnchor="page" w:hAnchor="page" w:x="1550" w:y="7897"/>
        <w:numPr>
          <w:ilvl w:val="0"/>
          <w:numId w:val="4"/>
        </w:numPr>
        <w:shd w:val="clear" w:color="auto" w:fill="auto"/>
        <w:tabs>
          <w:tab w:val="left" w:pos="672"/>
        </w:tabs>
        <w:spacing w:line="290" w:lineRule="auto"/>
        <w:ind w:left="700" w:hanging="700"/>
        <w:jc w:val="both"/>
      </w:pPr>
      <w:r>
        <w:t xml:space="preserve">Tuto Smlouvu lze měnit pouze vzestupně číslovanými písemnými dodatky podepsanými oběma smluvními </w:t>
      </w:r>
      <w:r>
        <w:t>stranami, přičemž smluvní strany s odkazem na § 1758 občanského zákoníku výslovně prohlašují, že nechtějí být vázány, nebude-li tato forma dodržena.</w:t>
      </w:r>
    </w:p>
    <w:p w:rsidR="00100D60" w:rsidRDefault="004C7BBC">
      <w:pPr>
        <w:pStyle w:val="Zkladntext1"/>
        <w:framePr w:w="8798" w:h="7781" w:hRule="exact" w:wrap="none" w:vAnchor="page" w:hAnchor="page" w:x="1550" w:y="7897"/>
        <w:numPr>
          <w:ilvl w:val="0"/>
          <w:numId w:val="4"/>
        </w:numPr>
        <w:shd w:val="clear" w:color="auto" w:fill="auto"/>
        <w:tabs>
          <w:tab w:val="left" w:pos="672"/>
        </w:tabs>
        <w:spacing w:line="290" w:lineRule="auto"/>
        <w:ind w:left="700" w:hanging="700"/>
        <w:jc w:val="both"/>
      </w:pPr>
      <w:r>
        <w:t>Práva a povinnosti vyplývající z této Smlouvy se řídí právem České republiky. Pro případné spory mezi smluv</w:t>
      </w:r>
      <w:r>
        <w:t>ními stranami se sjednává příslušnost soudů České republiky.</w:t>
      </w:r>
    </w:p>
    <w:p w:rsidR="00100D60" w:rsidRDefault="004C7BBC">
      <w:pPr>
        <w:pStyle w:val="Zkladntext1"/>
        <w:framePr w:w="8798" w:h="7781" w:hRule="exact" w:wrap="none" w:vAnchor="page" w:hAnchor="page" w:x="1550" w:y="7897"/>
        <w:numPr>
          <w:ilvl w:val="0"/>
          <w:numId w:val="4"/>
        </w:numPr>
        <w:shd w:val="clear" w:color="auto" w:fill="auto"/>
        <w:tabs>
          <w:tab w:val="left" w:pos="672"/>
        </w:tabs>
        <w:spacing w:line="290" w:lineRule="auto"/>
        <w:ind w:left="700" w:hanging="700"/>
        <w:jc w:val="both"/>
      </w:pPr>
      <w:r>
        <w:t>Smluvní strany prohlašují a svým podpisem potvrzují, že se žádná z nich necítí být a nepovažuje se za slabší smluvní stranu v porovnání s druhou smluvní stranou a že měly možnost seznámit se s te</w:t>
      </w:r>
      <w:r>
        <w:t>xtem a obsahem této Smlouvy, obsahu rozumí, chtějí jím být vázány a smluvní ujednání společně dostatečně projednaly. Podpisem této Smlouvy obě smluvní strany potvrzují, že byla uzavřena podle jejich svobodné vůle, vážně, nikoli za nápadně nevýhodných podmí</w:t>
      </w:r>
      <w:r>
        <w:t>nek.</w:t>
      </w:r>
    </w:p>
    <w:p w:rsidR="00100D60" w:rsidRDefault="004C7BBC">
      <w:pPr>
        <w:pStyle w:val="Zkladntext1"/>
        <w:framePr w:w="8798" w:h="7781" w:hRule="exact" w:wrap="none" w:vAnchor="page" w:hAnchor="page" w:x="1550" w:y="7897"/>
        <w:numPr>
          <w:ilvl w:val="0"/>
          <w:numId w:val="4"/>
        </w:numPr>
        <w:shd w:val="clear" w:color="auto" w:fill="auto"/>
        <w:tabs>
          <w:tab w:val="left" w:pos="672"/>
        </w:tabs>
        <w:spacing w:after="0" w:line="290" w:lineRule="auto"/>
        <w:ind w:left="700" w:hanging="700"/>
        <w:jc w:val="both"/>
      </w:pPr>
      <w:r>
        <w:t>Stane-li se některé ustanovení této Smlouvy neplatným nebo neúčinným, neznamená tato skutečnost neplatnost Smlouvy jako celku. Obě smluvní strany se zavazují, nahradit takováto neplatná nebo neúčinná ustanovení takovými ustanoveními, která jsou svým h</w:t>
      </w:r>
      <w:r>
        <w:t>ospodářským a obchodním významem nejbližší.</w:t>
      </w:r>
    </w:p>
    <w:p w:rsidR="00100D60" w:rsidRDefault="004C7BBC">
      <w:pPr>
        <w:pStyle w:val="Zhlavnebozpat0"/>
        <w:framePr w:wrap="none" w:vAnchor="page" w:hAnchor="page" w:x="5870" w:y="15951"/>
        <w:shd w:val="clear" w:color="auto" w:fill="auto"/>
      </w:pPr>
      <w:r>
        <w:t>4</w:t>
      </w:r>
    </w:p>
    <w:p w:rsidR="00100D60" w:rsidRDefault="00100D60">
      <w:pPr>
        <w:spacing w:line="1" w:lineRule="exact"/>
        <w:sectPr w:rsidR="00100D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0D60" w:rsidRDefault="004C7BB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3785235</wp:posOffset>
                </wp:positionH>
                <wp:positionV relativeFrom="page">
                  <wp:posOffset>4770120</wp:posOffset>
                </wp:positionV>
                <wp:extent cx="275526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526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298.05000000000001pt;margin-top:375.60000000000002pt;width:216.94999999999999pt;height:0;z-index:-251658240;mso-position-horizontal-relative:page;mso-position-vertical-relative:page">
                <v:stroke weight="0.94999999999999996pt"/>
              </v:shape>
            </w:pict>
          </mc:Fallback>
        </mc:AlternateContent>
      </w:r>
    </w:p>
    <w:p w:rsidR="00100D60" w:rsidRDefault="004C7BBC">
      <w:pPr>
        <w:pStyle w:val="Zkladntext1"/>
        <w:framePr w:w="8798" w:h="1013" w:hRule="exact" w:wrap="none" w:vAnchor="page" w:hAnchor="page" w:x="1550" w:y="1686"/>
        <w:numPr>
          <w:ilvl w:val="0"/>
          <w:numId w:val="4"/>
        </w:numPr>
        <w:shd w:val="clear" w:color="auto" w:fill="auto"/>
        <w:tabs>
          <w:tab w:val="left" w:pos="682"/>
        </w:tabs>
        <w:spacing w:line="290" w:lineRule="auto"/>
        <w:ind w:left="700" w:hanging="700"/>
      </w:pPr>
      <w:r>
        <w:t>Práva a povinnosti výslovně neupravené touto Smlouvou se řídí ustanoveními zákona č. 89/2012 Sb., občanského zákoníku.</w:t>
      </w:r>
    </w:p>
    <w:p w:rsidR="00100D60" w:rsidRDefault="004C7BBC">
      <w:pPr>
        <w:pStyle w:val="Zkladntext1"/>
        <w:framePr w:w="8798" w:h="1013" w:hRule="exact" w:wrap="none" w:vAnchor="page" w:hAnchor="page" w:x="1550" w:y="1686"/>
        <w:numPr>
          <w:ilvl w:val="0"/>
          <w:numId w:val="4"/>
        </w:numPr>
        <w:shd w:val="clear" w:color="auto" w:fill="auto"/>
        <w:tabs>
          <w:tab w:val="left" w:pos="682"/>
        </w:tabs>
        <w:spacing w:after="0" w:line="290" w:lineRule="auto"/>
      </w:pPr>
      <w:r>
        <w:t>Následující přílohy tvoří nedílnou součást této Smlouvy:</w:t>
      </w:r>
    </w:p>
    <w:p w:rsidR="00100D60" w:rsidRDefault="004C7BBC">
      <w:pPr>
        <w:pStyle w:val="Zkladntext1"/>
        <w:framePr w:wrap="none" w:vAnchor="page" w:hAnchor="page" w:x="1550" w:y="2891"/>
        <w:shd w:val="clear" w:color="auto" w:fill="auto"/>
        <w:spacing w:after="0" w:line="240" w:lineRule="auto"/>
        <w:ind w:left="1600"/>
      </w:pPr>
      <w:r>
        <w:rPr>
          <w:b/>
          <w:bCs/>
        </w:rPr>
        <w:t xml:space="preserve">Příloha č. 1 </w:t>
      </w:r>
      <w:r>
        <w:t>- Předávací protokol</w:t>
      </w:r>
    </w:p>
    <w:p w:rsidR="00100D60" w:rsidRDefault="004C7BBC">
      <w:pPr>
        <w:pStyle w:val="Zkladntext1"/>
        <w:framePr w:wrap="none" w:vAnchor="page" w:hAnchor="page" w:x="1555" w:y="5439"/>
        <w:shd w:val="clear" w:color="auto" w:fill="auto"/>
        <w:spacing w:after="0" w:line="240" w:lineRule="auto"/>
      </w:pPr>
      <w:r>
        <w:t>V Mostě dne 20. 6. 2024</w:t>
      </w:r>
    </w:p>
    <w:p w:rsidR="00100D60" w:rsidRDefault="004C7BBC">
      <w:pPr>
        <w:pStyle w:val="Zkladntext1"/>
        <w:framePr w:wrap="none" w:vAnchor="page" w:hAnchor="page" w:x="5875" w:y="5439"/>
        <w:shd w:val="clear" w:color="auto" w:fill="auto"/>
        <w:spacing w:after="0" w:line="240" w:lineRule="auto"/>
      </w:pPr>
      <w:r>
        <w:t>V Mostě dne 20. 6. 2024</w:t>
      </w:r>
    </w:p>
    <w:p w:rsidR="00100D60" w:rsidRDefault="004C7BBC">
      <w:pPr>
        <w:pStyle w:val="Zkladntext1"/>
        <w:framePr w:w="8798" w:h="1651" w:hRule="exact" w:wrap="none" w:vAnchor="page" w:hAnchor="page" w:x="1550" w:y="7585"/>
        <w:pBdr>
          <w:top w:val="single" w:sz="4" w:space="0" w:color="auto"/>
        </w:pBdr>
        <w:shd w:val="clear" w:color="auto" w:fill="auto"/>
        <w:spacing w:after="0" w:line="336" w:lineRule="auto"/>
        <w:ind w:left="10" w:right="6091"/>
      </w:pPr>
      <w:r>
        <w:rPr>
          <w:b/>
          <w:bCs/>
        </w:rPr>
        <w:t>DOPRAVNÍ PODNIK</w:t>
      </w:r>
      <w:r>
        <w:rPr>
          <w:b/>
          <w:bCs/>
        </w:rPr>
        <w:br/>
        <w:t>měst Mostu a Litvínova, a.s.</w:t>
      </w:r>
      <w:r>
        <w:rPr>
          <w:b/>
          <w:bCs/>
        </w:rPr>
        <w:br/>
      </w:r>
      <w:r>
        <w:t>MUDr. Sáša Štembera</w:t>
      </w:r>
      <w:r>
        <w:br/>
      </w:r>
      <w:r>
        <w:rPr>
          <w:i/>
          <w:iCs/>
        </w:rPr>
        <w:t>předseda představenstva</w:t>
      </w:r>
      <w:r>
        <w:rPr>
          <w:i/>
          <w:iCs/>
        </w:rPr>
        <w:br/>
        <w:t>(pronajímatel)</w:t>
      </w:r>
    </w:p>
    <w:p w:rsidR="00100D60" w:rsidRDefault="004C7BBC">
      <w:pPr>
        <w:pStyle w:val="Zkladntext1"/>
        <w:framePr w:w="3250" w:h="917" w:hRule="exact" w:wrap="none" w:vAnchor="page" w:hAnchor="page" w:x="5870" w:y="7595"/>
        <w:shd w:val="clear" w:color="auto" w:fill="auto"/>
        <w:spacing w:after="80" w:line="240" w:lineRule="auto"/>
        <w:ind w:left="24" w:right="10"/>
      </w:pPr>
      <w:r>
        <w:rPr>
          <w:b/>
          <w:bCs/>
        </w:rPr>
        <w:t xml:space="preserve">Dopravní společnost Teplice, </w:t>
      </w:r>
      <w:proofErr w:type="spellStart"/>
      <w:proofErr w:type="gram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  <w:proofErr w:type="gramEnd"/>
    </w:p>
    <w:p w:rsidR="00100D60" w:rsidRDefault="004C7BBC">
      <w:pPr>
        <w:pStyle w:val="Zkladntext1"/>
        <w:framePr w:w="3250" w:h="917" w:hRule="exact" w:wrap="none" w:vAnchor="page" w:hAnchor="page" w:x="5870" w:y="7595"/>
        <w:shd w:val="clear" w:color="auto" w:fill="auto"/>
        <w:spacing w:after="80" w:line="240" w:lineRule="auto"/>
        <w:ind w:left="24" w:right="10"/>
      </w:pPr>
      <w:r>
        <w:rPr>
          <w:b/>
          <w:bCs/>
        </w:rPr>
        <w:t xml:space="preserve">Ing. František </w:t>
      </w:r>
      <w:proofErr w:type="spellStart"/>
      <w:r>
        <w:rPr>
          <w:b/>
          <w:bCs/>
        </w:rPr>
        <w:t>Stožický</w:t>
      </w:r>
      <w:proofErr w:type="spellEnd"/>
    </w:p>
    <w:p w:rsidR="00100D60" w:rsidRDefault="004C7BBC">
      <w:pPr>
        <w:pStyle w:val="Zkladntext1"/>
        <w:framePr w:w="3250" w:h="917" w:hRule="exact" w:wrap="none" w:vAnchor="page" w:hAnchor="page" w:x="5870" w:y="7595"/>
        <w:shd w:val="clear" w:color="auto" w:fill="auto"/>
        <w:spacing w:after="0" w:line="240" w:lineRule="auto"/>
        <w:ind w:left="24" w:right="10"/>
      </w:pPr>
      <w:r>
        <w:t>(nájemce)</w:t>
      </w:r>
    </w:p>
    <w:p w:rsidR="00100D60" w:rsidRDefault="004C7BBC">
      <w:pPr>
        <w:pStyle w:val="Nadpis30"/>
        <w:framePr w:w="8798" w:h="3053" w:hRule="exact" w:wrap="none" w:vAnchor="page" w:hAnchor="page" w:x="1550" w:y="9615"/>
        <w:pBdr>
          <w:top w:val="single" w:sz="4" w:space="0" w:color="auto"/>
        </w:pBdr>
        <w:shd w:val="clear" w:color="auto" w:fill="auto"/>
        <w:spacing w:line="240" w:lineRule="auto"/>
      </w:pPr>
      <w:bookmarkStart w:id="16" w:name="bookmark28"/>
      <w:bookmarkStart w:id="17" w:name="bookmark29"/>
      <w:r>
        <w:t>DOPRAVNÍ PODNIK</w:t>
      </w:r>
      <w:bookmarkEnd w:id="16"/>
      <w:bookmarkEnd w:id="17"/>
    </w:p>
    <w:p w:rsidR="00100D60" w:rsidRDefault="004C7BBC">
      <w:pPr>
        <w:pStyle w:val="Nadpis30"/>
        <w:framePr w:w="8798" w:h="3053" w:hRule="exact" w:wrap="none" w:vAnchor="page" w:hAnchor="page" w:x="1550" w:y="9615"/>
        <w:shd w:val="clear" w:color="auto" w:fill="auto"/>
        <w:spacing w:line="240" w:lineRule="auto"/>
      </w:pPr>
      <w:bookmarkStart w:id="18" w:name="bookmark30"/>
      <w:bookmarkStart w:id="19" w:name="bookmark31"/>
      <w:r>
        <w:t>měst Mostu a Litvínova, a.s.</w:t>
      </w:r>
      <w:bookmarkEnd w:id="18"/>
      <w:bookmarkEnd w:id="19"/>
    </w:p>
    <w:p w:rsidR="00100D60" w:rsidRDefault="004C7BBC">
      <w:pPr>
        <w:pStyle w:val="Zkladntext1"/>
        <w:framePr w:w="8798" w:h="3053" w:hRule="exact" w:wrap="none" w:vAnchor="page" w:hAnchor="page" w:x="1550" w:y="9615"/>
        <w:shd w:val="clear" w:color="auto" w:fill="auto"/>
        <w:spacing w:after="80" w:line="240" w:lineRule="auto"/>
      </w:pPr>
      <w:r>
        <w:t xml:space="preserve">Bc. Daniel </w:t>
      </w:r>
      <w:proofErr w:type="spellStart"/>
      <w:r>
        <w:t>Dunovský</w:t>
      </w:r>
      <w:proofErr w:type="spellEnd"/>
    </w:p>
    <w:p w:rsidR="00100D60" w:rsidRDefault="004C7BBC">
      <w:pPr>
        <w:pStyle w:val="Zkladntext1"/>
        <w:framePr w:w="8798" w:h="3053" w:hRule="exact" w:wrap="none" w:vAnchor="page" w:hAnchor="page" w:x="1550" w:y="9615"/>
        <w:shd w:val="clear" w:color="auto" w:fill="auto"/>
        <w:spacing w:after="80" w:line="240" w:lineRule="auto"/>
      </w:pPr>
      <w:r>
        <w:rPr>
          <w:i/>
          <w:iCs/>
        </w:rPr>
        <w:t>místopředseda představenstva</w:t>
      </w:r>
    </w:p>
    <w:p w:rsidR="00100D60" w:rsidRDefault="004C7BBC">
      <w:pPr>
        <w:pStyle w:val="Zkladntext1"/>
        <w:framePr w:w="8798" w:h="3053" w:hRule="exact" w:wrap="none" w:vAnchor="page" w:hAnchor="page" w:x="1550" w:y="9615"/>
        <w:shd w:val="clear" w:color="auto" w:fill="auto"/>
        <w:spacing w:after="0" w:line="240" w:lineRule="auto"/>
      </w:pPr>
      <w:r>
        <w:rPr>
          <w:i/>
          <w:iCs/>
        </w:rPr>
        <w:t>(pronajímatel)</w:t>
      </w:r>
    </w:p>
    <w:p w:rsidR="00100D60" w:rsidRDefault="004C7BBC">
      <w:pPr>
        <w:pStyle w:val="Zhlavnebozpat0"/>
        <w:framePr w:wrap="none" w:vAnchor="page" w:hAnchor="page" w:x="5875" w:y="15951"/>
        <w:shd w:val="clear" w:color="auto" w:fill="auto"/>
      </w:pPr>
      <w:r>
        <w:t>5</w:t>
      </w:r>
    </w:p>
    <w:p w:rsidR="00100D60" w:rsidRDefault="00100D60">
      <w:pPr>
        <w:spacing w:line="1" w:lineRule="exact"/>
      </w:pPr>
      <w:bookmarkStart w:id="20" w:name="_GoBack"/>
      <w:bookmarkEnd w:id="20"/>
    </w:p>
    <w:sectPr w:rsidR="00100D6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7BBC">
      <w:r>
        <w:separator/>
      </w:r>
    </w:p>
  </w:endnote>
  <w:endnote w:type="continuationSeparator" w:id="0">
    <w:p w:rsidR="00000000" w:rsidRDefault="004C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60" w:rsidRDefault="00100D60"/>
  </w:footnote>
  <w:footnote w:type="continuationSeparator" w:id="0">
    <w:p w:rsidR="00100D60" w:rsidRDefault="00100D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E81"/>
    <w:multiLevelType w:val="multilevel"/>
    <w:tmpl w:val="F670B316"/>
    <w:lvl w:ilvl="0">
      <w:start w:val="2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17198"/>
    <w:multiLevelType w:val="multilevel"/>
    <w:tmpl w:val="50AC675A"/>
    <w:lvl w:ilvl="0">
      <w:start w:val="2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30717"/>
    <w:multiLevelType w:val="multilevel"/>
    <w:tmpl w:val="3622FD48"/>
    <w:lvl w:ilvl="0">
      <w:start w:val="1"/>
      <w:numFmt w:val="upperLetter"/>
      <w:lvlText w:val="(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331DD"/>
    <w:multiLevelType w:val="multilevel"/>
    <w:tmpl w:val="5FEC675E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00D60"/>
    <w:rsid w:val="00100D60"/>
    <w:rsid w:val="004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93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 w:line="310" w:lineRule="auto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auto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5" w:lineRule="auto"/>
      <w:outlineLvl w:val="0"/>
    </w:pPr>
    <w:rPr>
      <w:rFonts w:ascii="Segoe UI" w:eastAsia="Segoe UI" w:hAnsi="Segoe UI" w:cs="Segoe U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93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 w:line="310" w:lineRule="auto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auto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5" w:lineRule="auto"/>
      <w:outlineLvl w:val="0"/>
    </w:pPr>
    <w:rPr>
      <w:rFonts w:ascii="Segoe UI" w:eastAsia="Segoe UI" w:hAnsi="Segoe UI" w:cs="Segoe U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dtepl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1478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</vt:lpstr>
    </vt:vector>
  </TitlesOfParts>
  <Company>HP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</dc:title>
  <dc:subject/>
  <dc:creator>Pašková Aneta, Mgr.</dc:creator>
  <cp:keywords/>
  <cp:lastModifiedBy>Marcela Valová</cp:lastModifiedBy>
  <cp:revision>2</cp:revision>
  <dcterms:created xsi:type="dcterms:W3CDTF">2024-06-24T09:17:00Z</dcterms:created>
  <dcterms:modified xsi:type="dcterms:W3CDTF">2024-06-24T09:25:00Z</dcterms:modified>
</cp:coreProperties>
</file>