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4277" w:h="341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685/2024 Oceněný soupis prací</w:t>
      </w:r>
    </w:p>
    <w:p>
      <w:pPr>
        <w:pStyle w:val="Style4"/>
        <w:keepNext w:val="0"/>
        <w:keepLines w:val="0"/>
        <w:framePr w:w="682" w:h="278" w:wrap="none" w:hAnchor="page" w:x="1040" w:y="140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Materiál:</w:t>
      </w:r>
    </w:p>
    <w:tbl>
      <w:tblPr>
        <w:tblOverlap w:val="never"/>
        <w:jc w:val="left"/>
        <w:tblLayout w:type="fixed"/>
      </w:tblPr>
      <w:tblGrid>
        <w:gridCol w:w="552"/>
        <w:gridCol w:w="4378"/>
        <w:gridCol w:w="1109"/>
        <w:gridCol w:w="811"/>
        <w:gridCol w:w="970"/>
        <w:gridCol w:w="931"/>
      </w:tblGrid>
      <w:tr>
        <w:trPr>
          <w:trHeight w:val="36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220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Ceník potápěčských prací - 2023-2024</w:t>
            </w:r>
          </w:p>
        </w:tc>
      </w:tr>
      <w:tr>
        <w:trPr>
          <w:trHeight w:val="46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Kč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bez DPH</w:t>
            </w:r>
          </w:p>
        </w:tc>
      </w:tr>
      <w:tr>
        <w:trPr>
          <w:trHeight w:val="45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1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01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 Potápěčské práce stavební - VD Jirkov - kontrola stavu vnějšího povrchu šachtového přelivu,</w:t>
            </w:r>
          </w:p>
        </w:tc>
        <w:tc>
          <w:tcPr>
            <w:tcBorders>
              <w:top w:val="single" w:sz="4"/>
            </w:tcBorders>
            <w:shd w:val="clear" w:color="auto" w:fill="FFFF01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</w:t>
            </w:r>
          </w:p>
        </w:tc>
        <w:tc>
          <w:tcPr>
            <w:vMerge w:val="restart"/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301 274,50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left w:val="single" w:sz="4"/>
            </w:tcBorders>
            <w:shd w:val="clear" w:color="auto" w:fill="FFFF01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práce 2024, č. akce 201 744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right w:val="single" w:sz="4"/>
            </w:tcBorders>
            <w:shd w:val="clear" w:color="auto" w:fill="FFFF01"/>
            <w:vAlign w:val="bottom"/>
          </w:tcPr>
          <w:p>
            <w:pPr>
              <w:framePr w:w="8750" w:h="13080" w:wrap="none" w:hAnchor="page" w:x="1040" w:y="759"/>
            </w:pPr>
          </w:p>
        </w:tc>
      </w:tr>
      <w:tr>
        <w:trPr>
          <w:trHeight w:val="23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115,5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230 884,50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27 992,00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15 996,00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 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 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 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 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 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5 997,00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 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 í přilbová souprava do kontaminované vody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 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509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437" w:lineRule="auto"/>
              <w:ind w:left="2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 vzduchová bruska pod vodou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 den den den den den den 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320" w:right="0" w:firstLine="1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399,00 1 999,00 1 499,00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30" w:hRule="exact"/>
        </w:trPr>
        <w:tc>
          <w:tcPr>
            <w:vMerge w:val="restart"/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1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</w:tr>
      <w:tr>
        <w:trPr>
          <w:trHeight w:val="22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5 Potápěčská technika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12 486,00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Kč bez DPH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1 497,00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8 899,00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3 520,00</w:t>
            </w: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 6 Ostatní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8750" w:h="13080" w:wrap="none" w:hAnchor="page" w:x="1040" w:y="7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framePr w:w="8750" w:h="13080" w:wrap="none" w:hAnchor="page" w:x="1040" w:y="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13 916,00</w:t>
            </w:r>
          </w:p>
        </w:tc>
      </w:tr>
    </w:tbl>
    <w:p>
      <w:pPr>
        <w:framePr w:w="8750" w:h="13080" w:wrap="none" w:hAnchor="page" w:x="1040" w:y="759"/>
        <w:widowControl w:val="0"/>
        <w:spacing w:line="1" w:lineRule="exact"/>
      </w:pPr>
    </w:p>
    <w:p>
      <w:pPr>
        <w:pStyle w:val="Style10"/>
        <w:keepNext w:val="0"/>
        <w:keepLines w:val="0"/>
        <w:framePr w:w="8246" w:h="518" w:wrap="none" w:hAnchor="page" w:x="1040" w:y="147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5 kvalifikovanými pracovníky v časovém fondu 3 pracovní dny. V pracovním dnu se provede 1 ponor. Veškeré ponory musí být realizovány potápěčem a zajištěny jisticím potápěčem.</w:t>
      </w:r>
    </w:p>
    <w:p>
      <w:pPr>
        <w:widowControl w:val="0"/>
        <w:spacing w:line="360" w:lineRule="exact"/>
      </w:pPr>
      <w:r>
        <w:drawing>
          <wp:anchor distT="0" distB="274320" distL="0" distR="0" simplePos="0" relativeHeight="62914690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429895</wp:posOffset>
            </wp:positionV>
            <wp:extent cx="5601970" cy="836358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01970" cy="83635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15" w:left="996" w:right="1039" w:bottom="598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6850380</wp:posOffset>
              </wp:positionH>
              <wp:positionV relativeFrom="page">
                <wp:posOffset>10245725</wp:posOffset>
              </wp:positionV>
              <wp:extent cx="52070" cy="13716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39.39999999999998pt;margin-top:806.75pt;width:4.0999999999999996pt;height:10.80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firstLine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32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