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305" w:rsidRDefault="004F0305" w:rsidP="004F0305">
      <w:pPr>
        <w:pStyle w:val="Bodytext30"/>
      </w:pPr>
      <w:r>
        <w:rPr>
          <w:noProof/>
        </w:rPr>
        <mc:AlternateContent>
          <mc:Choice Requires="wps">
            <w:drawing>
              <wp:anchor distT="0" distB="0" distL="114300" distR="114300" simplePos="0" relativeHeight="251654656" behindDoc="0" locked="0" layoutInCell="1" allowOverlap="1">
                <wp:simplePos x="0" y="0"/>
                <wp:positionH relativeFrom="page">
                  <wp:posOffset>5521960</wp:posOffset>
                </wp:positionH>
                <wp:positionV relativeFrom="paragraph">
                  <wp:posOffset>76200</wp:posOffset>
                </wp:positionV>
                <wp:extent cx="1181100" cy="164465"/>
                <wp:effectExtent l="0" t="0" r="0" b="0"/>
                <wp:wrapSquare wrapText="left"/>
                <wp:docPr id="2" name="Textové pole 2"/>
                <wp:cNvGraphicFramePr/>
                <a:graphic xmlns:a="http://schemas.openxmlformats.org/drawingml/2006/main">
                  <a:graphicData uri="http://schemas.microsoft.com/office/word/2010/wordprocessingShape">
                    <wps:wsp>
                      <wps:cNvSpPr txBox="1"/>
                      <wps:spPr>
                        <a:xfrm>
                          <a:off x="0" y="0"/>
                          <a:ext cx="1181100" cy="164465"/>
                        </a:xfrm>
                        <a:prstGeom prst="rect">
                          <a:avLst/>
                        </a:prstGeom>
                        <a:noFill/>
                      </wps:spPr>
                      <wps:txbx>
                        <w:txbxContent>
                          <w:p w:rsidR="004F0305" w:rsidRDefault="004F0305" w:rsidP="004F0305">
                            <w:pPr>
                              <w:pStyle w:val="Bodytext20"/>
                            </w:pPr>
                            <w:r>
                              <w:rPr>
                                <w:color w:val="000000"/>
                              </w:rPr>
                              <w:t>OBCHODNÍ NABÍDKA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434.8pt;margin-top:6pt;width:93pt;height:12.95pt;z-index:25165465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" filled="f" stroked="f">
                <v:textbox inset="0,0,0,0">
                  <w:txbxContent>
                    <w:p w:rsidR="004F0305" w:rsidRDefault="004F0305" w:rsidP="004F0305">
                      <w:pPr>
                        <w:pStyle w:val="Bodytext20"/>
                      </w:pPr>
                      <w:r>
                        <w:rPr>
                          <w:color w:val="000000"/>
                        </w:rPr>
                        <w:t>OBCHODNÍ NABÍDKA</w:t>
                      </w:r>
                    </w:p>
                  </w:txbxContent>
                </v:textbox>
                <w10:wrap type="square" side="left" anchorx="page"/>
              </v:shape>
            </w:pict>
          </mc:Fallback>
        </mc:AlternateContent>
      </w:r>
      <w:proofErr w:type="spellStart"/>
      <w:r>
        <w:rPr>
          <w:color w:val="000000"/>
        </w:rPr>
        <w:t>mmcité</w:t>
      </w:r>
      <w:proofErr w:type="spellEnd"/>
    </w:p>
    <w:tbl>
      <w:tblPr>
        <w:tblOverlap w:val="never"/>
        <w:tblW w:w="0" w:type="auto"/>
        <w:tblLayout w:type="fixed"/>
        <w:tblCellMar>
          <w:left w:w="10" w:type="dxa"/>
          <w:right w:w="10" w:type="dxa"/>
        </w:tblCellMar>
        <w:tblLook w:val="04A0" w:firstRow="1" w:lastRow="0" w:firstColumn="1" w:lastColumn="0" w:noHBand="0" w:noVBand="1"/>
      </w:tblPr>
      <w:tblGrid>
        <w:gridCol w:w="970"/>
        <w:gridCol w:w="5448"/>
      </w:tblGrid>
      <w:tr w:rsidR="004F0305" w:rsidTr="004F0305">
        <w:trPr>
          <w:trHeight w:hRule="exact" w:val="317"/>
        </w:trPr>
        <w:tc>
          <w:tcPr>
            <w:tcW w:w="970" w:type="dxa"/>
            <w:shd w:val="clear" w:color="auto" w:fill="FFFFFF"/>
            <w:hideMark/>
          </w:tcPr>
          <w:p w:rsidR="004F0305" w:rsidRDefault="004F0305">
            <w:pPr>
              <w:pStyle w:val="Other10"/>
            </w:pPr>
            <w:r>
              <w:rPr>
                <w:b/>
                <w:bCs/>
                <w:color w:val="000000"/>
              </w:rPr>
              <w:t>Název:</w:t>
            </w:r>
          </w:p>
        </w:tc>
        <w:tc>
          <w:tcPr>
            <w:tcW w:w="5448" w:type="dxa"/>
            <w:shd w:val="clear" w:color="auto" w:fill="FFFFFF"/>
            <w:hideMark/>
          </w:tcPr>
          <w:p w:rsidR="004F0305" w:rsidRDefault="004F0305">
            <w:pPr>
              <w:pStyle w:val="Other10"/>
              <w:ind w:firstLine="360"/>
              <w:rPr>
                <w:sz w:val="16"/>
                <w:szCs w:val="16"/>
              </w:rPr>
            </w:pPr>
            <w:proofErr w:type="spellStart"/>
            <w:r>
              <w:rPr>
                <w:b/>
                <w:bCs/>
                <w:color w:val="000000"/>
                <w:sz w:val="16"/>
                <w:szCs w:val="16"/>
              </w:rPr>
              <w:t>Kroměříž_odpočinková</w:t>
            </w:r>
            <w:proofErr w:type="spellEnd"/>
            <w:r>
              <w:rPr>
                <w:b/>
                <w:bCs/>
                <w:color w:val="000000"/>
                <w:sz w:val="16"/>
                <w:szCs w:val="16"/>
              </w:rPr>
              <w:t xml:space="preserve"> zóna </w:t>
            </w:r>
            <w:proofErr w:type="spellStart"/>
            <w:r>
              <w:rPr>
                <w:b/>
                <w:bCs/>
                <w:color w:val="000000"/>
                <w:sz w:val="16"/>
                <w:szCs w:val="16"/>
              </w:rPr>
              <w:t>Bagrák</w:t>
            </w:r>
            <w:proofErr w:type="spellEnd"/>
          </w:p>
        </w:tc>
      </w:tr>
      <w:tr w:rsidR="004F0305" w:rsidTr="004F0305">
        <w:trPr>
          <w:trHeight w:hRule="exact" w:val="1598"/>
        </w:trPr>
        <w:tc>
          <w:tcPr>
            <w:tcW w:w="970" w:type="dxa"/>
            <w:shd w:val="clear" w:color="auto" w:fill="FFFFFF"/>
            <w:hideMark/>
          </w:tcPr>
          <w:p w:rsidR="004F0305" w:rsidRDefault="004F0305">
            <w:pPr>
              <w:pStyle w:val="Other10"/>
              <w:spacing w:before="100"/>
            </w:pPr>
            <w:r>
              <w:rPr>
                <w:b/>
                <w:bCs/>
                <w:color w:val="000000"/>
              </w:rPr>
              <w:t>Kontakt:</w:t>
            </w:r>
          </w:p>
        </w:tc>
        <w:tc>
          <w:tcPr>
            <w:tcW w:w="5448" w:type="dxa"/>
            <w:shd w:val="clear" w:color="auto" w:fill="FFFFFF"/>
            <w:vAlign w:val="center"/>
            <w:hideMark/>
          </w:tcPr>
          <w:p w:rsidR="004F0305" w:rsidRDefault="004F0305">
            <w:pPr>
              <w:pStyle w:val="Other10"/>
              <w:spacing w:line="216" w:lineRule="auto"/>
              <w:ind w:firstLine="400"/>
            </w:pPr>
            <w:proofErr w:type="spellStart"/>
            <w:r>
              <w:rPr>
                <w:color w:val="000000"/>
              </w:rPr>
              <w:t>xxxxx</w:t>
            </w:r>
            <w:proofErr w:type="spellEnd"/>
          </w:p>
          <w:p w:rsidR="004F0305" w:rsidRDefault="004F0305">
            <w:pPr>
              <w:pStyle w:val="Other10"/>
              <w:spacing w:after="120" w:line="216" w:lineRule="auto"/>
              <w:ind w:firstLine="400"/>
            </w:pPr>
            <w:r>
              <w:rPr>
                <w:color w:val="000000"/>
              </w:rPr>
              <w:t xml:space="preserve">čistota města, městský mobiliář veřejná </w:t>
            </w:r>
            <w:proofErr w:type="spellStart"/>
            <w:r>
              <w:rPr>
                <w:color w:val="000000"/>
              </w:rPr>
              <w:t>hříště</w:t>
            </w:r>
            <w:proofErr w:type="spellEnd"/>
            <w:r>
              <w:rPr>
                <w:color w:val="000000"/>
              </w:rPr>
              <w:t>, veřejné osvětlení a válečné hroby</w:t>
            </w:r>
          </w:p>
          <w:p w:rsidR="004F0305" w:rsidRDefault="004F0305">
            <w:pPr>
              <w:pStyle w:val="Other10"/>
              <w:ind w:firstLine="400"/>
              <w:rPr>
                <w:sz w:val="14"/>
                <w:szCs w:val="14"/>
              </w:rPr>
            </w:pPr>
            <w:r>
              <w:rPr>
                <w:color w:val="000000"/>
                <w:sz w:val="14"/>
                <w:szCs w:val="14"/>
              </w:rPr>
              <w:t>|'*</w:t>
            </w:r>
            <w:proofErr w:type="spellStart"/>
            <w:r>
              <w:rPr>
                <w:color w:val="000000"/>
                <w:sz w:val="14"/>
                <w:szCs w:val="14"/>
                <w:vertAlign w:val="superscript"/>
              </w:rPr>
              <w:t>s</w:t>
            </w:r>
            <w:r>
              <w:rPr>
                <w:color w:val="000000"/>
                <w:sz w:val="14"/>
                <w:szCs w:val="14"/>
              </w:rPr>
              <w:t>í</w:t>
            </w:r>
            <w:proofErr w:type="spellEnd"/>
            <w:r>
              <w:rPr>
                <w:color w:val="000000"/>
                <w:sz w:val="14"/>
                <w:szCs w:val="14"/>
              </w:rPr>
              <w:t xml:space="preserve"> MĚSTO</w:t>
            </w:r>
          </w:p>
          <w:p w:rsidR="004F0305" w:rsidRDefault="004F0305">
            <w:pPr>
              <w:pStyle w:val="Other10"/>
              <w:spacing w:after="120" w:line="228" w:lineRule="auto"/>
              <w:ind w:firstLine="400"/>
              <w:rPr>
                <w:sz w:val="14"/>
                <w:szCs w:val="14"/>
              </w:rPr>
            </w:pPr>
            <w:r>
              <w:rPr>
                <w:color w:val="000000"/>
                <w:sz w:val="14"/>
                <w:szCs w:val="14"/>
              </w:rPr>
              <w:t>U KROMĚŘÍŽ</w:t>
            </w:r>
          </w:p>
          <w:p w:rsidR="004F0305" w:rsidRDefault="004F0305">
            <w:pPr>
              <w:pStyle w:val="Other10"/>
              <w:spacing w:line="216" w:lineRule="auto"/>
              <w:ind w:firstLine="400"/>
            </w:pPr>
            <w:r>
              <w:rPr>
                <w:color w:val="000000"/>
              </w:rPr>
              <w:t>Městský úřad Kroměříž</w:t>
            </w:r>
          </w:p>
          <w:p w:rsidR="004F0305" w:rsidRDefault="004F0305">
            <w:pPr>
              <w:pStyle w:val="Other10"/>
              <w:spacing w:line="216" w:lineRule="auto"/>
              <w:ind w:firstLine="400"/>
            </w:pPr>
            <w:r>
              <w:rPr>
                <w:color w:val="000000"/>
              </w:rPr>
              <w:t>Husovo náměstí 534. 767 01 Kroměříž</w:t>
            </w:r>
          </w:p>
          <w:p w:rsidR="004F0305" w:rsidRDefault="004F0305">
            <w:pPr>
              <w:pStyle w:val="Other10"/>
              <w:spacing w:line="216" w:lineRule="auto"/>
              <w:ind w:left="400" w:firstLine="20"/>
            </w:pPr>
            <w:r>
              <w:rPr>
                <w:color w:val="000000"/>
              </w:rPr>
              <w:t xml:space="preserve">tel +420 </w:t>
            </w:r>
            <w:proofErr w:type="spellStart"/>
            <w:r w:rsidR="00994598">
              <w:rPr>
                <w:color w:val="000000"/>
              </w:rPr>
              <w:t>xxx</w:t>
            </w:r>
            <w:proofErr w:type="spellEnd"/>
          </w:p>
          <w:p w:rsidR="004F0305" w:rsidRDefault="004F0305">
            <w:pPr>
              <w:pStyle w:val="Other10"/>
              <w:spacing w:after="120" w:line="216" w:lineRule="auto"/>
              <w:ind w:firstLine="400"/>
            </w:pPr>
            <w:r>
              <w:rPr>
                <w:color w:val="E89B5B"/>
              </w:rPr>
              <w:t xml:space="preserve">www.mesto- </w:t>
            </w:r>
            <w:r>
              <w:rPr>
                <w:color w:val="E89B5B"/>
                <w:lang w:val="en-US" w:bidi="en-US"/>
              </w:rPr>
              <w:t>kromenz.cz</w:t>
            </w:r>
          </w:p>
        </w:tc>
      </w:tr>
      <w:tr w:rsidR="004F0305" w:rsidTr="004F0305">
        <w:trPr>
          <w:trHeight w:hRule="exact" w:val="288"/>
        </w:trPr>
        <w:tc>
          <w:tcPr>
            <w:tcW w:w="970" w:type="dxa"/>
            <w:shd w:val="clear" w:color="auto" w:fill="FFFFFF"/>
            <w:vAlign w:val="center"/>
            <w:hideMark/>
          </w:tcPr>
          <w:p w:rsidR="004F0305" w:rsidRDefault="004F0305">
            <w:pPr>
              <w:pStyle w:val="Other10"/>
            </w:pPr>
            <w:r>
              <w:rPr>
                <w:b/>
                <w:bCs/>
                <w:color w:val="000000"/>
              </w:rPr>
              <w:t>Realizace:</w:t>
            </w:r>
          </w:p>
        </w:tc>
        <w:tc>
          <w:tcPr>
            <w:tcW w:w="5448" w:type="dxa"/>
            <w:shd w:val="clear" w:color="auto" w:fill="FFFFFF"/>
            <w:vAlign w:val="center"/>
            <w:hideMark/>
          </w:tcPr>
          <w:p w:rsidR="004F0305" w:rsidRDefault="004F0305">
            <w:pPr>
              <w:pStyle w:val="Other10"/>
              <w:ind w:firstLine="360"/>
            </w:pPr>
            <w:r>
              <w:rPr>
                <w:color w:val="000000"/>
              </w:rPr>
              <w:t>2024</w:t>
            </w:r>
          </w:p>
        </w:tc>
      </w:tr>
      <w:tr w:rsidR="004F0305" w:rsidTr="004F0305">
        <w:trPr>
          <w:trHeight w:hRule="exact" w:val="950"/>
        </w:trPr>
        <w:tc>
          <w:tcPr>
            <w:tcW w:w="970" w:type="dxa"/>
            <w:shd w:val="clear" w:color="auto" w:fill="FFFFFF"/>
            <w:hideMark/>
          </w:tcPr>
          <w:p w:rsidR="004F0305" w:rsidRDefault="004F0305">
            <w:pPr>
              <w:pStyle w:val="Other10"/>
              <w:spacing w:before="100"/>
            </w:pPr>
            <w:r>
              <w:rPr>
                <w:b/>
                <w:bCs/>
                <w:color w:val="000000"/>
              </w:rPr>
              <w:t>Dodavatel:</w:t>
            </w:r>
          </w:p>
        </w:tc>
        <w:tc>
          <w:tcPr>
            <w:tcW w:w="5448" w:type="dxa"/>
            <w:shd w:val="clear" w:color="auto" w:fill="FFFFFF"/>
            <w:vAlign w:val="bottom"/>
            <w:hideMark/>
          </w:tcPr>
          <w:p w:rsidR="004F0305" w:rsidRDefault="004F0305">
            <w:pPr>
              <w:pStyle w:val="Other10"/>
              <w:spacing w:after="40"/>
              <w:ind w:firstLine="360"/>
            </w:pPr>
            <w:proofErr w:type="spellStart"/>
            <w:r>
              <w:rPr>
                <w:color w:val="000000"/>
              </w:rPr>
              <w:t>mmcité</w:t>
            </w:r>
            <w:proofErr w:type="spellEnd"/>
            <w:r>
              <w:rPr>
                <w:color w:val="000000"/>
              </w:rPr>
              <w:t xml:space="preserve"> a.s.</w:t>
            </w:r>
          </w:p>
          <w:p w:rsidR="004F0305" w:rsidRDefault="004F0305">
            <w:pPr>
              <w:pStyle w:val="Other10"/>
              <w:spacing w:after="40"/>
              <w:ind w:firstLine="360"/>
            </w:pPr>
            <w:r>
              <w:rPr>
                <w:color w:val="000000"/>
              </w:rPr>
              <w:t>Vinohradská 907 Mařatice</w:t>
            </w:r>
          </w:p>
          <w:p w:rsidR="004F0305" w:rsidRDefault="004F0305">
            <w:pPr>
              <w:pStyle w:val="Other10"/>
              <w:spacing w:after="40"/>
              <w:ind w:firstLine="360"/>
            </w:pPr>
            <w:r>
              <w:rPr>
                <w:color w:val="000000"/>
              </w:rPr>
              <w:t xml:space="preserve">686 05 Uherské Hradiště, </w:t>
            </w:r>
            <w:r>
              <w:rPr>
                <w:color w:val="000000"/>
                <w:lang w:val="en-US" w:bidi="en-US"/>
              </w:rPr>
              <w:t>Czechia</w:t>
            </w:r>
          </w:p>
          <w:p w:rsidR="004F0305" w:rsidRDefault="004F0305">
            <w:pPr>
              <w:pStyle w:val="Other10"/>
              <w:spacing w:after="40"/>
              <w:ind w:firstLine="360"/>
            </w:pPr>
            <w:r>
              <w:rPr>
                <w:color w:val="000000"/>
              </w:rPr>
              <w:t>IČ 276 70 864, DIČ CZ276 70 864</w:t>
            </w:r>
          </w:p>
          <w:p w:rsidR="004F0305" w:rsidRDefault="004F0305">
            <w:pPr>
              <w:pStyle w:val="Other10"/>
              <w:spacing w:after="40"/>
              <w:ind w:firstLine="360"/>
            </w:pPr>
            <w:r>
              <w:rPr>
                <w:color w:val="000000"/>
              </w:rPr>
              <w:t>Zapsaná v obchodním rejstříku vedeném u Krajského soudu v Brně, pod spisovou značkou B4523</w:t>
            </w:r>
          </w:p>
        </w:tc>
      </w:tr>
    </w:tbl>
    <w:p w:rsidR="004F0305" w:rsidRDefault="004F0305" w:rsidP="004F0305">
      <w:pPr>
        <w:spacing w:after="199" w:line="1" w:lineRule="exact"/>
      </w:pPr>
    </w:p>
    <w:p w:rsidR="004F0305" w:rsidRDefault="004F0305" w:rsidP="004F0305">
      <w:pPr>
        <w:pStyle w:val="Bodytext10"/>
        <w:spacing w:after="0"/>
        <w:jc w:val="left"/>
      </w:pPr>
      <w:r>
        <w:rPr>
          <w:color w:val="000000"/>
        </w:rPr>
        <w:t>Zpracoval:</w:t>
      </w:r>
    </w:p>
    <w:p w:rsidR="004F0305" w:rsidRDefault="004F0305" w:rsidP="004F0305">
      <w:pPr>
        <w:pStyle w:val="Bodytext10"/>
        <w:tabs>
          <w:tab w:val="left" w:pos="1330"/>
        </w:tabs>
        <w:spacing w:after="0"/>
        <w:jc w:val="left"/>
      </w:pPr>
      <w:r>
        <w:rPr>
          <w:color w:val="000000"/>
        </w:rPr>
        <w:t>Obchodní zástupce:</w:t>
      </w:r>
      <w:r>
        <w:rPr>
          <w:color w:val="000000"/>
        </w:rPr>
        <w:tab/>
      </w:r>
      <w:r w:rsidR="00994598">
        <w:rPr>
          <w:b w:val="0"/>
          <w:bCs w:val="0"/>
          <w:color w:val="000000"/>
        </w:rPr>
        <w:t>xxx</w:t>
      </w:r>
      <w:bookmarkStart w:id="0" w:name="_GoBack"/>
      <w:bookmarkEnd w:id="0"/>
    </w:p>
    <w:p w:rsidR="004F0305" w:rsidRDefault="004F0305" w:rsidP="004F0305">
      <w:pPr>
        <w:spacing w:line="1" w:lineRule="exact"/>
      </w:pPr>
      <w:r>
        <w:rPr>
          <w:noProof/>
        </w:rPr>
        <mc:AlternateContent>
          <mc:Choice Requires="wps">
            <w:drawing>
              <wp:anchor distT="46990" distB="3175" distL="0" distR="0" simplePos="0" relativeHeight="251655680" behindDoc="0" locked="0" layoutInCell="1" allowOverlap="1">
                <wp:simplePos x="0" y="0"/>
                <wp:positionH relativeFrom="page">
                  <wp:posOffset>830580</wp:posOffset>
                </wp:positionH>
                <wp:positionV relativeFrom="paragraph">
                  <wp:posOffset>46990</wp:posOffset>
                </wp:positionV>
                <wp:extent cx="240665" cy="97790"/>
                <wp:effectExtent l="0" t="0" r="0" b="0"/>
                <wp:wrapTopAndBottom/>
                <wp:docPr id="5" name="Textové pole 5"/>
                <wp:cNvGraphicFramePr/>
                <a:graphic xmlns:a="http://schemas.openxmlformats.org/drawingml/2006/main">
                  <a:graphicData uri="http://schemas.microsoft.com/office/word/2010/wordprocessingShape">
                    <wps:wsp>
                      <wps:cNvSpPr txBox="1"/>
                      <wps:spPr>
                        <a:xfrm>
                          <a:off x="0" y="0"/>
                          <a:ext cx="240665" cy="97790"/>
                        </a:xfrm>
                        <a:prstGeom prst="rect">
                          <a:avLst/>
                        </a:prstGeom>
                        <a:noFill/>
                      </wps:spPr>
                      <wps:txbx>
                        <w:txbxContent>
                          <w:p w:rsidR="004F0305" w:rsidRDefault="004F0305" w:rsidP="004F0305">
                            <w:pPr>
                              <w:pStyle w:val="Bodytext10"/>
                              <w:spacing w:after="0"/>
                              <w:jc w:val="left"/>
                            </w:pPr>
                            <w:r>
                              <w:rPr>
                                <w:color w:val="000000"/>
                              </w:rPr>
                              <w:t>Datum:</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Textové pole 5" o:spid="_x0000_s1027" type="#_x0000_t202" style="position:absolute;margin-left:65.4pt;margin-top:3.7pt;width:18.95pt;height:7.7pt;z-index:251655680;visibility:visible;mso-wrap-style:none;mso-width-percent:0;mso-height-percent:0;mso-wrap-distance-left:0;mso-wrap-distance-top:3.7pt;mso-wrap-distance-right:0;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" filled="f" stroked="f">
                <v:textbox inset="0,0,0,0">
                  <w:txbxContent>
                    <w:p w:rsidR="004F0305" w:rsidRDefault="004F0305" w:rsidP="004F0305">
                      <w:pPr>
                        <w:pStyle w:val="Bodytext10"/>
                        <w:spacing w:after="0"/>
                        <w:jc w:val="left"/>
                      </w:pPr>
                      <w:r>
                        <w:rPr>
                          <w:color w:val="000000"/>
                        </w:rPr>
                        <w:t>Datum:</w:t>
                      </w:r>
                    </w:p>
                  </w:txbxContent>
                </v:textbox>
                <w10:wrap type="topAndBottom" anchorx="page"/>
              </v:shape>
            </w:pict>
          </mc:Fallback>
        </mc:AlternateContent>
      </w:r>
      <w:r>
        <w:rPr>
          <w:noProof/>
        </w:rPr>
        <mc:AlternateContent>
          <mc:Choice Requires="wps">
            <w:drawing>
              <wp:anchor distT="44450" distB="3175" distL="0" distR="0" simplePos="0" relativeHeight="251656704" behindDoc="0" locked="0" layoutInCell="1" allowOverlap="1">
                <wp:simplePos x="0" y="0"/>
                <wp:positionH relativeFrom="page">
                  <wp:posOffset>2552700</wp:posOffset>
                </wp:positionH>
                <wp:positionV relativeFrom="paragraph">
                  <wp:posOffset>44450</wp:posOffset>
                </wp:positionV>
                <wp:extent cx="232410" cy="100330"/>
                <wp:effectExtent l="0" t="0" r="0" b="0"/>
                <wp:wrapTopAndBottom/>
                <wp:docPr id="9" name="Textové pole 9"/>
                <wp:cNvGraphicFramePr/>
                <a:graphic xmlns:a="http://schemas.openxmlformats.org/drawingml/2006/main">
                  <a:graphicData uri="http://schemas.microsoft.com/office/word/2010/wordprocessingShape">
                    <wps:wsp>
                      <wps:cNvSpPr txBox="1"/>
                      <wps:spPr>
                        <a:xfrm>
                          <a:off x="0" y="0"/>
                          <a:ext cx="232410" cy="100330"/>
                        </a:xfrm>
                        <a:prstGeom prst="rect">
                          <a:avLst/>
                        </a:prstGeom>
                        <a:noFill/>
                      </wps:spPr>
                      <wps:txbx>
                        <w:txbxContent>
                          <w:p w:rsidR="004F0305" w:rsidRDefault="004F0305" w:rsidP="004F0305">
                            <w:pPr>
                              <w:pStyle w:val="Bodytext10"/>
                              <w:spacing w:after="0"/>
                              <w:jc w:val="left"/>
                            </w:pPr>
                            <w:r>
                              <w:rPr>
                                <w:b w:val="0"/>
                                <w:bCs w:val="0"/>
                                <w:color w:val="000000"/>
                              </w:rPr>
                              <w:t>Revize:</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Textové pole 9" o:spid="_x0000_s1028" type="#_x0000_t202" style="position:absolute;margin-left:201pt;margin-top:3.5pt;width:18.3pt;height:7.9pt;z-index:251656704;visibility:visible;mso-wrap-style:none;mso-width-percent:0;mso-height-percent:0;mso-wrap-distance-left:0;mso-wrap-distance-top:3.5pt;mso-wrap-distance-right:0;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" filled="f" stroked="f">
                <v:textbox inset="0,0,0,0">
                  <w:txbxContent>
                    <w:p w:rsidR="004F0305" w:rsidRDefault="004F0305" w:rsidP="004F0305">
                      <w:pPr>
                        <w:pStyle w:val="Bodytext10"/>
                        <w:spacing w:after="0"/>
                        <w:jc w:val="left"/>
                      </w:pPr>
                      <w:r>
                        <w:rPr>
                          <w:b w:val="0"/>
                          <w:bCs w:val="0"/>
                          <w:color w:val="000000"/>
                        </w:rPr>
                        <w:t>Revize:</w:t>
                      </w:r>
                    </w:p>
                  </w:txbxContent>
                </v:textbox>
                <w10:wrap type="topAndBottom" anchorx="page"/>
              </v:shape>
            </w:pict>
          </mc:Fallback>
        </mc:AlternateContent>
      </w:r>
      <w:r>
        <w:rPr>
          <w:noProof/>
        </w:rPr>
        <mc:AlternateContent>
          <mc:Choice Requires="wps">
            <w:drawing>
              <wp:anchor distT="38100" distB="0" distL="0" distR="0" simplePos="0" relativeHeight="251657728" behindDoc="0" locked="0" layoutInCell="1" allowOverlap="1">
                <wp:simplePos x="0" y="0"/>
                <wp:positionH relativeFrom="page">
                  <wp:posOffset>5424170</wp:posOffset>
                </wp:positionH>
                <wp:positionV relativeFrom="paragraph">
                  <wp:posOffset>38100</wp:posOffset>
                </wp:positionV>
                <wp:extent cx="1247775" cy="109855"/>
                <wp:effectExtent l="0" t="0" r="0" b="0"/>
                <wp:wrapTopAndBottom/>
                <wp:docPr id="11" name="Textové pole 11"/>
                <wp:cNvGraphicFramePr/>
                <a:graphic xmlns:a="http://schemas.openxmlformats.org/drawingml/2006/main">
                  <a:graphicData uri="http://schemas.microsoft.com/office/word/2010/wordprocessingShape">
                    <wps:wsp>
                      <wps:cNvSpPr txBox="1"/>
                      <wps:spPr>
                        <a:xfrm>
                          <a:off x="0" y="0"/>
                          <a:ext cx="1247775" cy="109855"/>
                        </a:xfrm>
                        <a:prstGeom prst="rect">
                          <a:avLst/>
                        </a:prstGeom>
                        <a:noFill/>
                      </wps:spPr>
                      <wps:txbx>
                        <w:txbxContent>
                          <w:p w:rsidR="004F0305" w:rsidRDefault="004F0305" w:rsidP="004F0305">
                            <w:pPr>
                              <w:pStyle w:val="Bodytext10"/>
                              <w:tabs>
                                <w:tab w:val="left" w:pos="1262"/>
                              </w:tabs>
                              <w:spacing w:after="0"/>
                              <w:jc w:val="left"/>
                            </w:pPr>
                            <w:r>
                              <w:rPr>
                                <w:color w:val="000000"/>
                              </w:rPr>
                              <w:t>Platnost nabídky:</w:t>
                            </w:r>
                            <w:r>
                              <w:rPr>
                                <w:color w:val="000000"/>
                              </w:rPr>
                              <w:tab/>
                            </w:r>
                            <w:r>
                              <w:rPr>
                                <w:b w:val="0"/>
                                <w:bCs w:val="0"/>
                                <w:color w:val="000000"/>
                              </w:rPr>
                              <w:t>do 31.12.2024</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Textové pole 11" o:spid="_x0000_s1029" type="#_x0000_t202" style="position:absolute;margin-left:427.1pt;margin-top:3pt;width:98.25pt;height:8.65pt;z-index:251657728;visibility:visible;mso-wrap-style:none;mso-width-percent:0;mso-height-percent:0;mso-wrap-distance-left:0;mso-wrap-distance-top:3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" filled="f" stroked="f">
                <v:textbox inset="0,0,0,0">
                  <w:txbxContent>
                    <w:p w:rsidR="004F0305" w:rsidRDefault="004F0305" w:rsidP="004F0305">
                      <w:pPr>
                        <w:pStyle w:val="Bodytext10"/>
                        <w:tabs>
                          <w:tab w:val="left" w:pos="1262"/>
                        </w:tabs>
                        <w:spacing w:after="0"/>
                        <w:jc w:val="left"/>
                      </w:pPr>
                      <w:r>
                        <w:rPr>
                          <w:color w:val="000000"/>
                        </w:rPr>
                        <w:t>Platnost nabídky:</w:t>
                      </w:r>
                      <w:r>
                        <w:rPr>
                          <w:color w:val="000000"/>
                        </w:rPr>
                        <w:tab/>
                      </w:r>
                      <w:r>
                        <w:rPr>
                          <w:b w:val="0"/>
                          <w:bCs w:val="0"/>
                          <w:color w:val="000000"/>
                        </w:rPr>
                        <w:t>do 31.12.2024</w:t>
                      </w:r>
                    </w:p>
                  </w:txbxContent>
                </v:textbox>
                <w10:wrap type="topAndBottom" anchorx="page"/>
              </v:shape>
            </w:pict>
          </mc:Fallback>
        </mc:AlternateContent>
      </w:r>
      <w:r>
        <w:rPr>
          <w:noProof/>
        </w:rPr>
        <mc:AlternateContent>
          <mc:Choice Requires="wps">
            <w:drawing>
              <wp:anchor distT="44450" distB="5715" distL="0" distR="0" simplePos="0" relativeHeight="251658752" behindDoc="0" locked="0" layoutInCell="1" allowOverlap="1">
                <wp:simplePos x="0" y="0"/>
                <wp:positionH relativeFrom="page">
                  <wp:posOffset>1680845</wp:posOffset>
                </wp:positionH>
                <wp:positionV relativeFrom="paragraph">
                  <wp:posOffset>44450</wp:posOffset>
                </wp:positionV>
                <wp:extent cx="349250" cy="97790"/>
                <wp:effectExtent l="0" t="0" r="0" b="0"/>
                <wp:wrapTopAndBottom/>
                <wp:docPr id="7" name="Textové pole 7"/>
                <wp:cNvGraphicFramePr/>
                <a:graphic xmlns:a="http://schemas.openxmlformats.org/drawingml/2006/main">
                  <a:graphicData uri="http://schemas.microsoft.com/office/word/2010/wordprocessingShape">
                    <wps:wsp>
                      <wps:cNvSpPr txBox="1"/>
                      <wps:spPr>
                        <a:xfrm>
                          <a:off x="0" y="0"/>
                          <a:ext cx="349250" cy="97790"/>
                        </a:xfrm>
                        <a:prstGeom prst="rect">
                          <a:avLst/>
                        </a:prstGeom>
                        <a:noFill/>
                      </wps:spPr>
                      <wps:txbx>
                        <w:txbxContent>
                          <w:p w:rsidR="004F0305" w:rsidRDefault="004F0305" w:rsidP="004F0305">
                            <w:pPr>
                              <w:pStyle w:val="Bodytext10"/>
                              <w:spacing w:after="0"/>
                              <w:jc w:val="left"/>
                            </w:pPr>
                            <w:r>
                              <w:rPr>
                                <w:b w:val="0"/>
                                <w:bCs w:val="0"/>
                                <w:color w:val="000000"/>
                              </w:rPr>
                              <w:t>17.06.2024</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Textové pole 7" o:spid="_x0000_s1030" type="#_x0000_t202" style="position:absolute;margin-left:132.35pt;margin-top:3.5pt;width:27.5pt;height:7.7pt;z-index:251658752;visibility:visible;mso-wrap-style:none;mso-width-percent:0;mso-height-percent:0;mso-wrap-distance-left:0;mso-wrap-distance-top:3.5pt;mso-wrap-distance-right:0;mso-wrap-distance-bottom:.4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" filled="f" stroked="f">
                <v:textbox inset="0,0,0,0">
                  <w:txbxContent>
                    <w:p w:rsidR="004F0305" w:rsidRDefault="004F0305" w:rsidP="004F0305">
                      <w:pPr>
                        <w:pStyle w:val="Bodytext10"/>
                        <w:spacing w:after="0"/>
                        <w:jc w:val="left"/>
                      </w:pPr>
                      <w:r>
                        <w:rPr>
                          <w:b w:val="0"/>
                          <w:bCs w:val="0"/>
                          <w:color w:val="000000"/>
                        </w:rPr>
                        <w:t>17.06.2024</w:t>
                      </w:r>
                    </w:p>
                  </w:txbxContent>
                </v:textbox>
                <w10:wrap type="topAndBottom" anchorx="page"/>
              </v:shape>
            </w:pict>
          </mc:Fallback>
        </mc:AlternateContent>
      </w:r>
    </w:p>
    <w:p w:rsidR="004F0305" w:rsidRDefault="004F0305" w:rsidP="004F0305">
      <w:pPr>
        <w:widowControl/>
        <w:sectPr w:rsidR="004F0305">
          <w:pgSz w:w="11900" w:h="16840"/>
          <w:pgMar w:top="1443" w:right="1285" w:bottom="3907" w:left="1299" w:header="1015" w:footer="3" w:gutter="0"/>
          <w:pgNumType w:start="1"/>
          <w:cols w:space="708"/>
        </w:sectPr>
      </w:pPr>
    </w:p>
    <w:p w:rsidR="004F0305" w:rsidRDefault="004F0305" w:rsidP="004F0305">
      <w:pPr>
        <w:pStyle w:val="Tablecaption10"/>
        <w:tabs>
          <w:tab w:val="left" w:leader="underscore" w:pos="1229"/>
          <w:tab w:val="left" w:leader="underscore" w:pos="2198"/>
          <w:tab w:val="left" w:leader="underscore" w:pos="4190"/>
          <w:tab w:val="left" w:leader="underscore" w:pos="6259"/>
          <w:tab w:val="left" w:leader="underscore" w:pos="7118"/>
          <w:tab w:val="left" w:leader="underscore" w:pos="7997"/>
        </w:tabs>
        <w:ind w:left="0" w:firstLine="0"/>
        <w:jc w:val="center"/>
      </w:pPr>
      <w:r>
        <w:rPr>
          <w:noProof/>
        </w:rPr>
        <w:lastRenderedPageBreak/>
        <w:drawing>
          <wp:anchor distT="161290" distB="0" distL="306070" distR="114300" simplePos="0" relativeHeight="251659776" behindDoc="0" locked="0" layoutInCell="1" allowOverlap="1">
            <wp:simplePos x="0" y="0"/>
            <wp:positionH relativeFrom="page">
              <wp:posOffset>1016635</wp:posOffset>
            </wp:positionH>
            <wp:positionV relativeFrom="margin">
              <wp:posOffset>4526280</wp:posOffset>
            </wp:positionV>
            <wp:extent cx="3389630" cy="835025"/>
            <wp:effectExtent l="0" t="0" r="1270" b="317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9630" cy="8350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0800" behindDoc="0" locked="0" layoutInCell="1" allowOverlap="1">
                <wp:simplePos x="0" y="0"/>
                <wp:positionH relativeFrom="page">
                  <wp:posOffset>824865</wp:posOffset>
                </wp:positionH>
                <wp:positionV relativeFrom="margin">
                  <wp:posOffset>4364990</wp:posOffset>
                </wp:positionV>
                <wp:extent cx="2212975" cy="109855"/>
                <wp:effectExtent l="0" t="0" r="0" b="0"/>
                <wp:wrapNone/>
                <wp:docPr id="15" name="Textové pole 15"/>
                <wp:cNvGraphicFramePr/>
                <a:graphic xmlns:a="http://schemas.openxmlformats.org/drawingml/2006/main">
                  <a:graphicData uri="http://schemas.microsoft.com/office/word/2010/wordprocessingShape">
                    <wps:wsp>
                      <wps:cNvSpPr txBox="1"/>
                      <wps:spPr>
                        <a:xfrm>
                          <a:off x="0" y="0"/>
                          <a:ext cx="2212975" cy="109855"/>
                        </a:xfrm>
                        <a:prstGeom prst="rect">
                          <a:avLst/>
                        </a:prstGeom>
                        <a:noFill/>
                      </wps:spPr>
                      <wps:txbx>
                        <w:txbxContent>
                          <w:p w:rsidR="004F0305" w:rsidRDefault="004F0305" w:rsidP="004F0305">
                            <w:pPr>
                              <w:pStyle w:val="Picturecaption10"/>
                              <w:tabs>
                                <w:tab w:val="left" w:pos="1334"/>
                              </w:tabs>
                            </w:pPr>
                            <w:r>
                              <w:rPr>
                                <w:color w:val="000000"/>
                              </w:rPr>
                              <w:t>pozn.:</w:t>
                            </w:r>
                            <w:r>
                              <w:rPr>
                                <w:color w:val="000000"/>
                              </w:rPr>
                              <w:tab/>
                              <w:t xml:space="preserve">RAL7016, dřevo tropické </w:t>
                            </w:r>
                            <w:proofErr w:type="spellStart"/>
                            <w:r>
                              <w:rPr>
                                <w:color w:val="000000"/>
                              </w:rPr>
                              <w:t>jatoba</w:t>
                            </w:r>
                            <w:proofErr w:type="spellEnd"/>
                            <w:r>
                              <w:rPr>
                                <w:color w:val="000000"/>
                              </w:rPr>
                              <w:t xml:space="preserve"> přírodní</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Textové pole 15" o:spid="_x0000_s1031" type="#_x0000_t202" style="position:absolute;left:0;text-align:left;margin-left:64.95pt;margin-top:343.7pt;width:174.25pt;height:8.6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" filled="f" stroked="f">
                <v:textbox inset="0,0,0,0">
                  <w:txbxContent>
                    <w:p w:rsidR="004F0305" w:rsidRDefault="004F0305" w:rsidP="004F0305">
                      <w:pPr>
                        <w:pStyle w:val="Picturecaption10"/>
                        <w:tabs>
                          <w:tab w:val="left" w:pos="1334"/>
                        </w:tabs>
                      </w:pPr>
                      <w:r>
                        <w:rPr>
                          <w:color w:val="000000"/>
                        </w:rPr>
                        <w:t>pozn.:</w:t>
                      </w:r>
                      <w:r>
                        <w:rPr>
                          <w:color w:val="000000"/>
                        </w:rPr>
                        <w:tab/>
                        <w:t xml:space="preserve">RAL7016, dřevo tropické </w:t>
                      </w:r>
                      <w:proofErr w:type="spellStart"/>
                      <w:r>
                        <w:rPr>
                          <w:color w:val="000000"/>
                        </w:rPr>
                        <w:t>jatoba</w:t>
                      </w:r>
                      <w:proofErr w:type="spellEnd"/>
                      <w:r>
                        <w:rPr>
                          <w:color w:val="000000"/>
                        </w:rPr>
                        <w:t xml:space="preserve"> přírodní</w:t>
                      </w:r>
                    </w:p>
                  </w:txbxContent>
                </v:textbox>
                <w10:wrap anchorx="page" anchory="margin"/>
              </v:shape>
            </w:pict>
          </mc:Fallback>
        </mc:AlternateContent>
      </w:r>
      <w:r>
        <w:rPr>
          <w:color w:val="000000"/>
          <w:u w:val="single"/>
        </w:rPr>
        <w:t>Typ</w:t>
      </w:r>
      <w:r>
        <w:rPr>
          <w:color w:val="000000"/>
        </w:rPr>
        <w:tab/>
      </w:r>
      <w:r>
        <w:rPr>
          <w:color w:val="000000"/>
          <w:u w:val="single"/>
        </w:rPr>
        <w:t>Výrobek</w:t>
      </w:r>
      <w:r>
        <w:rPr>
          <w:color w:val="000000"/>
        </w:rPr>
        <w:tab/>
      </w:r>
      <w:r>
        <w:rPr>
          <w:color w:val="000000"/>
          <w:u w:val="single"/>
        </w:rPr>
        <w:t>Výr, řada</w:t>
      </w:r>
      <w:r>
        <w:rPr>
          <w:color w:val="000000"/>
        </w:rPr>
        <w:tab/>
      </w:r>
      <w:r>
        <w:rPr>
          <w:color w:val="000000"/>
          <w:u w:val="single"/>
        </w:rPr>
        <w:t>Popis</w:t>
      </w:r>
      <w:r>
        <w:rPr>
          <w:color w:val="000000"/>
        </w:rPr>
        <w:tab/>
      </w:r>
      <w:r>
        <w:rPr>
          <w:color w:val="000000"/>
          <w:u w:val="single"/>
        </w:rPr>
        <w:t>Cena</w:t>
      </w:r>
      <w:r>
        <w:rPr>
          <w:color w:val="000000"/>
        </w:rPr>
        <w:tab/>
      </w:r>
      <w:r>
        <w:rPr>
          <w:color w:val="000000"/>
          <w:u w:val="single"/>
        </w:rPr>
        <w:t>Počet</w:t>
      </w:r>
      <w:r>
        <w:rPr>
          <w:color w:val="000000"/>
        </w:rPr>
        <w:tab/>
      </w:r>
      <w:r>
        <w:rPr>
          <w:color w:val="000000"/>
          <w:u w:val="single"/>
        </w:rPr>
        <w:t>Celkem</w:t>
      </w:r>
    </w:p>
    <w:p w:rsidR="004F0305" w:rsidRDefault="004F0305" w:rsidP="004F0305">
      <w:pPr>
        <w:pStyle w:val="Tablecaption10"/>
        <w:ind w:left="0" w:firstLine="0"/>
        <w:jc w:val="center"/>
      </w:pPr>
      <w:r>
        <w:rPr>
          <w:color w:val="000000"/>
        </w:rPr>
        <w:t>Lehátko délka 1,63 m, ocelová konstrukce opatřena</w:t>
      </w:r>
    </w:p>
    <w:p w:rsidR="004F0305" w:rsidRDefault="004F0305" w:rsidP="004F0305">
      <w:pPr>
        <w:pStyle w:val="Tablecaption10"/>
        <w:ind w:left="0" w:firstLine="0"/>
        <w:jc w:val="both"/>
      </w:pPr>
      <w:r>
        <w:rPr>
          <w:color w:val="000000"/>
        </w:rPr>
        <w:t>ochrannou vrstvou zinku a práškovým vypalovacím lakem, lamely z tropického dřeva bez povrchové úpravy, kotveno pod dlažbu do betonového základu pomocí závitových tyčí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2"/>
        <w:gridCol w:w="1334"/>
        <w:gridCol w:w="946"/>
        <w:gridCol w:w="2462"/>
        <w:gridCol w:w="2122"/>
        <w:gridCol w:w="677"/>
        <w:gridCol w:w="845"/>
      </w:tblGrid>
      <w:tr w:rsidR="004F0305" w:rsidTr="004F0305">
        <w:trPr>
          <w:trHeight w:hRule="exact" w:val="163"/>
          <w:jc w:val="center"/>
        </w:trPr>
        <w:tc>
          <w:tcPr>
            <w:tcW w:w="912" w:type="dxa"/>
            <w:tcBorders>
              <w:top w:val="nil"/>
              <w:left w:val="single" w:sz="4" w:space="0" w:color="auto"/>
              <w:bottom w:val="nil"/>
              <w:right w:val="nil"/>
            </w:tcBorders>
            <w:shd w:val="clear" w:color="auto" w:fill="FFFFFF"/>
            <w:hideMark/>
          </w:tcPr>
          <w:p w:rsidR="004F0305" w:rsidRDefault="004F0305">
            <w:pPr>
              <w:pStyle w:val="Other10"/>
            </w:pPr>
            <w:r>
              <w:rPr>
                <w:color w:val="000000"/>
              </w:rPr>
              <w:t>RVA151t</w:t>
            </w:r>
          </w:p>
        </w:tc>
        <w:tc>
          <w:tcPr>
            <w:tcW w:w="1334" w:type="dxa"/>
            <w:shd w:val="clear" w:color="auto" w:fill="FFFFFF"/>
            <w:hideMark/>
          </w:tcPr>
          <w:p w:rsidR="004F0305" w:rsidRDefault="004F0305">
            <w:pPr>
              <w:pStyle w:val="Other10"/>
              <w:jc w:val="center"/>
            </w:pPr>
            <w:r>
              <w:rPr>
                <w:color w:val="000000"/>
              </w:rPr>
              <w:t>Lehátko</w:t>
            </w:r>
          </w:p>
        </w:tc>
        <w:tc>
          <w:tcPr>
            <w:tcW w:w="946" w:type="dxa"/>
            <w:shd w:val="clear" w:color="auto" w:fill="FFFFFF"/>
            <w:hideMark/>
          </w:tcPr>
          <w:p w:rsidR="004F0305" w:rsidRDefault="004F0305">
            <w:pPr>
              <w:pStyle w:val="Other10"/>
              <w:ind w:firstLine="460"/>
            </w:pPr>
            <w:proofErr w:type="spellStart"/>
            <w:r>
              <w:rPr>
                <w:color w:val="000000"/>
              </w:rPr>
              <w:t>Rivage</w:t>
            </w:r>
            <w:proofErr w:type="spellEnd"/>
          </w:p>
        </w:tc>
        <w:tc>
          <w:tcPr>
            <w:tcW w:w="2462" w:type="dxa"/>
            <w:shd w:val="clear" w:color="auto" w:fill="FFFFFF"/>
            <w:hideMark/>
          </w:tcPr>
          <w:p w:rsidR="004F0305" w:rsidRDefault="004F0305">
            <w:pPr>
              <w:pStyle w:val="Other10"/>
            </w:pPr>
            <w:r>
              <w:rPr>
                <w:color w:val="000000"/>
              </w:rPr>
              <w:t>M10</w:t>
            </w:r>
          </w:p>
        </w:tc>
        <w:tc>
          <w:tcPr>
            <w:tcW w:w="2122" w:type="dxa"/>
            <w:shd w:val="clear" w:color="auto" w:fill="FFFFFF"/>
            <w:hideMark/>
          </w:tcPr>
          <w:p w:rsidR="004F0305" w:rsidRDefault="004F0305">
            <w:pPr>
              <w:pStyle w:val="Other10"/>
              <w:ind w:right="340"/>
              <w:jc w:val="right"/>
            </w:pPr>
            <w:r>
              <w:rPr>
                <w:color w:val="000000"/>
              </w:rPr>
              <w:t>15 729 Kč</w:t>
            </w:r>
          </w:p>
        </w:tc>
        <w:tc>
          <w:tcPr>
            <w:tcW w:w="677" w:type="dxa"/>
            <w:shd w:val="clear" w:color="auto" w:fill="FFFFFF"/>
            <w:hideMark/>
          </w:tcPr>
          <w:p w:rsidR="004F0305" w:rsidRDefault="004F0305">
            <w:pPr>
              <w:pStyle w:val="Other10"/>
              <w:ind w:firstLine="340"/>
            </w:pPr>
            <w:r>
              <w:rPr>
                <w:color w:val="000000"/>
              </w:rPr>
              <w:t>6</w:t>
            </w:r>
          </w:p>
        </w:tc>
        <w:tc>
          <w:tcPr>
            <w:tcW w:w="845" w:type="dxa"/>
            <w:tcBorders>
              <w:top w:val="nil"/>
              <w:left w:val="nil"/>
              <w:bottom w:val="nil"/>
              <w:right w:val="single" w:sz="4" w:space="0" w:color="auto"/>
            </w:tcBorders>
            <w:shd w:val="clear" w:color="auto" w:fill="FFFFFF"/>
            <w:hideMark/>
          </w:tcPr>
          <w:p w:rsidR="004F0305" w:rsidRDefault="004F0305">
            <w:pPr>
              <w:pStyle w:val="Other10"/>
              <w:jc w:val="right"/>
            </w:pPr>
            <w:r>
              <w:rPr>
                <w:color w:val="000000"/>
              </w:rPr>
              <w:t>94 374 Kč</w:t>
            </w:r>
          </w:p>
        </w:tc>
      </w:tr>
      <w:tr w:rsidR="004F0305" w:rsidTr="004F0305">
        <w:trPr>
          <w:trHeight w:hRule="exact" w:val="178"/>
          <w:jc w:val="center"/>
        </w:trPr>
        <w:tc>
          <w:tcPr>
            <w:tcW w:w="912" w:type="dxa"/>
            <w:tcBorders>
              <w:top w:val="nil"/>
              <w:left w:val="single" w:sz="4" w:space="0" w:color="auto"/>
              <w:bottom w:val="nil"/>
              <w:right w:val="nil"/>
            </w:tcBorders>
            <w:shd w:val="clear" w:color="auto" w:fill="FFFFFF"/>
          </w:tcPr>
          <w:p w:rsidR="004F0305" w:rsidRDefault="004F0305">
            <w:pPr>
              <w:rPr>
                <w:sz w:val="10"/>
                <w:szCs w:val="10"/>
              </w:rPr>
            </w:pPr>
          </w:p>
        </w:tc>
        <w:tc>
          <w:tcPr>
            <w:tcW w:w="1334" w:type="dxa"/>
            <w:shd w:val="clear" w:color="auto" w:fill="FFFFFF"/>
          </w:tcPr>
          <w:p w:rsidR="004F0305" w:rsidRDefault="004F0305">
            <w:pPr>
              <w:rPr>
                <w:sz w:val="10"/>
                <w:szCs w:val="10"/>
              </w:rPr>
            </w:pPr>
          </w:p>
        </w:tc>
        <w:tc>
          <w:tcPr>
            <w:tcW w:w="946" w:type="dxa"/>
            <w:shd w:val="clear" w:color="auto" w:fill="FFFFFF"/>
          </w:tcPr>
          <w:p w:rsidR="004F0305" w:rsidRDefault="004F0305">
            <w:pPr>
              <w:rPr>
                <w:sz w:val="10"/>
                <w:szCs w:val="10"/>
              </w:rPr>
            </w:pPr>
          </w:p>
        </w:tc>
        <w:tc>
          <w:tcPr>
            <w:tcW w:w="2462" w:type="dxa"/>
            <w:shd w:val="clear" w:color="auto" w:fill="FFFFFF"/>
            <w:hideMark/>
          </w:tcPr>
          <w:p w:rsidR="004F0305" w:rsidRDefault="004F0305">
            <w:pPr>
              <w:pStyle w:val="Other10"/>
            </w:pPr>
            <w:r>
              <w:rPr>
                <w:color w:val="000000"/>
              </w:rPr>
              <w:t>Montáž/manipulace</w:t>
            </w:r>
          </w:p>
        </w:tc>
        <w:tc>
          <w:tcPr>
            <w:tcW w:w="2122" w:type="dxa"/>
            <w:shd w:val="clear" w:color="auto" w:fill="FFFFFF"/>
            <w:hideMark/>
          </w:tcPr>
          <w:p w:rsidR="004F0305" w:rsidRDefault="004F0305">
            <w:pPr>
              <w:pStyle w:val="Other10"/>
              <w:ind w:right="340"/>
              <w:jc w:val="right"/>
            </w:pPr>
            <w:r>
              <w:rPr>
                <w:color w:val="000000"/>
              </w:rPr>
              <w:t>710 Kč</w:t>
            </w:r>
          </w:p>
        </w:tc>
        <w:tc>
          <w:tcPr>
            <w:tcW w:w="677" w:type="dxa"/>
            <w:shd w:val="clear" w:color="auto" w:fill="FFFFFF"/>
            <w:hideMark/>
          </w:tcPr>
          <w:p w:rsidR="004F0305" w:rsidRDefault="004F0305">
            <w:pPr>
              <w:pStyle w:val="Other10"/>
              <w:ind w:firstLine="340"/>
            </w:pPr>
            <w:r>
              <w:rPr>
                <w:color w:val="000000"/>
              </w:rPr>
              <w:t>6</w:t>
            </w:r>
          </w:p>
        </w:tc>
        <w:tc>
          <w:tcPr>
            <w:tcW w:w="845" w:type="dxa"/>
            <w:tcBorders>
              <w:top w:val="nil"/>
              <w:left w:val="nil"/>
              <w:bottom w:val="nil"/>
              <w:right w:val="single" w:sz="4" w:space="0" w:color="auto"/>
            </w:tcBorders>
            <w:shd w:val="clear" w:color="auto" w:fill="FFFFFF"/>
            <w:hideMark/>
          </w:tcPr>
          <w:p w:rsidR="004F0305" w:rsidRDefault="004F0305">
            <w:pPr>
              <w:pStyle w:val="Other10"/>
              <w:jc w:val="right"/>
            </w:pPr>
            <w:r>
              <w:rPr>
                <w:color w:val="000000"/>
              </w:rPr>
              <w:t>4 260 Kč</w:t>
            </w:r>
          </w:p>
        </w:tc>
      </w:tr>
      <w:tr w:rsidR="004F0305" w:rsidTr="004F0305">
        <w:trPr>
          <w:trHeight w:hRule="exact" w:val="168"/>
          <w:jc w:val="center"/>
        </w:trPr>
        <w:tc>
          <w:tcPr>
            <w:tcW w:w="912" w:type="dxa"/>
            <w:tcBorders>
              <w:top w:val="nil"/>
              <w:left w:val="single" w:sz="4" w:space="0" w:color="auto"/>
              <w:bottom w:val="nil"/>
              <w:right w:val="nil"/>
            </w:tcBorders>
            <w:shd w:val="clear" w:color="auto" w:fill="FFFFFF"/>
          </w:tcPr>
          <w:p w:rsidR="004F0305" w:rsidRDefault="004F0305">
            <w:pPr>
              <w:rPr>
                <w:sz w:val="10"/>
                <w:szCs w:val="10"/>
              </w:rPr>
            </w:pPr>
          </w:p>
        </w:tc>
        <w:tc>
          <w:tcPr>
            <w:tcW w:w="1334" w:type="dxa"/>
            <w:shd w:val="clear" w:color="auto" w:fill="FFFFFF"/>
          </w:tcPr>
          <w:p w:rsidR="004F0305" w:rsidRDefault="004F0305">
            <w:pPr>
              <w:rPr>
                <w:sz w:val="10"/>
                <w:szCs w:val="10"/>
              </w:rPr>
            </w:pPr>
          </w:p>
        </w:tc>
        <w:tc>
          <w:tcPr>
            <w:tcW w:w="946" w:type="dxa"/>
            <w:shd w:val="clear" w:color="auto" w:fill="FFFFFF"/>
          </w:tcPr>
          <w:p w:rsidR="004F0305" w:rsidRDefault="004F0305">
            <w:pPr>
              <w:rPr>
                <w:sz w:val="10"/>
                <w:szCs w:val="10"/>
              </w:rPr>
            </w:pPr>
          </w:p>
        </w:tc>
        <w:tc>
          <w:tcPr>
            <w:tcW w:w="2462" w:type="dxa"/>
            <w:shd w:val="clear" w:color="auto" w:fill="FFFFFF"/>
            <w:hideMark/>
          </w:tcPr>
          <w:p w:rsidR="004F0305" w:rsidRDefault="004F0305">
            <w:pPr>
              <w:pStyle w:val="Other10"/>
            </w:pPr>
            <w:r>
              <w:rPr>
                <w:color w:val="000000"/>
              </w:rPr>
              <w:t>Spodní stavby</w:t>
            </w:r>
          </w:p>
        </w:tc>
        <w:tc>
          <w:tcPr>
            <w:tcW w:w="2122" w:type="dxa"/>
            <w:shd w:val="clear" w:color="auto" w:fill="FFFFFF"/>
            <w:hideMark/>
          </w:tcPr>
          <w:p w:rsidR="004F0305" w:rsidRDefault="004F0305">
            <w:pPr>
              <w:pStyle w:val="Other10"/>
              <w:ind w:right="340"/>
              <w:jc w:val="right"/>
            </w:pPr>
            <w:r>
              <w:rPr>
                <w:color w:val="000000"/>
              </w:rPr>
              <w:t>1 350 Kč</w:t>
            </w:r>
          </w:p>
        </w:tc>
        <w:tc>
          <w:tcPr>
            <w:tcW w:w="677" w:type="dxa"/>
            <w:shd w:val="clear" w:color="auto" w:fill="FFFFFF"/>
            <w:hideMark/>
          </w:tcPr>
          <w:p w:rsidR="004F0305" w:rsidRDefault="004F0305">
            <w:pPr>
              <w:pStyle w:val="Other10"/>
              <w:ind w:firstLine="340"/>
            </w:pPr>
            <w:r>
              <w:rPr>
                <w:color w:val="000000"/>
              </w:rPr>
              <w:t>6</w:t>
            </w:r>
          </w:p>
        </w:tc>
        <w:tc>
          <w:tcPr>
            <w:tcW w:w="845" w:type="dxa"/>
            <w:tcBorders>
              <w:top w:val="nil"/>
              <w:left w:val="nil"/>
              <w:bottom w:val="nil"/>
              <w:right w:val="single" w:sz="4" w:space="0" w:color="auto"/>
            </w:tcBorders>
            <w:shd w:val="clear" w:color="auto" w:fill="FFFFFF"/>
            <w:hideMark/>
          </w:tcPr>
          <w:p w:rsidR="004F0305" w:rsidRDefault="004F0305">
            <w:pPr>
              <w:pStyle w:val="Other10"/>
              <w:jc w:val="right"/>
            </w:pPr>
            <w:r>
              <w:rPr>
                <w:color w:val="000000"/>
              </w:rPr>
              <w:t>8 100 Kč</w:t>
            </w:r>
          </w:p>
        </w:tc>
      </w:tr>
      <w:tr w:rsidR="004F0305" w:rsidTr="004F0305">
        <w:trPr>
          <w:trHeight w:hRule="exact" w:val="158"/>
          <w:jc w:val="center"/>
        </w:trPr>
        <w:tc>
          <w:tcPr>
            <w:tcW w:w="912" w:type="dxa"/>
            <w:tcBorders>
              <w:top w:val="nil"/>
              <w:left w:val="single" w:sz="4" w:space="0" w:color="auto"/>
              <w:bottom w:val="single" w:sz="4" w:space="0" w:color="auto"/>
              <w:right w:val="nil"/>
            </w:tcBorders>
            <w:shd w:val="clear" w:color="auto" w:fill="FFFFFF"/>
          </w:tcPr>
          <w:p w:rsidR="004F0305" w:rsidRDefault="004F0305">
            <w:pPr>
              <w:rPr>
                <w:sz w:val="10"/>
                <w:szCs w:val="10"/>
              </w:rPr>
            </w:pPr>
          </w:p>
        </w:tc>
        <w:tc>
          <w:tcPr>
            <w:tcW w:w="1334" w:type="dxa"/>
            <w:tcBorders>
              <w:top w:val="nil"/>
              <w:left w:val="nil"/>
              <w:bottom w:val="single" w:sz="4" w:space="0" w:color="auto"/>
              <w:right w:val="nil"/>
            </w:tcBorders>
            <w:shd w:val="clear" w:color="auto" w:fill="FFFFFF"/>
          </w:tcPr>
          <w:p w:rsidR="004F0305" w:rsidRDefault="004F0305">
            <w:pPr>
              <w:rPr>
                <w:sz w:val="10"/>
                <w:szCs w:val="10"/>
              </w:rPr>
            </w:pPr>
          </w:p>
        </w:tc>
        <w:tc>
          <w:tcPr>
            <w:tcW w:w="946" w:type="dxa"/>
            <w:tcBorders>
              <w:top w:val="nil"/>
              <w:left w:val="nil"/>
              <w:bottom w:val="single" w:sz="4" w:space="0" w:color="auto"/>
              <w:right w:val="nil"/>
            </w:tcBorders>
            <w:shd w:val="clear" w:color="auto" w:fill="FFFFFF"/>
          </w:tcPr>
          <w:p w:rsidR="004F0305" w:rsidRDefault="004F0305">
            <w:pPr>
              <w:rPr>
                <w:sz w:val="10"/>
                <w:szCs w:val="10"/>
              </w:rPr>
            </w:pPr>
          </w:p>
        </w:tc>
        <w:tc>
          <w:tcPr>
            <w:tcW w:w="2462" w:type="dxa"/>
            <w:tcBorders>
              <w:top w:val="nil"/>
              <w:left w:val="nil"/>
              <w:bottom w:val="single" w:sz="4" w:space="0" w:color="auto"/>
              <w:right w:val="nil"/>
            </w:tcBorders>
            <w:shd w:val="clear" w:color="auto" w:fill="FFFFFF"/>
          </w:tcPr>
          <w:p w:rsidR="004F0305" w:rsidRDefault="004F0305">
            <w:pPr>
              <w:rPr>
                <w:sz w:val="10"/>
                <w:szCs w:val="10"/>
              </w:rPr>
            </w:pPr>
          </w:p>
        </w:tc>
        <w:tc>
          <w:tcPr>
            <w:tcW w:w="2799" w:type="dxa"/>
            <w:gridSpan w:val="2"/>
            <w:tcBorders>
              <w:top w:val="nil"/>
              <w:left w:val="nil"/>
              <w:bottom w:val="single" w:sz="4" w:space="0" w:color="auto"/>
              <w:right w:val="nil"/>
            </w:tcBorders>
            <w:shd w:val="clear" w:color="auto" w:fill="FFFFFF"/>
            <w:hideMark/>
          </w:tcPr>
          <w:p w:rsidR="004F0305" w:rsidRDefault="004F0305">
            <w:pPr>
              <w:pStyle w:val="Other10"/>
              <w:ind w:firstLine="720"/>
            </w:pPr>
            <w:r>
              <w:rPr>
                <w:b/>
                <w:bCs/>
                <w:color w:val="000000"/>
              </w:rPr>
              <w:t>Celkem bez DPH</w:t>
            </w:r>
          </w:p>
        </w:tc>
        <w:tc>
          <w:tcPr>
            <w:tcW w:w="845" w:type="dxa"/>
            <w:tcBorders>
              <w:top w:val="nil"/>
              <w:left w:val="nil"/>
              <w:bottom w:val="single" w:sz="4" w:space="0" w:color="auto"/>
              <w:right w:val="single" w:sz="4" w:space="0" w:color="auto"/>
            </w:tcBorders>
            <w:shd w:val="clear" w:color="auto" w:fill="FFFFFF"/>
            <w:hideMark/>
          </w:tcPr>
          <w:p w:rsidR="004F0305" w:rsidRDefault="004F0305">
            <w:pPr>
              <w:pStyle w:val="Other10"/>
              <w:jc w:val="right"/>
            </w:pPr>
            <w:r>
              <w:rPr>
                <w:b/>
                <w:bCs/>
                <w:color w:val="000000"/>
              </w:rPr>
              <w:t>106 734 Kč</w:t>
            </w:r>
          </w:p>
        </w:tc>
      </w:tr>
    </w:tbl>
    <w:p w:rsidR="004F0305" w:rsidRDefault="004F0305" w:rsidP="004F0305">
      <w:pPr>
        <w:pStyle w:val="Bodytext10"/>
        <w:tabs>
          <w:tab w:val="right" w:pos="1861"/>
          <w:tab w:val="right" w:pos="2099"/>
        </w:tabs>
        <w:rPr>
          <w:lang w:bidi="cs-CZ"/>
        </w:rPr>
      </w:pPr>
      <w:r>
        <w:rPr>
          <w:b w:val="0"/>
          <w:bCs w:val="0"/>
          <w:color w:val="000000"/>
        </w:rPr>
        <w:t>Mobiliář celkem</w:t>
      </w:r>
      <w:r>
        <w:rPr>
          <w:b w:val="0"/>
          <w:bCs w:val="0"/>
          <w:color w:val="000000"/>
        </w:rPr>
        <w:tab/>
        <w:t>94 374</w:t>
      </w:r>
      <w:r>
        <w:rPr>
          <w:b w:val="0"/>
          <w:bCs w:val="0"/>
          <w:color w:val="000000"/>
        </w:rPr>
        <w:tab/>
        <w:t>Kč</w:t>
      </w:r>
    </w:p>
    <w:p w:rsidR="004F0305" w:rsidRDefault="004F0305" w:rsidP="004F0305">
      <w:pPr>
        <w:pStyle w:val="Bodytext10"/>
        <w:tabs>
          <w:tab w:val="right" w:pos="2751"/>
          <w:tab w:val="right" w:pos="2934"/>
        </w:tabs>
      </w:pPr>
      <w:r>
        <w:rPr>
          <w:b w:val="0"/>
          <w:bCs w:val="0"/>
          <w:i/>
          <w:iCs/>
          <w:color w:val="D24C5E"/>
        </w:rPr>
        <w:t>Jednorázová sleva do realizace</w:t>
      </w:r>
      <w:r>
        <w:rPr>
          <w:b w:val="0"/>
          <w:bCs w:val="0"/>
          <w:i/>
          <w:iCs/>
          <w:color w:val="D24C5E"/>
        </w:rPr>
        <w:tab/>
        <w:t>-9 500</w:t>
      </w:r>
      <w:r>
        <w:rPr>
          <w:b w:val="0"/>
          <w:bCs w:val="0"/>
          <w:i/>
          <w:iCs/>
          <w:color w:val="D24C5E"/>
        </w:rPr>
        <w:tab/>
        <w:t>Kč</w:t>
      </w:r>
    </w:p>
    <w:p w:rsidR="004F0305" w:rsidRDefault="004F0305" w:rsidP="004F0305">
      <w:pPr>
        <w:pStyle w:val="Bodytext10"/>
        <w:tabs>
          <w:tab w:val="right" w:pos="1861"/>
          <w:tab w:val="right" w:pos="2055"/>
        </w:tabs>
      </w:pPr>
      <w:r>
        <w:rPr>
          <w:b w:val="0"/>
          <w:bCs w:val="0"/>
          <w:color w:val="000000"/>
        </w:rPr>
        <w:t>Montáž celkem</w:t>
      </w:r>
      <w:r>
        <w:rPr>
          <w:b w:val="0"/>
          <w:bCs w:val="0"/>
          <w:color w:val="000000"/>
        </w:rPr>
        <w:tab/>
        <w:t>4 260</w:t>
      </w:r>
      <w:r>
        <w:rPr>
          <w:b w:val="0"/>
          <w:bCs w:val="0"/>
          <w:color w:val="000000"/>
        </w:rPr>
        <w:tab/>
        <w:t>Kč</w:t>
      </w:r>
    </w:p>
    <w:p w:rsidR="004F0305" w:rsidRDefault="004F0305" w:rsidP="004F0305">
      <w:pPr>
        <w:pStyle w:val="Bodytext10"/>
        <w:tabs>
          <w:tab w:val="right" w:pos="2208"/>
          <w:tab w:val="right" w:pos="2391"/>
        </w:tabs>
      </w:pPr>
      <w:r>
        <w:rPr>
          <w:b w:val="0"/>
          <w:bCs w:val="0"/>
          <w:color w:val="000000"/>
        </w:rPr>
        <w:t>Spodní stavba celkem</w:t>
      </w:r>
      <w:r>
        <w:rPr>
          <w:b w:val="0"/>
          <w:bCs w:val="0"/>
          <w:color w:val="000000"/>
        </w:rPr>
        <w:tab/>
        <w:t>8 100</w:t>
      </w:r>
      <w:r>
        <w:rPr>
          <w:b w:val="0"/>
          <w:bCs w:val="0"/>
          <w:color w:val="000000"/>
        </w:rPr>
        <w:tab/>
        <w:t>Kč</w:t>
      </w:r>
    </w:p>
    <w:p w:rsidR="004F0305" w:rsidRDefault="004F0305" w:rsidP="004F0305">
      <w:pPr>
        <w:pStyle w:val="Bodytext10"/>
        <w:tabs>
          <w:tab w:val="right" w:pos="1861"/>
          <w:tab w:val="right" w:pos="1979"/>
        </w:tabs>
        <w:spacing w:after="380"/>
      </w:pPr>
      <w:r>
        <w:rPr>
          <w:color w:val="000000"/>
        </w:rPr>
        <w:t>Suma</w:t>
      </w:r>
      <w:r>
        <w:rPr>
          <w:color w:val="000000"/>
        </w:rPr>
        <w:tab/>
        <w:t>97 234</w:t>
      </w:r>
      <w:r>
        <w:rPr>
          <w:color w:val="000000"/>
        </w:rPr>
        <w:tab/>
        <w:t>Kč</w:t>
      </w:r>
    </w:p>
    <w:p w:rsidR="004F0305" w:rsidRDefault="004F0305" w:rsidP="004F0305">
      <w:pPr>
        <w:pStyle w:val="Bodytext10"/>
        <w:tabs>
          <w:tab w:val="left" w:pos="8057"/>
        </w:tabs>
        <w:ind w:left="6660"/>
        <w:jc w:val="left"/>
      </w:pPr>
      <w:r>
        <w:rPr>
          <w:b w:val="0"/>
          <w:bCs w:val="0"/>
          <w:color w:val="000000"/>
        </w:rPr>
        <w:t>vzdálenost km</w:t>
      </w:r>
      <w:r>
        <w:rPr>
          <w:b w:val="0"/>
          <w:bCs w:val="0"/>
          <w:color w:val="000000"/>
        </w:rPr>
        <w:tab/>
        <w:t>50</w:t>
      </w:r>
    </w:p>
    <w:p w:rsidR="004F0305" w:rsidRDefault="004F0305" w:rsidP="004F0305">
      <w:pPr>
        <w:pStyle w:val="Bodytext10"/>
        <w:tabs>
          <w:tab w:val="left" w:pos="3547"/>
        </w:tabs>
      </w:pPr>
      <w:r>
        <w:rPr>
          <w:color w:val="000000"/>
        </w:rPr>
        <w:t>Doprava výše uvedeného množství mobiliáře na místo</w:t>
      </w:r>
      <w:r>
        <w:rPr>
          <w:color w:val="000000"/>
        </w:rPr>
        <w:tab/>
      </w:r>
      <w:r>
        <w:rPr>
          <w:b w:val="0"/>
          <w:bCs w:val="0"/>
          <w:color w:val="000000"/>
        </w:rPr>
        <w:t>2 200 Kč</w:t>
      </w:r>
    </w:p>
    <w:p w:rsidR="004F0305" w:rsidRDefault="004F0305" w:rsidP="004F0305">
      <w:pPr>
        <w:pStyle w:val="Bodytext10"/>
        <w:tabs>
          <w:tab w:val="left" w:pos="2090"/>
        </w:tabs>
      </w:pPr>
      <w:r>
        <w:rPr>
          <w:color w:val="000000"/>
        </w:rPr>
        <w:t xml:space="preserve">Doprava montážní čety </w:t>
      </w:r>
      <w:r>
        <w:rPr>
          <w:color w:val="000000"/>
          <w:lang w:val="en-US" w:bidi="en-US"/>
        </w:rPr>
        <w:t>(lx)</w:t>
      </w:r>
      <w:r>
        <w:rPr>
          <w:color w:val="000000"/>
          <w:lang w:val="en-US" w:bidi="en-US"/>
        </w:rPr>
        <w:tab/>
      </w:r>
      <w:r>
        <w:rPr>
          <w:b w:val="0"/>
          <w:bCs w:val="0"/>
          <w:color w:val="000000"/>
        </w:rPr>
        <w:t>1 595 Kč</w:t>
      </w:r>
    </w:p>
    <w:p w:rsidR="004F0305" w:rsidRDefault="004F0305" w:rsidP="004F0305">
      <w:pPr>
        <w:pStyle w:val="Bodytext10"/>
        <w:tabs>
          <w:tab w:val="left" w:pos="4416"/>
        </w:tabs>
        <w:spacing w:after="200"/>
      </w:pPr>
      <w:r>
        <w:rPr>
          <w:color w:val="000000"/>
        </w:rPr>
        <w:t xml:space="preserve">Doprava montážní čety v předstihu pro zhotovení spodních staveb </w:t>
      </w:r>
      <w:r>
        <w:rPr>
          <w:color w:val="000000"/>
          <w:lang w:val="en-US" w:bidi="en-US"/>
        </w:rPr>
        <w:t>(lx)</w:t>
      </w:r>
      <w:r>
        <w:rPr>
          <w:color w:val="000000"/>
          <w:lang w:val="en-US" w:bidi="en-US"/>
        </w:rPr>
        <w:tab/>
      </w:r>
      <w:r>
        <w:rPr>
          <w:b w:val="0"/>
          <w:bCs w:val="0"/>
          <w:color w:val="000000"/>
        </w:rPr>
        <w:t>1 595 Kč</w:t>
      </w:r>
    </w:p>
    <w:p w:rsidR="004F0305" w:rsidRDefault="004F0305" w:rsidP="004F0305">
      <w:pPr>
        <w:pStyle w:val="Bodytext10"/>
        <w:tabs>
          <w:tab w:val="left" w:pos="2090"/>
        </w:tabs>
      </w:pPr>
      <w:r>
        <w:rPr>
          <w:color w:val="000000"/>
        </w:rPr>
        <w:t>Celkem s dopravou bez DPH</w:t>
      </w:r>
      <w:r>
        <w:rPr>
          <w:color w:val="000000"/>
        </w:rPr>
        <w:tab/>
        <w:t>102 624 Kč</w:t>
      </w:r>
    </w:p>
    <w:p w:rsidR="004F0305" w:rsidRDefault="004F0305" w:rsidP="004F0305">
      <w:pPr>
        <w:pStyle w:val="Bodytext10"/>
        <w:tabs>
          <w:tab w:val="left" w:pos="1046"/>
        </w:tabs>
      </w:pPr>
      <w:r>
        <w:rPr>
          <w:color w:val="000000"/>
        </w:rPr>
        <w:t xml:space="preserve">DPH </w:t>
      </w:r>
      <w:proofErr w:type="gramStart"/>
      <w:r>
        <w:rPr>
          <w:color w:val="000000"/>
        </w:rPr>
        <w:t>21%</w:t>
      </w:r>
      <w:proofErr w:type="gramEnd"/>
      <w:r>
        <w:rPr>
          <w:color w:val="000000"/>
        </w:rPr>
        <w:tab/>
        <w:t>21 551 Kč</w:t>
      </w:r>
    </w:p>
    <w:p w:rsidR="004F0305" w:rsidRDefault="004F0305" w:rsidP="004F0305">
      <w:pPr>
        <w:pStyle w:val="Bodytext10"/>
        <w:tabs>
          <w:tab w:val="left" w:pos="2090"/>
        </w:tabs>
      </w:pPr>
      <w:proofErr w:type="spellStart"/>
      <w:r>
        <w:rPr>
          <w:color w:val="000000"/>
        </w:rPr>
        <w:t>elkem</w:t>
      </w:r>
      <w:proofErr w:type="spellEnd"/>
      <w:r>
        <w:rPr>
          <w:color w:val="000000"/>
        </w:rPr>
        <w:t xml:space="preserve"> s dopravou včetně DPH</w:t>
      </w:r>
      <w:r>
        <w:rPr>
          <w:color w:val="000000"/>
        </w:rPr>
        <w:tab/>
        <w:t>124 175 Kč</w:t>
      </w:r>
    </w:p>
    <w:p w:rsidR="004F0305" w:rsidRPr="004F0305" w:rsidRDefault="004F0305" w:rsidP="004F0305">
      <w:pPr>
        <w:rPr>
          <w:lang w:eastAsia="en-US" w:bidi="ar-SA"/>
        </w:rPr>
      </w:pPr>
    </w:p>
    <w:p w:rsidR="004F0305" w:rsidRPr="004F0305" w:rsidRDefault="004F0305" w:rsidP="004F0305">
      <w:pPr>
        <w:rPr>
          <w:lang w:eastAsia="en-US" w:bidi="ar-SA"/>
        </w:rPr>
      </w:pPr>
    </w:p>
    <w:p w:rsidR="004F0305" w:rsidRPr="004F0305" w:rsidRDefault="004F0305" w:rsidP="004F0305">
      <w:pPr>
        <w:rPr>
          <w:lang w:eastAsia="en-US" w:bidi="ar-SA"/>
        </w:rPr>
      </w:pPr>
    </w:p>
    <w:p w:rsidR="004F0305" w:rsidRPr="004F0305" w:rsidRDefault="004F0305" w:rsidP="004F0305">
      <w:pPr>
        <w:rPr>
          <w:lang w:eastAsia="en-US" w:bidi="ar-SA"/>
        </w:rPr>
      </w:pPr>
    </w:p>
    <w:p w:rsidR="004F0305" w:rsidRPr="004F0305" w:rsidRDefault="004F0305" w:rsidP="004F0305">
      <w:pPr>
        <w:rPr>
          <w:lang w:eastAsia="en-US" w:bidi="ar-SA"/>
        </w:rPr>
      </w:pPr>
    </w:p>
    <w:p w:rsidR="004F0305" w:rsidRPr="004F0305" w:rsidRDefault="004F0305" w:rsidP="004F0305">
      <w:pPr>
        <w:rPr>
          <w:lang w:eastAsia="en-US" w:bidi="ar-SA"/>
        </w:rPr>
      </w:pPr>
    </w:p>
    <w:p w:rsidR="004F0305" w:rsidRPr="004F0305" w:rsidRDefault="004F0305" w:rsidP="004F0305">
      <w:pPr>
        <w:rPr>
          <w:lang w:eastAsia="en-US" w:bidi="ar-SA"/>
        </w:rPr>
      </w:pPr>
    </w:p>
    <w:p w:rsidR="004F0305" w:rsidRPr="004F0305" w:rsidRDefault="004F0305" w:rsidP="004F0305">
      <w:pPr>
        <w:rPr>
          <w:lang w:eastAsia="en-US" w:bidi="ar-SA"/>
        </w:rPr>
      </w:pPr>
    </w:p>
    <w:p w:rsidR="004F0305" w:rsidRPr="004F0305" w:rsidRDefault="004F0305" w:rsidP="004F0305">
      <w:pPr>
        <w:rPr>
          <w:lang w:eastAsia="en-US" w:bidi="ar-SA"/>
        </w:rPr>
      </w:pPr>
    </w:p>
    <w:p w:rsidR="004F0305" w:rsidRPr="004F0305" w:rsidRDefault="004F0305" w:rsidP="004F0305">
      <w:pPr>
        <w:rPr>
          <w:lang w:eastAsia="en-US" w:bidi="ar-SA"/>
        </w:rPr>
      </w:pPr>
    </w:p>
    <w:p w:rsidR="004F0305" w:rsidRPr="004F0305" w:rsidRDefault="004F0305" w:rsidP="004F0305">
      <w:pPr>
        <w:rPr>
          <w:lang w:eastAsia="en-US" w:bidi="ar-SA"/>
        </w:rPr>
      </w:pPr>
    </w:p>
    <w:p w:rsidR="004F0305" w:rsidRPr="004F0305" w:rsidRDefault="004F0305" w:rsidP="004F0305">
      <w:pPr>
        <w:rPr>
          <w:lang w:eastAsia="en-US" w:bidi="ar-SA"/>
        </w:rPr>
      </w:pPr>
    </w:p>
    <w:p w:rsidR="004F0305" w:rsidRPr="004F0305" w:rsidRDefault="004F0305" w:rsidP="004F0305">
      <w:pPr>
        <w:rPr>
          <w:lang w:eastAsia="en-US" w:bidi="ar-SA"/>
        </w:rPr>
      </w:pPr>
    </w:p>
    <w:p w:rsidR="004F0305" w:rsidRDefault="004F0305" w:rsidP="004F0305">
      <w:pPr>
        <w:pStyle w:val="Bodytext10"/>
        <w:spacing w:line="316" w:lineRule="auto"/>
        <w:rPr>
          <w:lang w:bidi="cs-CZ"/>
        </w:rPr>
      </w:pPr>
      <w:r>
        <w:tab/>
      </w:r>
      <w:r>
        <w:rPr>
          <w:b w:val="0"/>
          <w:bCs w:val="0"/>
          <w:color w:val="000000"/>
          <w:u w:val="single"/>
        </w:rPr>
        <w:t xml:space="preserve">OBCHODNÍ PODMÍNKY </w:t>
      </w:r>
      <w:proofErr w:type="spellStart"/>
      <w:r>
        <w:rPr>
          <w:b w:val="0"/>
          <w:bCs w:val="0"/>
          <w:color w:val="000000"/>
          <w:u w:val="single"/>
        </w:rPr>
        <w:t>mmcité</w:t>
      </w:r>
      <w:proofErr w:type="spellEnd"/>
      <w:r>
        <w:rPr>
          <w:b w:val="0"/>
          <w:bCs w:val="0"/>
          <w:color w:val="000000"/>
          <w:u w:val="single"/>
        </w:rPr>
        <w:t xml:space="preserve"> a.s.</w:t>
      </w:r>
    </w:p>
    <w:p w:rsidR="004F0305" w:rsidRDefault="004F0305" w:rsidP="004F0305">
      <w:pPr>
        <w:pStyle w:val="Bodytext10"/>
        <w:spacing w:after="160" w:line="316" w:lineRule="auto"/>
      </w:pPr>
      <w:r>
        <w:rPr>
          <w:color w:val="000000"/>
        </w:rPr>
        <w:t xml:space="preserve">Tyto níže uvedené obchodní podmínky jsou nedílnou součástí nabídky, kterou Vám předkládá naše společnost </w:t>
      </w:r>
      <w:proofErr w:type="spellStart"/>
      <w:r>
        <w:rPr>
          <w:color w:val="000000"/>
        </w:rPr>
        <w:t>mmcité</w:t>
      </w:r>
      <w:proofErr w:type="spellEnd"/>
      <w:r>
        <w:rPr>
          <w:color w:val="000000"/>
        </w:rPr>
        <w:t xml:space="preserve"> a.s., IČO: 276 70 864, se sídlem Vinohradská 907, Mařatice, 686 05 Uherské Hradiště, zapsané v obchodním rejstříku vedeném Krajským soudem v Brně pod spisovou značkou B 4523 (dále jen </w:t>
      </w:r>
      <w:r>
        <w:rPr>
          <w:b w:val="0"/>
          <w:bCs w:val="0"/>
          <w:color w:val="000000"/>
        </w:rPr>
        <w:t>„</w:t>
      </w:r>
      <w:proofErr w:type="spellStart"/>
      <w:r>
        <w:rPr>
          <w:b w:val="0"/>
          <w:bCs w:val="0"/>
          <w:color w:val="000000"/>
        </w:rPr>
        <w:t>mmcité</w:t>
      </w:r>
      <w:proofErr w:type="spellEnd"/>
      <w:r>
        <w:rPr>
          <w:b w:val="0"/>
          <w:bCs w:val="0"/>
          <w:color w:val="000000"/>
        </w:rPr>
        <w:t xml:space="preserve">", „my" </w:t>
      </w:r>
      <w:r>
        <w:rPr>
          <w:color w:val="000000"/>
        </w:rPr>
        <w:t xml:space="preserve">nebo </w:t>
      </w:r>
      <w:r>
        <w:rPr>
          <w:b w:val="0"/>
          <w:bCs w:val="0"/>
          <w:color w:val="000000"/>
        </w:rPr>
        <w:t xml:space="preserve">„naše společnost"). </w:t>
      </w:r>
      <w:r>
        <w:rPr>
          <w:color w:val="000000"/>
        </w:rPr>
        <w:t xml:space="preserve">Vás v těchto podmínkách označujeme jako </w:t>
      </w:r>
      <w:r>
        <w:rPr>
          <w:b w:val="0"/>
          <w:bCs w:val="0"/>
          <w:color w:val="000000"/>
        </w:rPr>
        <w:t xml:space="preserve">„Vy", „zákazník" </w:t>
      </w:r>
      <w:r>
        <w:rPr>
          <w:color w:val="000000"/>
        </w:rPr>
        <w:t xml:space="preserve">nebo </w:t>
      </w:r>
      <w:r>
        <w:rPr>
          <w:b w:val="0"/>
          <w:bCs w:val="0"/>
          <w:color w:val="000000"/>
        </w:rPr>
        <w:t>„Vaše společnost".</w:t>
      </w:r>
    </w:p>
    <w:p w:rsidR="004F0305" w:rsidRDefault="004F0305" w:rsidP="004F0305">
      <w:pPr>
        <w:pStyle w:val="Bodytext10"/>
        <w:numPr>
          <w:ilvl w:val="0"/>
          <w:numId w:val="1"/>
        </w:numPr>
        <w:tabs>
          <w:tab w:val="left" w:pos="222"/>
        </w:tabs>
        <w:spacing w:after="0" w:line="321" w:lineRule="auto"/>
        <w:jc w:val="left"/>
      </w:pPr>
      <w:bookmarkStart w:id="1" w:name="bookmark0"/>
      <w:bookmarkEnd w:id="1"/>
      <w:r>
        <w:rPr>
          <w:b w:val="0"/>
          <w:bCs w:val="0"/>
          <w:color w:val="000000"/>
          <w:u w:val="single"/>
        </w:rPr>
        <w:t>Závaznost těchto podmínek a vznik smluvního vztahu</w:t>
      </w:r>
    </w:p>
    <w:p w:rsidR="004F0305" w:rsidRDefault="004F0305" w:rsidP="004F0305">
      <w:pPr>
        <w:pStyle w:val="Bodytext10"/>
        <w:numPr>
          <w:ilvl w:val="1"/>
          <w:numId w:val="1"/>
        </w:numPr>
        <w:tabs>
          <w:tab w:val="left" w:pos="318"/>
        </w:tabs>
        <w:spacing w:after="0" w:line="321" w:lineRule="auto"/>
        <w:jc w:val="left"/>
      </w:pPr>
      <w:bookmarkStart w:id="2" w:name="bookmark1"/>
      <w:bookmarkEnd w:id="2"/>
      <w:r>
        <w:rPr>
          <w:color w:val="000000"/>
        </w:rPr>
        <w:t>Akceptací naší nabídky potvrzujete, že jste se s těmito obchodními podmínkami seznámili a vyjadřujete vůli být nimi vázáni. Je vyloučeno použití jakýchkoli Vašich obchodních podmínek, a to i když je na ně odkaz v jakémkoli dalším dokumentu (objednávka, e-mailová komunikace apod.). Akceptace probíhá zpravidla tím způsobem, že učiníte objednávku, ve které se odkážete na naši nabídku, jejíž jsou tyto obchodní podmínky součástí.</w:t>
      </w:r>
    </w:p>
    <w:p w:rsidR="004F0305" w:rsidRDefault="004F0305" w:rsidP="004F0305">
      <w:pPr>
        <w:pStyle w:val="Bodytext10"/>
        <w:numPr>
          <w:ilvl w:val="1"/>
          <w:numId w:val="1"/>
        </w:numPr>
        <w:tabs>
          <w:tab w:val="left" w:pos="318"/>
        </w:tabs>
        <w:spacing w:after="160" w:line="321" w:lineRule="auto"/>
        <w:jc w:val="left"/>
      </w:pPr>
      <w:bookmarkStart w:id="3" w:name="bookmark2"/>
      <w:bookmarkEnd w:id="3"/>
      <w:r>
        <w:rPr>
          <w:color w:val="000000"/>
        </w:rPr>
        <w:t xml:space="preserve">Nabídku lze akceptovat </w:t>
      </w:r>
      <w:r>
        <w:rPr>
          <w:b w:val="0"/>
          <w:bCs w:val="0"/>
          <w:color w:val="000000"/>
        </w:rPr>
        <w:t xml:space="preserve">pouze v době platnosti, </w:t>
      </w:r>
      <w:r>
        <w:rPr>
          <w:color w:val="000000"/>
        </w:rPr>
        <w:t xml:space="preserve">která je uvedena v samotné nabídce. Po uplynutí této doby již nejsme nabídkou vázáni a </w:t>
      </w:r>
      <w:proofErr w:type="spellStart"/>
      <w:r>
        <w:rPr>
          <w:color w:val="000000"/>
        </w:rPr>
        <w:t>uČiníte-li</w:t>
      </w:r>
      <w:proofErr w:type="spellEnd"/>
      <w:r>
        <w:rPr>
          <w:color w:val="000000"/>
        </w:rPr>
        <w:t xml:space="preserve"> objednávku, vzniká smluvní vztah pouze tehdy, pokud naše společnost takovou objednávku akceptuje (výslovně nebo i jednáním, ze kterého je akceptace patrná).</w:t>
      </w:r>
    </w:p>
    <w:p w:rsidR="004F0305" w:rsidRDefault="004F0305" w:rsidP="004F0305">
      <w:pPr>
        <w:pStyle w:val="Bodytext10"/>
        <w:numPr>
          <w:ilvl w:val="1"/>
          <w:numId w:val="1"/>
        </w:numPr>
        <w:tabs>
          <w:tab w:val="left" w:pos="318"/>
        </w:tabs>
        <w:spacing w:after="0" w:line="328" w:lineRule="auto"/>
        <w:jc w:val="left"/>
      </w:pPr>
      <w:bookmarkStart w:id="4" w:name="bookmark3"/>
      <w:bookmarkEnd w:id="4"/>
      <w:r>
        <w:rPr>
          <w:color w:val="000000"/>
        </w:rPr>
        <w:t xml:space="preserve">Smluvní vztah vzniklý akceptací naší nabídky (zpravidla učiněním objednávky) představuje kupní smlouvu, jejíž obsah je tvořen zejména Vaší objednávkou a naší nabídkou, přičemž nedílnou součástí naší nabídky jsou tyto obchodní podmínky a dále dokument „Materiály a Péče", který dále označujeme jako </w:t>
      </w:r>
      <w:r>
        <w:rPr>
          <w:b w:val="0"/>
          <w:bCs w:val="0"/>
          <w:color w:val="000000"/>
        </w:rPr>
        <w:t xml:space="preserve">„Návody". </w:t>
      </w:r>
      <w:r>
        <w:rPr>
          <w:color w:val="000000"/>
        </w:rPr>
        <w:t>Individuální dohoda má</w:t>
      </w:r>
    </w:p>
    <w:p w:rsidR="004F0305" w:rsidRDefault="004F0305" w:rsidP="004F0305">
      <w:pPr>
        <w:pStyle w:val="Bodytext10"/>
        <w:spacing w:after="160" w:line="328" w:lineRule="auto"/>
      </w:pPr>
      <w:r>
        <w:rPr>
          <w:color w:val="000000"/>
        </w:rPr>
        <w:t>v případě rozporu vždy přednost mezi těmito obchodními podmínkami a Návody.</w:t>
      </w:r>
    </w:p>
    <w:p w:rsidR="004F0305" w:rsidRDefault="004F0305" w:rsidP="004F0305">
      <w:pPr>
        <w:pStyle w:val="Bodytext10"/>
        <w:numPr>
          <w:ilvl w:val="0"/>
          <w:numId w:val="1"/>
        </w:numPr>
        <w:tabs>
          <w:tab w:val="left" w:pos="226"/>
        </w:tabs>
        <w:spacing w:after="0" w:line="321" w:lineRule="auto"/>
        <w:jc w:val="left"/>
      </w:pPr>
      <w:bookmarkStart w:id="5" w:name="bookmark4"/>
      <w:bookmarkEnd w:id="5"/>
      <w:r>
        <w:rPr>
          <w:b w:val="0"/>
          <w:bCs w:val="0"/>
          <w:color w:val="000000"/>
          <w:u w:val="single"/>
        </w:rPr>
        <w:t>Termín dodání</w:t>
      </w:r>
    </w:p>
    <w:p w:rsidR="004F0305" w:rsidRDefault="004F0305" w:rsidP="004F0305">
      <w:pPr>
        <w:pStyle w:val="Bodytext10"/>
        <w:numPr>
          <w:ilvl w:val="1"/>
          <w:numId w:val="1"/>
        </w:numPr>
        <w:tabs>
          <w:tab w:val="left" w:pos="318"/>
        </w:tabs>
        <w:spacing w:after="160" w:line="321" w:lineRule="auto"/>
        <w:jc w:val="left"/>
      </w:pPr>
      <w:bookmarkStart w:id="6" w:name="bookmark5"/>
      <w:bookmarkEnd w:id="6"/>
      <w:r>
        <w:rPr>
          <w:color w:val="000000"/>
        </w:rPr>
        <w:t xml:space="preserve">Termín dodání je vždy specifikován v objednávce. Aktuálně nabízíme termín </w:t>
      </w:r>
      <w:r>
        <w:rPr>
          <w:b w:val="0"/>
          <w:bCs w:val="0"/>
          <w:color w:val="000000"/>
        </w:rPr>
        <w:t xml:space="preserve">pro katalogové výrobky mezi 8 a 10 týdny od objednávky </w:t>
      </w:r>
      <w:r>
        <w:rPr>
          <w:color w:val="000000"/>
        </w:rPr>
        <w:t>(pokud není domluveno jinak).</w:t>
      </w:r>
    </w:p>
    <w:p w:rsidR="004F0305" w:rsidRDefault="004F0305" w:rsidP="004F0305">
      <w:pPr>
        <w:pStyle w:val="Bodytext10"/>
      </w:pPr>
      <w:r>
        <w:rPr>
          <w:color w:val="000000"/>
        </w:rPr>
        <w:t>U atypických výrobků a zakázek se termín dodání liší/prodlužuje v závislosti na druhu a složitosti daného řešení (termín bude sdělen individuálně).</w:t>
      </w:r>
    </w:p>
    <w:p w:rsidR="004F0305" w:rsidRDefault="004F0305" w:rsidP="004F0305">
      <w:pPr>
        <w:pStyle w:val="Bodytext10"/>
        <w:numPr>
          <w:ilvl w:val="1"/>
          <w:numId w:val="1"/>
        </w:numPr>
        <w:tabs>
          <w:tab w:val="left" w:pos="318"/>
        </w:tabs>
        <w:spacing w:after="0" w:line="321" w:lineRule="auto"/>
        <w:jc w:val="left"/>
      </w:pPr>
      <w:bookmarkStart w:id="7" w:name="bookmark6"/>
      <w:bookmarkEnd w:id="7"/>
      <w:r>
        <w:rPr>
          <w:color w:val="000000"/>
        </w:rPr>
        <w:t>Je-li součástí našeho závazku i montáž mobiliáře a případně také zhotovení spodní stavby, zahrnuje dodání kromě odevzdání samotného mobiliáře také montáž mobiliáře a zhotovení spodní stavby. Není-li montáž a/nebo zhotovení spodní stavby součástí nabídky, naše společnost tyto úkony neprovádí a zavazujeme se pouze k odevzdání objednaného mobiliáře ve smluveném místě dodání.</w:t>
      </w:r>
    </w:p>
    <w:p w:rsidR="004F0305" w:rsidRDefault="004F0305" w:rsidP="004F0305">
      <w:pPr>
        <w:pStyle w:val="Bodytext10"/>
        <w:numPr>
          <w:ilvl w:val="1"/>
          <w:numId w:val="1"/>
        </w:numPr>
        <w:tabs>
          <w:tab w:val="left" w:pos="318"/>
        </w:tabs>
        <w:spacing w:after="0" w:line="321" w:lineRule="auto"/>
        <w:jc w:val="left"/>
      </w:pPr>
      <w:bookmarkStart w:id="8" w:name="bookmark7"/>
      <w:bookmarkEnd w:id="8"/>
      <w:r>
        <w:rPr>
          <w:color w:val="000000"/>
        </w:rPr>
        <w:t>Je-li součástí závazku k dodání i montáž objednaného mobiliáře, případně zhotovení spodní stavby nezbytné pro následnou montáž, je dodržení termínu dodání závislé na několika okolnostech, a to:</w:t>
      </w:r>
    </w:p>
    <w:p w:rsidR="004F0305" w:rsidRDefault="004F0305" w:rsidP="004F0305">
      <w:pPr>
        <w:pStyle w:val="Bodytext10"/>
        <w:numPr>
          <w:ilvl w:val="0"/>
          <w:numId w:val="2"/>
        </w:numPr>
        <w:tabs>
          <w:tab w:val="left" w:pos="226"/>
        </w:tabs>
        <w:spacing w:after="0" w:line="321" w:lineRule="auto"/>
        <w:jc w:val="left"/>
      </w:pPr>
      <w:bookmarkStart w:id="9" w:name="bookmark8"/>
      <w:bookmarkEnd w:id="9"/>
      <w:r>
        <w:rPr>
          <w:color w:val="000000"/>
        </w:rPr>
        <w:t>poskytnutí řádné a včasné součinností z Vaší strany;</w:t>
      </w:r>
    </w:p>
    <w:p w:rsidR="004F0305" w:rsidRDefault="004F0305" w:rsidP="004F0305">
      <w:pPr>
        <w:pStyle w:val="Bodytext10"/>
        <w:numPr>
          <w:ilvl w:val="0"/>
          <w:numId w:val="2"/>
        </w:numPr>
        <w:tabs>
          <w:tab w:val="left" w:pos="231"/>
        </w:tabs>
        <w:spacing w:after="0" w:line="321" w:lineRule="auto"/>
        <w:jc w:val="left"/>
      </w:pPr>
      <w:bookmarkStart w:id="10" w:name="bookmark9"/>
      <w:bookmarkEnd w:id="10"/>
      <w:r>
        <w:rPr>
          <w:color w:val="000000"/>
        </w:rPr>
        <w:t>trvání vhodných klimatických podmínek v době zhotovení spodní stavby;</w:t>
      </w:r>
    </w:p>
    <w:p w:rsidR="004F0305" w:rsidRDefault="004F0305" w:rsidP="004F0305">
      <w:pPr>
        <w:pStyle w:val="Bodytext10"/>
        <w:numPr>
          <w:ilvl w:val="0"/>
          <w:numId w:val="2"/>
        </w:numPr>
        <w:tabs>
          <w:tab w:val="left" w:pos="231"/>
        </w:tabs>
        <w:spacing w:after="0" w:line="321" w:lineRule="auto"/>
        <w:jc w:val="left"/>
      </w:pPr>
      <w:bookmarkStart w:id="11" w:name="bookmark10"/>
      <w:bookmarkEnd w:id="11"/>
      <w:r>
        <w:rPr>
          <w:color w:val="000000"/>
        </w:rPr>
        <w:t>neexistence překážek tzv. vyšší moci.</w:t>
      </w:r>
    </w:p>
    <w:p w:rsidR="004F0305" w:rsidRDefault="004F0305" w:rsidP="004F0305">
      <w:pPr>
        <w:pStyle w:val="Bodytext10"/>
        <w:numPr>
          <w:ilvl w:val="1"/>
          <w:numId w:val="1"/>
        </w:numPr>
        <w:tabs>
          <w:tab w:val="left" w:pos="318"/>
        </w:tabs>
        <w:spacing w:after="0" w:line="321" w:lineRule="auto"/>
        <w:jc w:val="left"/>
      </w:pPr>
      <w:bookmarkStart w:id="12" w:name="bookmark11"/>
      <w:bookmarkEnd w:id="12"/>
      <w:r>
        <w:rPr>
          <w:color w:val="000000"/>
        </w:rPr>
        <w:lastRenderedPageBreak/>
        <w:t>V případě, že některá z okolností uvedené v předchozím odstavci není naplněna, nemůžeme garantovat dodržení dohodnutého termínu dodání.</w:t>
      </w:r>
    </w:p>
    <w:p w:rsidR="004F0305" w:rsidRDefault="004F0305" w:rsidP="004F0305">
      <w:pPr>
        <w:pStyle w:val="Bodytext10"/>
        <w:numPr>
          <w:ilvl w:val="1"/>
          <w:numId w:val="1"/>
        </w:numPr>
        <w:tabs>
          <w:tab w:val="left" w:pos="322"/>
        </w:tabs>
        <w:spacing w:after="0" w:line="321" w:lineRule="auto"/>
        <w:jc w:val="left"/>
      </w:pPr>
      <w:bookmarkStart w:id="13" w:name="bookmark12"/>
      <w:bookmarkEnd w:id="13"/>
      <w:r>
        <w:rPr>
          <w:color w:val="000000"/>
        </w:rPr>
        <w:t>V případě nevhodných klimatických podmínek se termín dodání prodlužuje o dobu trvání těchto podmínek plus 7 dní (potřebných k opětovnému zajištění montážní čety). Za nevhodné klimatické podmínky se považuje trvalý déšť nebo taková teplota, která by v průběhu montáže klesla pod 8 °C nebo která by v průběhu vyzrávání betonu v rámci zhotovení spodní stavby byla celý den pod 5 °C.</w:t>
      </w:r>
    </w:p>
    <w:p w:rsidR="004F0305" w:rsidRDefault="004F0305" w:rsidP="004F0305">
      <w:pPr>
        <w:pStyle w:val="Bodytext10"/>
        <w:numPr>
          <w:ilvl w:val="1"/>
          <w:numId w:val="1"/>
        </w:numPr>
        <w:tabs>
          <w:tab w:val="left" w:pos="318"/>
        </w:tabs>
        <w:spacing w:after="0" w:line="321" w:lineRule="auto"/>
        <w:jc w:val="left"/>
      </w:pPr>
      <w:bookmarkStart w:id="14" w:name="bookmark13"/>
      <w:bookmarkEnd w:id="14"/>
      <w:r>
        <w:rPr>
          <w:color w:val="000000"/>
        </w:rPr>
        <w:t>V případě nedostatku součinnosti se termín dodání prodlužuje tak, že neskončí dříve než 14 dní poté, co nám oznámíte, že jste připraveni nám nezbytnou součinnost poskytnout a co nám tuto součinnost také skutečně poskytnete. Základní požadavky na součinnost jsou uvedeny dále.</w:t>
      </w:r>
    </w:p>
    <w:p w:rsidR="004F0305" w:rsidRDefault="004F0305" w:rsidP="004F0305">
      <w:pPr>
        <w:pStyle w:val="Bodytext10"/>
        <w:numPr>
          <w:ilvl w:val="1"/>
          <w:numId w:val="1"/>
        </w:numPr>
        <w:tabs>
          <w:tab w:val="left" w:pos="327"/>
        </w:tabs>
        <w:spacing w:after="160" w:line="321" w:lineRule="auto"/>
        <w:jc w:val="left"/>
      </w:pPr>
      <w:bookmarkStart w:id="15" w:name="bookmark14"/>
      <w:bookmarkEnd w:id="15"/>
      <w:r>
        <w:rPr>
          <w:color w:val="000000"/>
        </w:rPr>
        <w:t>V případě existence tzv. okolností vyšší moci se termín dodání prodlužuje o dobu trvání těchto okolností plus 7 dní (potřebných k opětovnému zajištění montážní čety). Za okolnosti vyšší moci se považují veškeré takové okolnosti, které nám objektivně brání v dodání mobiliáře, jestliže takové okolnosti jsou nepředvídatelné a nelze je odvrátit nebo jinak překonat ani s vynaložením přiměřeného úsilí na naší straně.</w:t>
      </w:r>
    </w:p>
    <w:p w:rsidR="004F0305" w:rsidRDefault="004F0305" w:rsidP="004F0305">
      <w:pPr>
        <w:pStyle w:val="Bodytext10"/>
        <w:numPr>
          <w:ilvl w:val="0"/>
          <w:numId w:val="1"/>
        </w:numPr>
        <w:tabs>
          <w:tab w:val="left" w:pos="226"/>
        </w:tabs>
        <w:spacing w:after="0" w:line="316" w:lineRule="auto"/>
        <w:jc w:val="left"/>
      </w:pPr>
      <w:bookmarkStart w:id="16" w:name="bookmark15"/>
      <w:bookmarkEnd w:id="16"/>
      <w:r>
        <w:rPr>
          <w:b w:val="0"/>
          <w:bCs w:val="0"/>
          <w:color w:val="000000"/>
          <w:u w:val="single"/>
        </w:rPr>
        <w:t>Součinnost zákazníka</w:t>
      </w:r>
    </w:p>
    <w:p w:rsidR="004F0305" w:rsidRDefault="004F0305" w:rsidP="004F0305">
      <w:pPr>
        <w:pStyle w:val="Bodytext10"/>
        <w:numPr>
          <w:ilvl w:val="1"/>
          <w:numId w:val="1"/>
        </w:numPr>
        <w:tabs>
          <w:tab w:val="left" w:pos="318"/>
        </w:tabs>
        <w:spacing w:after="0" w:line="316" w:lineRule="auto"/>
        <w:jc w:val="left"/>
      </w:pPr>
      <w:bookmarkStart w:id="17" w:name="bookmark16"/>
      <w:bookmarkEnd w:id="17"/>
      <w:r>
        <w:rPr>
          <w:color w:val="000000"/>
        </w:rPr>
        <w:t>K řádnému a včasnému dodání zboží je nezbytná Vaše součinnost, kterou jste povinni vždy včas v souladu s dohodou, případně neprodleně na naši výzvu, poskytnout. Nezbytnou součinností je zejména:</w:t>
      </w:r>
    </w:p>
    <w:p w:rsidR="004F0305" w:rsidRDefault="004F0305" w:rsidP="004F0305">
      <w:pPr>
        <w:pStyle w:val="Bodytext10"/>
        <w:numPr>
          <w:ilvl w:val="0"/>
          <w:numId w:val="3"/>
        </w:numPr>
        <w:tabs>
          <w:tab w:val="left" w:pos="231"/>
        </w:tabs>
        <w:spacing w:after="0" w:line="316" w:lineRule="auto"/>
        <w:jc w:val="left"/>
      </w:pPr>
      <w:bookmarkStart w:id="18" w:name="bookmark17"/>
      <w:bookmarkEnd w:id="18"/>
      <w:r>
        <w:rPr>
          <w:color w:val="000000"/>
        </w:rPr>
        <w:t>umožnění přístupu k místu dodání za účelem zhotovení spodní stavby a montáže mobiliáře, jsou-li tyto činnosti součástí našeho závazku;</w:t>
      </w:r>
    </w:p>
    <w:p w:rsidR="004F0305" w:rsidRDefault="004F0305" w:rsidP="004F0305">
      <w:pPr>
        <w:pStyle w:val="Bodytext10"/>
        <w:numPr>
          <w:ilvl w:val="0"/>
          <w:numId w:val="3"/>
        </w:numPr>
        <w:tabs>
          <w:tab w:val="left" w:pos="236"/>
        </w:tabs>
        <w:spacing w:after="160" w:line="316" w:lineRule="auto"/>
        <w:jc w:val="left"/>
      </w:pPr>
      <w:bookmarkStart w:id="19" w:name="bookmark18"/>
      <w:bookmarkEnd w:id="19"/>
      <w:r>
        <w:rPr>
          <w:color w:val="000000"/>
        </w:rPr>
        <w:t>zajištění všech dalších nezbytných podmínek na staveništi k tomu, abychom Vám mohli mobiliář řádně dodat včetně případného zhotovení spodní stavby a montáže.</w:t>
      </w:r>
    </w:p>
    <w:p w:rsidR="004F0305" w:rsidRDefault="004F0305" w:rsidP="004F0305">
      <w:pPr>
        <w:pStyle w:val="Bodytext10"/>
        <w:numPr>
          <w:ilvl w:val="1"/>
          <w:numId w:val="1"/>
        </w:numPr>
        <w:tabs>
          <w:tab w:val="left" w:pos="318"/>
        </w:tabs>
        <w:spacing w:after="0" w:line="316" w:lineRule="auto"/>
        <w:jc w:val="left"/>
      </w:pPr>
      <w:bookmarkStart w:id="20" w:name="bookmark19"/>
      <w:bookmarkEnd w:id="20"/>
      <w:r>
        <w:rPr>
          <w:color w:val="000000"/>
        </w:rPr>
        <w:t>Mobiliář se umísťuje na patky, které jsou součástí tzv. spodní stavby. Není-li zhotovení spodní stavby součástí našeho závazku, je nezbytné, aby si zhotovení zajistil sám zákazník, avšak striktně v souladu s výkresovou dokumentací, kterou za tím účelem poskytne naše společnost. Bez řádné realizace spodní stavby není možné mobiliář namontovat, a tedy dodat.</w:t>
      </w:r>
    </w:p>
    <w:p w:rsidR="004F0305" w:rsidRDefault="004F0305" w:rsidP="004F0305">
      <w:pPr>
        <w:pStyle w:val="Bodytext10"/>
        <w:numPr>
          <w:ilvl w:val="1"/>
          <w:numId w:val="1"/>
        </w:numPr>
        <w:tabs>
          <w:tab w:val="left" w:pos="318"/>
        </w:tabs>
        <w:spacing w:after="160" w:line="316" w:lineRule="auto"/>
        <w:jc w:val="left"/>
      </w:pPr>
      <w:bookmarkStart w:id="21" w:name="bookmark20"/>
      <w:bookmarkEnd w:id="21"/>
      <w:r>
        <w:rPr>
          <w:color w:val="000000"/>
        </w:rPr>
        <w:t>Jestliže nám neposkytnete nezbytnou součinnost řádně a včas, odpovídáte za veškerou škodu, která nám v důsledku toho vznikne. Zejména se může jednat:</w:t>
      </w:r>
    </w:p>
    <w:p w:rsidR="004F0305" w:rsidRDefault="004F0305" w:rsidP="004F0305">
      <w:pPr>
        <w:pStyle w:val="Bodytext10"/>
        <w:numPr>
          <w:ilvl w:val="0"/>
          <w:numId w:val="4"/>
        </w:numPr>
        <w:tabs>
          <w:tab w:val="left" w:pos="176"/>
        </w:tabs>
        <w:spacing w:after="0" w:line="324" w:lineRule="auto"/>
        <w:jc w:val="left"/>
      </w:pPr>
      <w:bookmarkStart w:id="22" w:name="bookmark21"/>
      <w:bookmarkEnd w:id="22"/>
      <w:r>
        <w:rPr>
          <w:color w:val="000000"/>
        </w:rPr>
        <w:t>o náklady na marný výjezd montážní čety v případě, že teprve na místě samém bude zjištěno, že mobiliář nelze namontovat z důvodů na straně zákazníka (např. neprovedená spodní stavba nebo nesprávně provedená spodní stavba), případně nelze zhotovit spodní stavbu; v takovém případě se zavazujete uhradit za tento výjezd cenu v souladu</w:t>
      </w:r>
    </w:p>
    <w:p w:rsidR="004F0305" w:rsidRDefault="004F0305" w:rsidP="004F0305">
      <w:pPr>
        <w:pStyle w:val="Bodytext10"/>
        <w:spacing w:line="324" w:lineRule="auto"/>
      </w:pPr>
      <w:r>
        <w:rPr>
          <w:color w:val="000000"/>
        </w:rPr>
        <w:t>s odsouhlasenou nabídkou (cena 16 Kč/km, Uherské Hradiště tam a zpět),</w:t>
      </w:r>
    </w:p>
    <w:p w:rsidR="004F0305" w:rsidRDefault="004F0305" w:rsidP="004F0305">
      <w:pPr>
        <w:pStyle w:val="Bodytext10"/>
        <w:numPr>
          <w:ilvl w:val="0"/>
          <w:numId w:val="4"/>
        </w:numPr>
        <w:tabs>
          <w:tab w:val="left" w:pos="176"/>
        </w:tabs>
        <w:spacing w:after="0" w:line="324" w:lineRule="auto"/>
        <w:jc w:val="left"/>
      </w:pPr>
      <w:bookmarkStart w:id="23" w:name="bookmark22"/>
      <w:bookmarkEnd w:id="23"/>
      <w:r>
        <w:rPr>
          <w:color w:val="000000"/>
        </w:rPr>
        <w:t>o náklady na skladování mobiliáře, není-li možné jej ve smluveném termínu dodat a musíme-li ho z tohoto důvodu uskladnit, a to ve výší 35 Kč/m2 nezbytné skladovací plochy za každý den, kdy budeme mobiliář skladovat po smluveném termínu dodání.</w:t>
      </w:r>
    </w:p>
    <w:p w:rsidR="004F0305" w:rsidRDefault="004F0305" w:rsidP="004F0305">
      <w:pPr>
        <w:pStyle w:val="Bodytext10"/>
        <w:numPr>
          <w:ilvl w:val="1"/>
          <w:numId w:val="1"/>
        </w:numPr>
        <w:tabs>
          <w:tab w:val="left" w:pos="318"/>
        </w:tabs>
        <w:spacing w:after="160" w:line="324" w:lineRule="auto"/>
        <w:jc w:val="left"/>
      </w:pPr>
      <w:bookmarkStart w:id="24" w:name="bookmark23"/>
      <w:bookmarkEnd w:id="24"/>
      <w:r>
        <w:rPr>
          <w:color w:val="000000"/>
        </w:rPr>
        <w:t>V případě, že Vám mobiliář pouze dodáváme na předem sjednané místo (neprovádíme montáž), vykládka a manipulace musí být zajištěna Vaší stranou.</w:t>
      </w:r>
    </w:p>
    <w:p w:rsidR="004F0305" w:rsidRDefault="004F0305" w:rsidP="004F0305">
      <w:pPr>
        <w:pStyle w:val="Bodytext10"/>
        <w:numPr>
          <w:ilvl w:val="0"/>
          <w:numId w:val="1"/>
        </w:numPr>
        <w:tabs>
          <w:tab w:val="left" w:pos="231"/>
        </w:tabs>
        <w:spacing w:after="0" w:line="316" w:lineRule="auto"/>
        <w:jc w:val="left"/>
      </w:pPr>
      <w:bookmarkStart w:id="25" w:name="bookmark24"/>
      <w:bookmarkEnd w:id="25"/>
      <w:r>
        <w:rPr>
          <w:b w:val="0"/>
          <w:bCs w:val="0"/>
          <w:color w:val="000000"/>
          <w:u w:val="single"/>
        </w:rPr>
        <w:t>Místo dodání a nebezpečí škody</w:t>
      </w:r>
    </w:p>
    <w:p w:rsidR="004F0305" w:rsidRDefault="004F0305" w:rsidP="004F0305">
      <w:pPr>
        <w:pStyle w:val="Bodytext10"/>
        <w:numPr>
          <w:ilvl w:val="1"/>
          <w:numId w:val="1"/>
        </w:numPr>
        <w:tabs>
          <w:tab w:val="left" w:pos="322"/>
        </w:tabs>
        <w:spacing w:after="0" w:line="316" w:lineRule="auto"/>
        <w:jc w:val="left"/>
      </w:pPr>
      <w:bookmarkStart w:id="26" w:name="bookmark25"/>
      <w:bookmarkEnd w:id="26"/>
      <w:r>
        <w:rPr>
          <w:color w:val="000000"/>
        </w:rPr>
        <w:t>Zboží bude dodáno do místa uvedeného v nabídce, případně později upřesněného v objednávce nebo jiné komunikaci stran.</w:t>
      </w:r>
    </w:p>
    <w:p w:rsidR="004F0305" w:rsidRDefault="004F0305" w:rsidP="004F0305">
      <w:pPr>
        <w:pStyle w:val="Bodytext10"/>
        <w:numPr>
          <w:ilvl w:val="1"/>
          <w:numId w:val="1"/>
        </w:numPr>
        <w:tabs>
          <w:tab w:val="left" w:pos="322"/>
        </w:tabs>
        <w:spacing w:after="0" w:line="316" w:lineRule="auto"/>
        <w:jc w:val="left"/>
      </w:pPr>
      <w:bookmarkStart w:id="27" w:name="bookmark26"/>
      <w:bookmarkEnd w:id="27"/>
      <w:r>
        <w:rPr>
          <w:color w:val="000000"/>
        </w:rPr>
        <w:t>Nebezpečí škody na zboží přechází na zákazníka dodáním zboží. Bude-li zboží ponecháno na staveništi na žádost zákazníka přesto, že nebylo možné provést (případně i jen dokončit) jeho montáž z důvodů na straně zákazníka, přechází nebezpečí škody na zboží na zákazníka již okamžikem takového ponechání zboží na staveništi. Nedojde-li</w:t>
      </w:r>
    </w:p>
    <w:p w:rsidR="004F0305" w:rsidRDefault="004F0305" w:rsidP="004F0305">
      <w:pPr>
        <w:pStyle w:val="Bodytext10"/>
        <w:spacing w:line="316" w:lineRule="auto"/>
      </w:pPr>
      <w:r>
        <w:rPr>
          <w:color w:val="000000"/>
        </w:rPr>
        <w:t xml:space="preserve">k montáži zboží (případně k jejímu dokončení) ani do jednoho měsíce poté, co zboží bylo ponecháno na staveništi, považuje se zboží za dodané marným uplynutím uvedené lhůty i bez provedení montáže (a případně i bez zhotovení spodní stavby) a </w:t>
      </w:r>
      <w:proofErr w:type="spellStart"/>
      <w:r>
        <w:rPr>
          <w:color w:val="000000"/>
        </w:rPr>
        <w:t>mmcité</w:t>
      </w:r>
      <w:proofErr w:type="spellEnd"/>
      <w:r>
        <w:rPr>
          <w:color w:val="000000"/>
        </w:rPr>
        <w:t xml:space="preserve"> vzniká nárok na úhradu ceny zboží včetně ceny případného marného výjezdu (resp. marných výjezdů) montážní čety.</w:t>
      </w:r>
    </w:p>
    <w:p w:rsidR="004F0305" w:rsidRDefault="004F0305" w:rsidP="004F0305">
      <w:pPr>
        <w:pStyle w:val="Bodytext10"/>
        <w:spacing w:after="160" w:line="316" w:lineRule="auto"/>
      </w:pPr>
      <w:r>
        <w:rPr>
          <w:color w:val="000000"/>
        </w:rPr>
        <w:t>4.3 Vezměte prosím na vědomí, že pro montáž využíváme externí montážní čety</w:t>
      </w:r>
    </w:p>
    <w:p w:rsidR="004F0305" w:rsidRDefault="004F0305" w:rsidP="004F0305">
      <w:pPr>
        <w:pStyle w:val="Bodytext10"/>
        <w:numPr>
          <w:ilvl w:val="0"/>
          <w:numId w:val="1"/>
        </w:numPr>
        <w:tabs>
          <w:tab w:val="left" w:pos="231"/>
        </w:tabs>
        <w:spacing w:after="0" w:line="316" w:lineRule="auto"/>
        <w:jc w:val="left"/>
      </w:pPr>
      <w:bookmarkStart w:id="28" w:name="bookmark27"/>
      <w:bookmarkEnd w:id="28"/>
      <w:r>
        <w:rPr>
          <w:b w:val="0"/>
          <w:bCs w:val="0"/>
          <w:color w:val="000000"/>
          <w:u w:val="single"/>
        </w:rPr>
        <w:t>Cena</w:t>
      </w:r>
    </w:p>
    <w:p w:rsidR="004F0305" w:rsidRDefault="004F0305" w:rsidP="004F0305">
      <w:pPr>
        <w:pStyle w:val="Bodytext10"/>
        <w:numPr>
          <w:ilvl w:val="1"/>
          <w:numId w:val="1"/>
        </w:numPr>
        <w:tabs>
          <w:tab w:val="left" w:pos="322"/>
        </w:tabs>
        <w:spacing w:after="160" w:line="316" w:lineRule="auto"/>
        <w:jc w:val="left"/>
      </w:pPr>
      <w:bookmarkStart w:id="29" w:name="bookmark28"/>
      <w:bookmarkEnd w:id="29"/>
      <w:r>
        <w:rPr>
          <w:b w:val="0"/>
          <w:bCs w:val="0"/>
          <w:color w:val="000000"/>
        </w:rPr>
        <w:t xml:space="preserve">Ceny uvedené v nabídce jsou platné do 31.12. 2024. </w:t>
      </w:r>
      <w:r>
        <w:rPr>
          <w:color w:val="000000"/>
        </w:rPr>
        <w:t xml:space="preserve">Vyhrazujeme si právo nabídnuté ceny kdykoli do okamžiku vzniku smluvního vztahu (tj. zpravidla do okamžiku objednávky) změnit, dojde-li z důvodu nepředvídatelných okolností stojících mimo </w:t>
      </w:r>
      <w:proofErr w:type="gramStart"/>
      <w:r>
        <w:rPr>
          <w:color w:val="000000"/>
        </w:rPr>
        <w:t>naší</w:t>
      </w:r>
      <w:proofErr w:type="gramEnd"/>
      <w:r>
        <w:rPr>
          <w:color w:val="000000"/>
        </w:rPr>
        <w:t xml:space="preserve"> společnost (zejména ozbrojený konflikt, epidemie, jiná změna situace na trhu s materiály či surovinami potřebnými pro výrobu výrobků) k významnému nárůstu cen materiálů či surovin potřebných pro výrobu výrobků.</w:t>
      </w:r>
    </w:p>
    <w:p w:rsidR="004F0305" w:rsidRDefault="004F0305" w:rsidP="004F0305">
      <w:pPr>
        <w:pStyle w:val="Bodytext10"/>
        <w:numPr>
          <w:ilvl w:val="1"/>
          <w:numId w:val="1"/>
        </w:numPr>
        <w:tabs>
          <w:tab w:val="left" w:pos="322"/>
        </w:tabs>
        <w:spacing w:after="0" w:line="321" w:lineRule="auto"/>
        <w:jc w:val="left"/>
      </w:pPr>
      <w:bookmarkStart w:id="30" w:name="bookmark29"/>
      <w:bookmarkEnd w:id="30"/>
      <w:r>
        <w:rPr>
          <w:color w:val="000000"/>
        </w:rPr>
        <w:t>Po vzniku smlouvy jsou ceny dohodnuté a fixní.</w:t>
      </w:r>
    </w:p>
    <w:p w:rsidR="004F0305" w:rsidRDefault="004F0305" w:rsidP="004F0305">
      <w:pPr>
        <w:pStyle w:val="Bodytext10"/>
        <w:numPr>
          <w:ilvl w:val="1"/>
          <w:numId w:val="1"/>
        </w:numPr>
        <w:tabs>
          <w:tab w:val="left" w:pos="322"/>
        </w:tabs>
        <w:spacing w:after="0" w:line="321" w:lineRule="auto"/>
        <w:jc w:val="left"/>
      </w:pPr>
      <w:bookmarkStart w:id="31" w:name="bookmark30"/>
      <w:bookmarkEnd w:id="31"/>
      <w:r>
        <w:rPr>
          <w:color w:val="000000"/>
        </w:rPr>
        <w:t>Pozastávky nejsou akceptovány, není-li sjednáno jinak.</w:t>
      </w:r>
    </w:p>
    <w:p w:rsidR="004F0305" w:rsidRDefault="004F0305" w:rsidP="004F0305">
      <w:pPr>
        <w:pStyle w:val="Bodytext10"/>
        <w:numPr>
          <w:ilvl w:val="1"/>
          <w:numId w:val="1"/>
        </w:numPr>
        <w:tabs>
          <w:tab w:val="left" w:pos="322"/>
        </w:tabs>
        <w:spacing w:after="0" w:line="321" w:lineRule="auto"/>
        <w:jc w:val="left"/>
      </w:pPr>
      <w:bookmarkStart w:id="32" w:name="bookmark31"/>
      <w:bookmarkEnd w:id="32"/>
      <w:r>
        <w:rPr>
          <w:color w:val="000000"/>
        </w:rPr>
        <w:t>Případné vícepráce budou účtovány na základě hodinové sazby 450 Kč/h/1 osobu</w:t>
      </w:r>
    </w:p>
    <w:p w:rsidR="004F0305" w:rsidRDefault="004F0305" w:rsidP="004F0305">
      <w:pPr>
        <w:pStyle w:val="Bodytext10"/>
        <w:numPr>
          <w:ilvl w:val="1"/>
          <w:numId w:val="1"/>
        </w:numPr>
        <w:tabs>
          <w:tab w:val="left" w:pos="322"/>
        </w:tabs>
        <w:spacing w:after="0" w:line="321" w:lineRule="auto"/>
        <w:jc w:val="left"/>
      </w:pPr>
      <w:bookmarkStart w:id="33" w:name="bookmark32"/>
      <w:bookmarkEnd w:id="33"/>
      <w:r>
        <w:rPr>
          <w:color w:val="000000"/>
        </w:rPr>
        <w:t>Součástí ceny není:</w:t>
      </w:r>
    </w:p>
    <w:p w:rsidR="004F0305" w:rsidRDefault="004F0305" w:rsidP="004F0305">
      <w:pPr>
        <w:pStyle w:val="Bodytext10"/>
        <w:numPr>
          <w:ilvl w:val="0"/>
          <w:numId w:val="5"/>
        </w:numPr>
        <w:tabs>
          <w:tab w:val="left" w:pos="231"/>
        </w:tabs>
        <w:spacing w:after="0" w:line="321" w:lineRule="auto"/>
        <w:jc w:val="left"/>
      </w:pPr>
      <w:bookmarkStart w:id="34" w:name="bookmark33"/>
      <w:bookmarkEnd w:id="34"/>
      <w:r>
        <w:rPr>
          <w:color w:val="000000"/>
        </w:rPr>
        <w:t>zaměření a vytýčení inženýrských sítí;</w:t>
      </w:r>
    </w:p>
    <w:p w:rsidR="004F0305" w:rsidRDefault="004F0305" w:rsidP="004F0305">
      <w:pPr>
        <w:pStyle w:val="Bodytext10"/>
        <w:numPr>
          <w:ilvl w:val="0"/>
          <w:numId w:val="5"/>
        </w:numPr>
        <w:tabs>
          <w:tab w:val="left" w:pos="231"/>
        </w:tabs>
        <w:spacing w:after="0" w:line="321" w:lineRule="auto"/>
        <w:jc w:val="left"/>
      </w:pPr>
      <w:bookmarkStart w:id="35" w:name="bookmark34"/>
      <w:bookmarkEnd w:id="35"/>
      <w:r>
        <w:rPr>
          <w:color w:val="000000"/>
        </w:rPr>
        <w:t>elektro revize;</w:t>
      </w:r>
    </w:p>
    <w:p w:rsidR="004F0305" w:rsidRDefault="004F0305" w:rsidP="004F0305">
      <w:pPr>
        <w:pStyle w:val="Bodytext10"/>
        <w:numPr>
          <w:ilvl w:val="0"/>
          <w:numId w:val="5"/>
        </w:numPr>
        <w:tabs>
          <w:tab w:val="left" w:pos="231"/>
        </w:tabs>
        <w:spacing w:after="0" w:line="321" w:lineRule="auto"/>
        <w:jc w:val="left"/>
      </w:pPr>
      <w:bookmarkStart w:id="36" w:name="bookmark35"/>
      <w:bookmarkEnd w:id="36"/>
      <w:r>
        <w:rPr>
          <w:color w:val="000000"/>
        </w:rPr>
        <w:t>přívod vody do pitek;</w:t>
      </w:r>
    </w:p>
    <w:p w:rsidR="004F0305" w:rsidRDefault="004F0305" w:rsidP="004F0305">
      <w:pPr>
        <w:pStyle w:val="Bodytext10"/>
        <w:numPr>
          <w:ilvl w:val="0"/>
          <w:numId w:val="5"/>
        </w:numPr>
        <w:tabs>
          <w:tab w:val="left" w:pos="231"/>
        </w:tabs>
        <w:spacing w:after="0" w:line="321" w:lineRule="auto"/>
        <w:jc w:val="left"/>
      </w:pPr>
      <w:bookmarkStart w:id="37" w:name="bookmark36"/>
      <w:bookmarkEnd w:id="37"/>
      <w:r>
        <w:rPr>
          <w:color w:val="000000"/>
        </w:rPr>
        <w:t xml:space="preserve">přívod elektřiny k výrobkům, které to vyžadují (např. vitríny </w:t>
      </w:r>
      <w:r>
        <w:rPr>
          <w:color w:val="000000"/>
          <w:lang w:val="en-US" w:bidi="en-US"/>
        </w:rPr>
        <w:t xml:space="preserve">City Light, </w:t>
      </w:r>
      <w:r>
        <w:rPr>
          <w:color w:val="000000"/>
        </w:rPr>
        <w:t>prvky s osvětlením);</w:t>
      </w:r>
    </w:p>
    <w:p w:rsidR="004F0305" w:rsidRDefault="004F0305" w:rsidP="004F0305">
      <w:pPr>
        <w:pStyle w:val="Bodytext10"/>
        <w:numPr>
          <w:ilvl w:val="0"/>
          <w:numId w:val="5"/>
        </w:numPr>
        <w:tabs>
          <w:tab w:val="left" w:pos="236"/>
        </w:tabs>
        <w:spacing w:after="0" w:line="321" w:lineRule="auto"/>
        <w:jc w:val="left"/>
      </w:pPr>
      <w:bookmarkStart w:id="38" w:name="bookmark37"/>
      <w:bookmarkEnd w:id="38"/>
      <w:r>
        <w:rPr>
          <w:color w:val="000000"/>
        </w:rPr>
        <w:t xml:space="preserve">v případě přístřešků </w:t>
      </w:r>
      <w:r>
        <w:rPr>
          <w:color w:val="000000"/>
          <w:lang w:val="en-US" w:bidi="en-US"/>
        </w:rPr>
        <w:t xml:space="preserve">PIN </w:t>
      </w:r>
      <w:r>
        <w:rPr>
          <w:color w:val="000000"/>
        </w:rPr>
        <w:t>kopání kanalizační trubky;</w:t>
      </w:r>
    </w:p>
    <w:p w:rsidR="004F0305" w:rsidRDefault="004F0305" w:rsidP="004F0305">
      <w:pPr>
        <w:pStyle w:val="Bodytext10"/>
        <w:numPr>
          <w:ilvl w:val="0"/>
          <w:numId w:val="5"/>
        </w:numPr>
        <w:tabs>
          <w:tab w:val="left" w:pos="236"/>
        </w:tabs>
        <w:spacing w:after="0" w:line="321" w:lineRule="auto"/>
        <w:jc w:val="left"/>
      </w:pPr>
      <w:bookmarkStart w:id="39" w:name="bookmark38"/>
      <w:bookmarkEnd w:id="39"/>
      <w:r>
        <w:rPr>
          <w:color w:val="000000"/>
        </w:rPr>
        <w:t>jakákoli naše spoluúčast na pojištění staveniště;</w:t>
      </w:r>
    </w:p>
    <w:p w:rsidR="004F0305" w:rsidRDefault="004F0305" w:rsidP="004F0305">
      <w:pPr>
        <w:pStyle w:val="Bodytext10"/>
        <w:numPr>
          <w:ilvl w:val="0"/>
          <w:numId w:val="5"/>
        </w:numPr>
        <w:tabs>
          <w:tab w:val="left" w:pos="236"/>
        </w:tabs>
        <w:spacing w:after="0" w:line="321" w:lineRule="auto"/>
        <w:jc w:val="left"/>
      </w:pPr>
      <w:bookmarkStart w:id="40" w:name="bookmark39"/>
      <w:bookmarkEnd w:id="40"/>
      <w:r>
        <w:rPr>
          <w:color w:val="000000"/>
        </w:rPr>
        <w:t xml:space="preserve">dodání kotevního materiálu, pokud </w:t>
      </w:r>
      <w:proofErr w:type="spellStart"/>
      <w:r>
        <w:rPr>
          <w:color w:val="000000"/>
        </w:rPr>
        <w:t>mmcité</w:t>
      </w:r>
      <w:proofErr w:type="spellEnd"/>
      <w:r>
        <w:rPr>
          <w:color w:val="000000"/>
        </w:rPr>
        <w:t xml:space="preserve"> neprovádí montáž;</w:t>
      </w:r>
    </w:p>
    <w:p w:rsidR="004F0305" w:rsidRDefault="004F0305" w:rsidP="004F0305">
      <w:pPr>
        <w:tabs>
          <w:tab w:val="left" w:pos="1875"/>
        </w:tabs>
        <w:rPr>
          <w:lang w:eastAsia="en-US" w:bidi="ar-SA"/>
        </w:rPr>
      </w:pPr>
    </w:p>
    <w:p w:rsidR="004F0305" w:rsidRDefault="004F0305" w:rsidP="004F0305">
      <w:pPr>
        <w:tabs>
          <w:tab w:val="left" w:pos="1875"/>
        </w:tabs>
        <w:rPr>
          <w:lang w:eastAsia="en-US" w:bidi="ar-SA"/>
        </w:rPr>
      </w:pPr>
    </w:p>
    <w:p w:rsidR="004F0305" w:rsidRDefault="004F0305" w:rsidP="004F0305">
      <w:pPr>
        <w:pStyle w:val="Bodytext10"/>
        <w:spacing w:after="160" w:line="328" w:lineRule="auto"/>
        <w:rPr>
          <w:lang w:bidi="cs-CZ"/>
        </w:rPr>
      </w:pPr>
      <w:r>
        <w:rPr>
          <w:color w:val="000000"/>
        </w:rPr>
        <w:t>h) jakékoli poplatky za zřízení staveniště hrazené Vám či jiným subjektům na staveništi.</w:t>
      </w:r>
    </w:p>
    <w:p w:rsidR="004F0305" w:rsidRDefault="004F0305" w:rsidP="004F0305">
      <w:pPr>
        <w:pStyle w:val="Bodytext10"/>
        <w:numPr>
          <w:ilvl w:val="0"/>
          <w:numId w:val="6"/>
        </w:numPr>
        <w:tabs>
          <w:tab w:val="left" w:pos="226"/>
        </w:tabs>
        <w:spacing w:after="0" w:line="328" w:lineRule="auto"/>
        <w:jc w:val="left"/>
      </w:pPr>
      <w:r>
        <w:rPr>
          <w:b w:val="0"/>
          <w:bCs w:val="0"/>
          <w:color w:val="000000"/>
          <w:u w:val="single"/>
        </w:rPr>
        <w:t>Platební podmínky</w:t>
      </w:r>
    </w:p>
    <w:p w:rsidR="004F0305" w:rsidRDefault="004F0305" w:rsidP="004F0305">
      <w:pPr>
        <w:pStyle w:val="Bodytext10"/>
        <w:numPr>
          <w:ilvl w:val="1"/>
          <w:numId w:val="6"/>
        </w:numPr>
        <w:tabs>
          <w:tab w:val="left" w:pos="322"/>
        </w:tabs>
        <w:spacing w:after="0" w:line="328" w:lineRule="auto"/>
        <w:jc w:val="left"/>
      </w:pPr>
      <w:r>
        <w:rPr>
          <w:color w:val="000000"/>
        </w:rPr>
        <w:t>Vystavíme-li Vám zálohovou fakturu, jste povinni ji uhradit ve splatnosti 14 dní od vystavení, není-li sjednáno jinak. O dobu případného prodlení s úhradou se prodlužuje termín dodání. Zaplacení zálohové faktury je nezbytným předpokladem pro expedici a dodání výrobků.</w:t>
      </w:r>
    </w:p>
    <w:p w:rsidR="004F0305" w:rsidRDefault="004F0305" w:rsidP="004F0305">
      <w:pPr>
        <w:pStyle w:val="Bodytext10"/>
        <w:numPr>
          <w:ilvl w:val="1"/>
          <w:numId w:val="6"/>
        </w:numPr>
        <w:tabs>
          <w:tab w:val="left" w:pos="322"/>
        </w:tabs>
        <w:spacing w:after="160" w:line="328" w:lineRule="auto"/>
        <w:jc w:val="left"/>
      </w:pPr>
      <w:r>
        <w:rPr>
          <w:color w:val="000000"/>
        </w:rPr>
        <w:t>Splatnost vystavených daňových dokladů činí 14 dní od vystavení, není-li sjednáno jinak. Daňový doklad na cenu zboží jsme oprávněni vystavit po jeho dodání.</w:t>
      </w:r>
    </w:p>
    <w:p w:rsidR="004F0305" w:rsidRDefault="004F0305" w:rsidP="004F0305">
      <w:pPr>
        <w:pStyle w:val="Bodytext10"/>
        <w:numPr>
          <w:ilvl w:val="1"/>
          <w:numId w:val="6"/>
        </w:numPr>
        <w:tabs>
          <w:tab w:val="left" w:pos="322"/>
        </w:tabs>
        <w:spacing w:after="160" w:line="328" w:lineRule="auto"/>
        <w:jc w:val="left"/>
      </w:pPr>
      <w:r>
        <w:rPr>
          <w:color w:val="000000"/>
        </w:rPr>
        <w:t xml:space="preserve">U nových odběratelů požadujeme zálohovou fakturu v minimální výši </w:t>
      </w:r>
      <w:proofErr w:type="gramStart"/>
      <w:r>
        <w:rPr>
          <w:color w:val="000000"/>
        </w:rPr>
        <w:t>70%</w:t>
      </w:r>
      <w:proofErr w:type="gramEnd"/>
      <w:r>
        <w:rPr>
          <w:color w:val="000000"/>
        </w:rPr>
        <w:t>.</w:t>
      </w:r>
    </w:p>
    <w:p w:rsidR="004F0305" w:rsidRDefault="004F0305" w:rsidP="004F0305">
      <w:pPr>
        <w:pStyle w:val="Bodytext10"/>
        <w:numPr>
          <w:ilvl w:val="0"/>
          <w:numId w:val="6"/>
        </w:numPr>
        <w:tabs>
          <w:tab w:val="left" w:pos="226"/>
        </w:tabs>
        <w:spacing w:after="0" w:line="316" w:lineRule="auto"/>
        <w:jc w:val="left"/>
      </w:pPr>
      <w:r>
        <w:rPr>
          <w:b w:val="0"/>
          <w:bCs w:val="0"/>
          <w:color w:val="000000"/>
          <w:u w:val="single"/>
        </w:rPr>
        <w:t>Odpovědnost za vady a záruka</w:t>
      </w:r>
    </w:p>
    <w:p w:rsidR="004F0305" w:rsidRDefault="004F0305" w:rsidP="004F0305">
      <w:pPr>
        <w:pStyle w:val="Bodytext10"/>
        <w:numPr>
          <w:ilvl w:val="1"/>
          <w:numId w:val="6"/>
        </w:numPr>
        <w:tabs>
          <w:tab w:val="left" w:pos="313"/>
        </w:tabs>
        <w:spacing w:after="0" w:line="316" w:lineRule="auto"/>
        <w:jc w:val="left"/>
      </w:pPr>
      <w:r>
        <w:rPr>
          <w:color w:val="000000"/>
        </w:rPr>
        <w:t>Záruka je poskytována pouze na samotné výrobky, nikoliv na práce a závady způsobené neodbornou manipulací, vandalismem, špatným skladováním.</w:t>
      </w:r>
    </w:p>
    <w:p w:rsidR="004F0305" w:rsidRDefault="004F0305" w:rsidP="004F0305">
      <w:pPr>
        <w:pStyle w:val="Bodytext10"/>
        <w:numPr>
          <w:ilvl w:val="1"/>
          <w:numId w:val="6"/>
        </w:numPr>
        <w:tabs>
          <w:tab w:val="left" w:pos="322"/>
        </w:tabs>
        <w:spacing w:after="0" w:line="316" w:lineRule="auto"/>
        <w:jc w:val="left"/>
      </w:pPr>
      <w:r>
        <w:rPr>
          <w:color w:val="000000"/>
        </w:rPr>
        <w:t>Nezbytným předpokladem trvání záruky je dodržování Návodů. Bude-li zjištěno, že údržba nebyla řádně prováděna nebo byla prováděna v rozporu s Návody, práva a povinnosti ze záruky zanikají.</w:t>
      </w:r>
    </w:p>
    <w:p w:rsidR="004F0305" w:rsidRDefault="004F0305" w:rsidP="004F0305">
      <w:pPr>
        <w:pStyle w:val="Bodytext10"/>
        <w:numPr>
          <w:ilvl w:val="1"/>
          <w:numId w:val="6"/>
        </w:numPr>
        <w:tabs>
          <w:tab w:val="left" w:pos="322"/>
        </w:tabs>
        <w:spacing w:after="160" w:line="316" w:lineRule="auto"/>
        <w:jc w:val="left"/>
      </w:pPr>
      <w:r>
        <w:rPr>
          <w:color w:val="000000"/>
        </w:rPr>
        <w:t>Konkrétní záruční doby a další záruční podmínky jsou obsaženy v Návodech.</w:t>
      </w:r>
    </w:p>
    <w:p w:rsidR="004F0305" w:rsidRDefault="004F0305" w:rsidP="004F0305">
      <w:pPr>
        <w:pStyle w:val="Bodytext10"/>
        <w:numPr>
          <w:ilvl w:val="0"/>
          <w:numId w:val="6"/>
        </w:numPr>
        <w:tabs>
          <w:tab w:val="left" w:pos="226"/>
        </w:tabs>
        <w:spacing w:after="0" w:line="328" w:lineRule="auto"/>
        <w:jc w:val="left"/>
      </w:pPr>
      <w:r>
        <w:rPr>
          <w:b w:val="0"/>
          <w:bCs w:val="0"/>
          <w:color w:val="000000"/>
          <w:u w:val="single"/>
        </w:rPr>
        <w:t>Informace k některým výrobkům</w:t>
      </w:r>
    </w:p>
    <w:p w:rsidR="004F0305" w:rsidRDefault="004F0305" w:rsidP="004F0305">
      <w:pPr>
        <w:pStyle w:val="Bodytext10"/>
        <w:numPr>
          <w:ilvl w:val="1"/>
          <w:numId w:val="6"/>
        </w:numPr>
        <w:tabs>
          <w:tab w:val="left" w:pos="322"/>
        </w:tabs>
        <w:spacing w:after="0" w:line="328" w:lineRule="auto"/>
        <w:jc w:val="left"/>
      </w:pPr>
      <w:r>
        <w:rPr>
          <w:color w:val="000000"/>
        </w:rPr>
        <w:t>Deklarované vlastnosti přístřešků</w:t>
      </w:r>
    </w:p>
    <w:p w:rsidR="004F0305" w:rsidRDefault="004F0305" w:rsidP="004F0305">
      <w:pPr>
        <w:pStyle w:val="Bodytext10"/>
        <w:spacing w:line="328" w:lineRule="auto"/>
      </w:pPr>
      <w:r>
        <w:rPr>
          <w:color w:val="000000"/>
        </w:rPr>
        <w:t>Zákazník bere na vědomí, že přístřešky mají následující vlastnosti:</w:t>
      </w:r>
    </w:p>
    <w:p w:rsidR="004F0305" w:rsidRDefault="004F0305" w:rsidP="004F0305">
      <w:pPr>
        <w:pStyle w:val="Bodytext10"/>
        <w:numPr>
          <w:ilvl w:val="0"/>
          <w:numId w:val="7"/>
        </w:numPr>
        <w:tabs>
          <w:tab w:val="left" w:pos="197"/>
        </w:tabs>
        <w:spacing w:after="0" w:line="328" w:lineRule="auto"/>
        <w:jc w:val="left"/>
      </w:pPr>
      <w:r>
        <w:rPr>
          <w:color w:val="000000"/>
        </w:rPr>
        <w:t xml:space="preserve">třída </w:t>
      </w:r>
      <w:proofErr w:type="gramStart"/>
      <w:r>
        <w:rPr>
          <w:color w:val="000000"/>
        </w:rPr>
        <w:t>provedení - EXC2</w:t>
      </w:r>
      <w:proofErr w:type="gramEnd"/>
      <w:r>
        <w:rPr>
          <w:color w:val="000000"/>
        </w:rPr>
        <w:t xml:space="preserve"> (CC2 / PC2 / SCI) dle ČSN EN 1090-2+Al:2011</w:t>
      </w:r>
    </w:p>
    <w:p w:rsidR="004F0305" w:rsidRDefault="004F0305" w:rsidP="004F0305">
      <w:pPr>
        <w:pStyle w:val="Bodytext10"/>
        <w:numPr>
          <w:ilvl w:val="0"/>
          <w:numId w:val="7"/>
        </w:numPr>
        <w:tabs>
          <w:tab w:val="left" w:pos="197"/>
        </w:tabs>
        <w:spacing w:after="0" w:line="328" w:lineRule="auto"/>
        <w:jc w:val="left"/>
      </w:pPr>
      <w:r>
        <w:rPr>
          <w:color w:val="000000"/>
        </w:rPr>
        <w:t xml:space="preserve">zatížení </w:t>
      </w:r>
      <w:proofErr w:type="gramStart"/>
      <w:r>
        <w:rPr>
          <w:color w:val="000000"/>
        </w:rPr>
        <w:t>sněhem - Plošná</w:t>
      </w:r>
      <w:proofErr w:type="gramEnd"/>
      <w:r>
        <w:rPr>
          <w:color w:val="000000"/>
        </w:rPr>
        <w:t xml:space="preserve"> zátěž = l,5kN/m2 (150kg/m2) dle ČSN EN 1991-1-3</w:t>
      </w:r>
    </w:p>
    <w:p w:rsidR="004F0305" w:rsidRDefault="004F0305" w:rsidP="004F0305">
      <w:pPr>
        <w:pStyle w:val="Bodytext10"/>
        <w:numPr>
          <w:ilvl w:val="0"/>
          <w:numId w:val="7"/>
        </w:numPr>
        <w:tabs>
          <w:tab w:val="left" w:pos="197"/>
        </w:tabs>
        <w:spacing w:after="0" w:line="328" w:lineRule="auto"/>
        <w:jc w:val="left"/>
      </w:pPr>
      <w:r>
        <w:rPr>
          <w:color w:val="000000"/>
        </w:rPr>
        <w:t xml:space="preserve">zatížení větrem - Garantovaná odolnost vůči větru do rychlosti </w:t>
      </w:r>
      <w:proofErr w:type="gramStart"/>
      <w:r>
        <w:rPr>
          <w:color w:val="000000"/>
        </w:rPr>
        <w:t>25,lm</w:t>
      </w:r>
      <w:proofErr w:type="gramEnd"/>
      <w:r>
        <w:rPr>
          <w:color w:val="000000"/>
        </w:rPr>
        <w:t>/s (90km/hod) dle ČSN EN 1991-1-4</w:t>
      </w:r>
    </w:p>
    <w:p w:rsidR="004F0305" w:rsidRDefault="004F0305" w:rsidP="004F0305">
      <w:pPr>
        <w:pStyle w:val="Bodytext10"/>
        <w:spacing w:line="328" w:lineRule="auto"/>
      </w:pPr>
      <w:r>
        <w:rPr>
          <w:color w:val="000000"/>
        </w:rPr>
        <w:t>V případě garance na vyšší zatížení větrem či sněhem, než je uvedeno výše, je nutné individuální posouzení a cenová kalkulace.</w:t>
      </w:r>
    </w:p>
    <w:p w:rsidR="004F0305" w:rsidRDefault="004F0305" w:rsidP="004F0305">
      <w:pPr>
        <w:pStyle w:val="Bodytext10"/>
        <w:spacing w:after="160" w:line="328" w:lineRule="auto"/>
      </w:pPr>
      <w:r>
        <w:rPr>
          <w:color w:val="000000"/>
        </w:rPr>
        <w:t>Níže uvedená tabulka dle ČSN 730035/Z3 (11/2006) odkazuje na ekvivalenty výšky sněhové pokrývky pro střechy o sklonu do 30° pro jednotlivé zátěže dle sněhové mapy (jedná se pouze o orientační hodnoty, celkovou statiku přístřešků ovlivňuje nejen sněhová zátěž, ale také vítr a jejich vzájemná kombinace)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1224"/>
        <w:gridCol w:w="466"/>
        <w:gridCol w:w="518"/>
        <w:gridCol w:w="518"/>
        <w:gridCol w:w="514"/>
        <w:gridCol w:w="518"/>
        <w:gridCol w:w="518"/>
        <w:gridCol w:w="514"/>
        <w:gridCol w:w="523"/>
        <w:gridCol w:w="538"/>
      </w:tblGrid>
      <w:tr w:rsidR="004F0305" w:rsidTr="004F0305">
        <w:trPr>
          <w:trHeight w:hRule="exact" w:val="638"/>
          <w:jc w:val="center"/>
        </w:trPr>
        <w:tc>
          <w:tcPr>
            <w:tcW w:w="403" w:type="dxa"/>
            <w:vMerge w:val="restart"/>
            <w:tcBorders>
              <w:top w:val="single" w:sz="4" w:space="0" w:color="auto"/>
              <w:left w:val="single" w:sz="4" w:space="0" w:color="auto"/>
              <w:bottom w:val="nil"/>
              <w:right w:val="nil"/>
            </w:tcBorders>
            <w:shd w:val="clear" w:color="auto" w:fill="FFFFFF"/>
          </w:tcPr>
          <w:p w:rsidR="004F0305" w:rsidRDefault="004F0305">
            <w:pPr>
              <w:rPr>
                <w:sz w:val="10"/>
                <w:szCs w:val="10"/>
              </w:rPr>
            </w:pPr>
          </w:p>
        </w:tc>
        <w:tc>
          <w:tcPr>
            <w:tcW w:w="1224"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jc w:val="center"/>
              <w:rPr>
                <w:sz w:val="8"/>
                <w:szCs w:val="8"/>
              </w:rPr>
            </w:pPr>
            <w:r>
              <w:rPr>
                <w:b/>
                <w:bCs/>
                <w:color w:val="000000"/>
                <w:sz w:val="8"/>
                <w:szCs w:val="8"/>
              </w:rPr>
              <w:t>Sněhová oblast</w:t>
            </w:r>
          </w:p>
        </w:tc>
        <w:tc>
          <w:tcPr>
            <w:tcW w:w="466"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spacing w:line="276" w:lineRule="auto"/>
              <w:rPr>
                <w:sz w:val="8"/>
                <w:szCs w:val="8"/>
              </w:rPr>
            </w:pPr>
            <w:r>
              <w:rPr>
                <w:b/>
                <w:bCs/>
                <w:color w:val="000000"/>
                <w:sz w:val="8"/>
                <w:szCs w:val="8"/>
              </w:rPr>
              <w:t>Objemová hmotnost sněhu (kg/m</w:t>
            </w:r>
            <w:r>
              <w:rPr>
                <w:b/>
                <w:bCs/>
                <w:color w:val="000000"/>
                <w:sz w:val="8"/>
                <w:szCs w:val="8"/>
                <w:vertAlign w:val="superscript"/>
              </w:rPr>
              <w:t>1</w:t>
            </w:r>
            <w:r>
              <w:rPr>
                <w:b/>
                <w:bCs/>
                <w:color w:val="000000"/>
                <w:sz w:val="8"/>
                <w:szCs w:val="8"/>
              </w:rPr>
              <w:t>)</w:t>
            </w:r>
          </w:p>
        </w:tc>
        <w:tc>
          <w:tcPr>
            <w:tcW w:w="518" w:type="dxa"/>
            <w:tcBorders>
              <w:top w:val="single" w:sz="4" w:space="0" w:color="auto"/>
              <w:left w:val="single" w:sz="4" w:space="0" w:color="auto"/>
              <w:bottom w:val="nil"/>
              <w:right w:val="nil"/>
            </w:tcBorders>
            <w:shd w:val="clear" w:color="auto" w:fill="FAA5B7"/>
            <w:vAlign w:val="center"/>
            <w:hideMark/>
          </w:tcPr>
          <w:p w:rsidR="004F0305" w:rsidRDefault="004F0305">
            <w:pPr>
              <w:pStyle w:val="Other10"/>
              <w:jc w:val="center"/>
              <w:rPr>
                <w:sz w:val="8"/>
                <w:szCs w:val="8"/>
              </w:rPr>
            </w:pPr>
            <w:r>
              <w:rPr>
                <w:b/>
                <w:bCs/>
                <w:color w:val="734956"/>
                <w:sz w:val="8"/>
                <w:szCs w:val="8"/>
              </w:rPr>
              <w:t>1</w:t>
            </w:r>
          </w:p>
        </w:tc>
        <w:tc>
          <w:tcPr>
            <w:tcW w:w="518" w:type="dxa"/>
            <w:tcBorders>
              <w:top w:val="single" w:sz="4" w:space="0" w:color="auto"/>
              <w:left w:val="single" w:sz="4" w:space="0" w:color="auto"/>
              <w:bottom w:val="nil"/>
              <w:right w:val="nil"/>
            </w:tcBorders>
            <w:shd w:val="clear" w:color="auto" w:fill="F9BD63"/>
            <w:vAlign w:val="center"/>
            <w:hideMark/>
          </w:tcPr>
          <w:p w:rsidR="004F0305" w:rsidRDefault="004F0305">
            <w:pPr>
              <w:pStyle w:val="Other10"/>
              <w:jc w:val="center"/>
              <w:rPr>
                <w:sz w:val="8"/>
                <w:szCs w:val="8"/>
              </w:rPr>
            </w:pPr>
            <w:r>
              <w:rPr>
                <w:b/>
                <w:bCs/>
                <w:color w:val="463E21"/>
                <w:sz w:val="8"/>
                <w:szCs w:val="8"/>
                <w:lang w:val="en-US" w:bidi="en-US"/>
              </w:rPr>
              <w:t>It</w:t>
            </w:r>
          </w:p>
        </w:tc>
        <w:tc>
          <w:tcPr>
            <w:tcW w:w="514" w:type="dxa"/>
            <w:tcBorders>
              <w:top w:val="single" w:sz="4" w:space="0" w:color="auto"/>
              <w:left w:val="single" w:sz="4" w:space="0" w:color="auto"/>
              <w:bottom w:val="nil"/>
              <w:right w:val="nil"/>
            </w:tcBorders>
            <w:shd w:val="clear" w:color="auto" w:fill="FAF930"/>
            <w:vAlign w:val="center"/>
            <w:hideMark/>
          </w:tcPr>
          <w:p w:rsidR="004F0305" w:rsidRDefault="004F0305">
            <w:pPr>
              <w:pStyle w:val="Other10"/>
              <w:jc w:val="center"/>
              <w:rPr>
                <w:sz w:val="8"/>
                <w:szCs w:val="8"/>
              </w:rPr>
            </w:pPr>
            <w:r>
              <w:rPr>
                <w:b/>
                <w:bCs/>
                <w:color w:val="463E21"/>
                <w:sz w:val="8"/>
                <w:szCs w:val="8"/>
                <w:lang w:val="en-US" w:bidi="en-US"/>
              </w:rPr>
              <w:t>III</w:t>
            </w:r>
          </w:p>
        </w:tc>
        <w:tc>
          <w:tcPr>
            <w:tcW w:w="518" w:type="dxa"/>
            <w:tcBorders>
              <w:top w:val="single" w:sz="4" w:space="0" w:color="auto"/>
              <w:left w:val="single" w:sz="4" w:space="0" w:color="auto"/>
              <w:bottom w:val="nil"/>
              <w:right w:val="nil"/>
            </w:tcBorders>
            <w:shd w:val="clear" w:color="auto" w:fill="FAF930"/>
            <w:vAlign w:val="center"/>
            <w:hideMark/>
          </w:tcPr>
          <w:p w:rsidR="004F0305" w:rsidRDefault="004F0305">
            <w:pPr>
              <w:pStyle w:val="Other10"/>
              <w:ind w:firstLine="200"/>
              <w:rPr>
                <w:sz w:val="8"/>
                <w:szCs w:val="8"/>
              </w:rPr>
            </w:pPr>
            <w:r>
              <w:rPr>
                <w:b/>
                <w:bCs/>
                <w:color w:val="463E21"/>
                <w:sz w:val="8"/>
                <w:szCs w:val="8"/>
              </w:rPr>
              <w:t>IV</w:t>
            </w:r>
          </w:p>
        </w:tc>
        <w:tc>
          <w:tcPr>
            <w:tcW w:w="518" w:type="dxa"/>
            <w:tcBorders>
              <w:top w:val="single" w:sz="4" w:space="0" w:color="auto"/>
              <w:left w:val="single" w:sz="4" w:space="0" w:color="auto"/>
              <w:bottom w:val="nil"/>
              <w:right w:val="nil"/>
            </w:tcBorders>
            <w:shd w:val="clear" w:color="auto" w:fill="A3D759"/>
            <w:vAlign w:val="center"/>
            <w:hideMark/>
          </w:tcPr>
          <w:p w:rsidR="004F0305" w:rsidRDefault="004F0305">
            <w:pPr>
              <w:pStyle w:val="Other10"/>
              <w:ind w:right="220"/>
              <w:jc w:val="right"/>
              <w:rPr>
                <w:sz w:val="8"/>
                <w:szCs w:val="8"/>
              </w:rPr>
            </w:pPr>
            <w:r>
              <w:rPr>
                <w:b/>
                <w:bCs/>
                <w:color w:val="463E21"/>
                <w:sz w:val="8"/>
                <w:szCs w:val="8"/>
              </w:rPr>
              <w:t>V</w:t>
            </w:r>
          </w:p>
        </w:tc>
        <w:tc>
          <w:tcPr>
            <w:tcW w:w="514" w:type="dxa"/>
            <w:tcBorders>
              <w:top w:val="single" w:sz="4" w:space="0" w:color="auto"/>
              <w:left w:val="single" w:sz="4" w:space="0" w:color="auto"/>
              <w:bottom w:val="nil"/>
              <w:right w:val="nil"/>
            </w:tcBorders>
            <w:shd w:val="clear" w:color="auto" w:fill="9CD58A"/>
            <w:vAlign w:val="center"/>
            <w:hideMark/>
          </w:tcPr>
          <w:p w:rsidR="004F0305" w:rsidRDefault="004F0305">
            <w:pPr>
              <w:pStyle w:val="Other10"/>
              <w:ind w:right="200"/>
              <w:jc w:val="right"/>
              <w:rPr>
                <w:sz w:val="8"/>
                <w:szCs w:val="8"/>
              </w:rPr>
            </w:pPr>
            <w:r>
              <w:rPr>
                <w:b/>
                <w:bCs/>
                <w:color w:val="000000"/>
                <w:sz w:val="8"/>
                <w:szCs w:val="8"/>
              </w:rPr>
              <w:t>VI</w:t>
            </w:r>
          </w:p>
        </w:tc>
        <w:tc>
          <w:tcPr>
            <w:tcW w:w="523" w:type="dxa"/>
            <w:tcBorders>
              <w:top w:val="single" w:sz="4" w:space="0" w:color="auto"/>
              <w:left w:val="single" w:sz="4" w:space="0" w:color="auto"/>
              <w:bottom w:val="nil"/>
              <w:right w:val="nil"/>
            </w:tcBorders>
            <w:shd w:val="clear" w:color="auto" w:fill="76B5E9"/>
            <w:vAlign w:val="center"/>
            <w:hideMark/>
          </w:tcPr>
          <w:p w:rsidR="004F0305" w:rsidRDefault="004F0305">
            <w:pPr>
              <w:pStyle w:val="Other10"/>
              <w:ind w:firstLine="200"/>
              <w:rPr>
                <w:sz w:val="8"/>
                <w:szCs w:val="8"/>
              </w:rPr>
            </w:pPr>
            <w:r>
              <w:rPr>
                <w:b/>
                <w:bCs/>
                <w:color w:val="3D4F5B"/>
                <w:sz w:val="8"/>
                <w:szCs w:val="8"/>
              </w:rPr>
              <w:t>VII</w:t>
            </w:r>
          </w:p>
        </w:tc>
        <w:tc>
          <w:tcPr>
            <w:tcW w:w="538" w:type="dxa"/>
            <w:shd w:val="clear" w:color="auto" w:fill="297BC2"/>
          </w:tcPr>
          <w:p w:rsidR="004F0305" w:rsidRDefault="004F0305">
            <w:pPr>
              <w:rPr>
                <w:sz w:val="10"/>
                <w:szCs w:val="10"/>
              </w:rPr>
            </w:pPr>
          </w:p>
        </w:tc>
      </w:tr>
      <w:tr w:rsidR="004F0305" w:rsidTr="004F0305">
        <w:trPr>
          <w:trHeight w:hRule="exact" w:val="269"/>
          <w:jc w:val="center"/>
        </w:trPr>
        <w:tc>
          <w:tcPr>
            <w:tcW w:w="403" w:type="dxa"/>
            <w:vMerge/>
            <w:tcBorders>
              <w:top w:val="single" w:sz="4" w:space="0" w:color="auto"/>
              <w:left w:val="single" w:sz="4" w:space="0" w:color="auto"/>
              <w:bottom w:val="nil"/>
              <w:right w:val="nil"/>
            </w:tcBorders>
            <w:vAlign w:val="center"/>
            <w:hideMark/>
          </w:tcPr>
          <w:p w:rsidR="004F0305" w:rsidRDefault="004F0305">
            <w:pPr>
              <w:rPr>
                <w:sz w:val="10"/>
                <w:szCs w:val="10"/>
              </w:rPr>
            </w:pPr>
          </w:p>
        </w:tc>
        <w:tc>
          <w:tcPr>
            <w:tcW w:w="1224" w:type="dxa"/>
            <w:tcBorders>
              <w:top w:val="single" w:sz="4" w:space="0" w:color="auto"/>
              <w:left w:val="single" w:sz="4" w:space="0" w:color="auto"/>
              <w:bottom w:val="nil"/>
              <w:right w:val="nil"/>
            </w:tcBorders>
            <w:shd w:val="clear" w:color="auto" w:fill="FFFFFF"/>
            <w:vAlign w:val="bottom"/>
            <w:hideMark/>
          </w:tcPr>
          <w:p w:rsidR="004F0305" w:rsidRDefault="004F0305">
            <w:pPr>
              <w:pStyle w:val="Other10"/>
              <w:spacing w:line="288" w:lineRule="auto"/>
              <w:rPr>
                <w:sz w:val="8"/>
                <w:szCs w:val="8"/>
              </w:rPr>
            </w:pPr>
            <w:r>
              <w:rPr>
                <w:b/>
                <w:bCs/>
                <w:color w:val="000000"/>
                <w:sz w:val="8"/>
                <w:szCs w:val="8"/>
              </w:rPr>
              <w:t xml:space="preserve">Charakteristická hodnota zatíženi sněhem na zemi </w:t>
            </w:r>
            <w:r>
              <w:rPr>
                <w:b/>
                <w:bCs/>
                <w:color w:val="000000"/>
                <w:sz w:val="8"/>
                <w:szCs w:val="8"/>
                <w:lang w:val="en-US" w:bidi="en-US"/>
              </w:rPr>
              <w:t>(kPa)</w:t>
            </w:r>
          </w:p>
        </w:tc>
        <w:tc>
          <w:tcPr>
            <w:tcW w:w="466" w:type="dxa"/>
            <w:tcBorders>
              <w:top w:val="single" w:sz="4" w:space="0" w:color="auto"/>
              <w:left w:val="single" w:sz="4" w:space="0" w:color="auto"/>
              <w:bottom w:val="nil"/>
              <w:right w:val="nil"/>
            </w:tcBorders>
            <w:shd w:val="clear" w:color="auto" w:fill="FFFFFF"/>
          </w:tcPr>
          <w:p w:rsidR="004F0305" w:rsidRDefault="004F0305">
            <w:pPr>
              <w:rPr>
                <w:sz w:val="10"/>
                <w:szCs w:val="10"/>
              </w:rPr>
            </w:pPr>
          </w:p>
        </w:tc>
        <w:tc>
          <w:tcPr>
            <w:tcW w:w="518"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ind w:firstLine="360"/>
              <w:rPr>
                <w:sz w:val="8"/>
                <w:szCs w:val="8"/>
              </w:rPr>
            </w:pPr>
            <w:r>
              <w:rPr>
                <w:b/>
                <w:bCs/>
                <w:color w:val="000000"/>
                <w:sz w:val="8"/>
                <w:szCs w:val="8"/>
              </w:rPr>
              <w:t>0,7</w:t>
            </w:r>
          </w:p>
        </w:tc>
        <w:tc>
          <w:tcPr>
            <w:tcW w:w="518"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jc w:val="right"/>
              <w:rPr>
                <w:sz w:val="8"/>
                <w:szCs w:val="8"/>
              </w:rPr>
            </w:pPr>
            <w:r>
              <w:rPr>
                <w:b/>
                <w:bCs/>
                <w:color w:val="000000"/>
                <w:sz w:val="8"/>
                <w:szCs w:val="8"/>
              </w:rPr>
              <w:t>1</w:t>
            </w:r>
          </w:p>
        </w:tc>
        <w:tc>
          <w:tcPr>
            <w:tcW w:w="514"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jc w:val="right"/>
              <w:rPr>
                <w:sz w:val="8"/>
                <w:szCs w:val="8"/>
              </w:rPr>
            </w:pPr>
            <w:r>
              <w:rPr>
                <w:b/>
                <w:bCs/>
                <w:color w:val="000000"/>
                <w:sz w:val="8"/>
                <w:szCs w:val="8"/>
              </w:rPr>
              <w:t>1.5</w:t>
            </w:r>
          </w:p>
        </w:tc>
        <w:tc>
          <w:tcPr>
            <w:tcW w:w="518"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jc w:val="right"/>
              <w:rPr>
                <w:sz w:val="8"/>
                <w:szCs w:val="8"/>
              </w:rPr>
            </w:pPr>
            <w:r>
              <w:rPr>
                <w:b/>
                <w:bCs/>
                <w:color w:val="000000"/>
                <w:sz w:val="8"/>
                <w:szCs w:val="8"/>
              </w:rPr>
              <w:t>2</w:t>
            </w:r>
          </w:p>
        </w:tc>
        <w:tc>
          <w:tcPr>
            <w:tcW w:w="518"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jc w:val="right"/>
              <w:rPr>
                <w:sz w:val="8"/>
                <w:szCs w:val="8"/>
              </w:rPr>
            </w:pPr>
            <w:r>
              <w:rPr>
                <w:b/>
                <w:bCs/>
                <w:color w:val="000000"/>
                <w:sz w:val="8"/>
                <w:szCs w:val="8"/>
              </w:rPr>
              <w:t>2,5</w:t>
            </w:r>
          </w:p>
        </w:tc>
        <w:tc>
          <w:tcPr>
            <w:tcW w:w="514"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jc w:val="right"/>
              <w:rPr>
                <w:sz w:val="8"/>
                <w:szCs w:val="8"/>
              </w:rPr>
            </w:pPr>
            <w:r>
              <w:rPr>
                <w:b/>
                <w:bCs/>
                <w:color w:val="000000"/>
                <w:sz w:val="8"/>
                <w:szCs w:val="8"/>
              </w:rPr>
              <w:t>3</w:t>
            </w:r>
          </w:p>
        </w:tc>
        <w:tc>
          <w:tcPr>
            <w:tcW w:w="523"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jc w:val="right"/>
              <w:rPr>
                <w:sz w:val="8"/>
                <w:szCs w:val="8"/>
              </w:rPr>
            </w:pPr>
            <w:r>
              <w:rPr>
                <w:b/>
                <w:bCs/>
                <w:color w:val="000000"/>
                <w:sz w:val="8"/>
                <w:szCs w:val="8"/>
              </w:rPr>
              <w:t>4</w:t>
            </w:r>
          </w:p>
        </w:tc>
        <w:tc>
          <w:tcPr>
            <w:tcW w:w="538" w:type="dxa"/>
            <w:tcBorders>
              <w:top w:val="nil"/>
              <w:left w:val="single" w:sz="4" w:space="0" w:color="auto"/>
              <w:bottom w:val="nil"/>
              <w:right w:val="single" w:sz="4" w:space="0" w:color="auto"/>
            </w:tcBorders>
            <w:shd w:val="clear" w:color="auto" w:fill="FFFFFF"/>
            <w:vAlign w:val="bottom"/>
            <w:hideMark/>
          </w:tcPr>
          <w:p w:rsidR="004F0305" w:rsidRDefault="004F0305">
            <w:pPr>
              <w:pStyle w:val="Other10"/>
              <w:spacing w:line="300" w:lineRule="auto"/>
              <w:jc w:val="both"/>
              <w:rPr>
                <w:sz w:val="8"/>
                <w:szCs w:val="8"/>
              </w:rPr>
            </w:pPr>
            <w:r>
              <w:rPr>
                <w:b/>
                <w:bCs/>
                <w:color w:val="000000"/>
                <w:sz w:val="8"/>
                <w:szCs w:val="8"/>
              </w:rPr>
              <w:t>Individuální určení</w:t>
            </w:r>
          </w:p>
        </w:tc>
      </w:tr>
      <w:tr w:rsidR="004F0305" w:rsidTr="004F0305">
        <w:trPr>
          <w:trHeight w:hRule="exact" w:val="384"/>
          <w:jc w:val="center"/>
        </w:trPr>
        <w:tc>
          <w:tcPr>
            <w:tcW w:w="403" w:type="dxa"/>
            <w:vMerge/>
            <w:tcBorders>
              <w:top w:val="single" w:sz="4" w:space="0" w:color="auto"/>
              <w:left w:val="single" w:sz="4" w:space="0" w:color="auto"/>
              <w:bottom w:val="nil"/>
              <w:right w:val="nil"/>
            </w:tcBorders>
            <w:vAlign w:val="center"/>
            <w:hideMark/>
          </w:tcPr>
          <w:p w:rsidR="004F0305" w:rsidRDefault="004F0305">
            <w:pPr>
              <w:rPr>
                <w:sz w:val="10"/>
                <w:szCs w:val="10"/>
              </w:rPr>
            </w:pPr>
          </w:p>
        </w:tc>
        <w:tc>
          <w:tcPr>
            <w:tcW w:w="1224" w:type="dxa"/>
            <w:tcBorders>
              <w:top w:val="single" w:sz="4" w:space="0" w:color="auto"/>
              <w:left w:val="single" w:sz="4" w:space="0" w:color="auto"/>
              <w:bottom w:val="nil"/>
              <w:right w:val="nil"/>
            </w:tcBorders>
            <w:shd w:val="clear" w:color="auto" w:fill="FFFFFF"/>
            <w:vAlign w:val="bottom"/>
            <w:hideMark/>
          </w:tcPr>
          <w:p w:rsidR="004F0305" w:rsidRDefault="004F0305">
            <w:pPr>
              <w:pStyle w:val="Other10"/>
              <w:spacing w:line="280" w:lineRule="auto"/>
              <w:rPr>
                <w:sz w:val="8"/>
                <w:szCs w:val="8"/>
              </w:rPr>
            </w:pPr>
            <w:r>
              <w:rPr>
                <w:b/>
                <w:bCs/>
                <w:color w:val="000000"/>
                <w:sz w:val="8"/>
                <w:szCs w:val="8"/>
              </w:rPr>
              <w:t>hmotnost sněhu na střeše určená z charakteristické hodnoty (kg/m</w:t>
            </w:r>
            <w:r>
              <w:rPr>
                <w:b/>
                <w:bCs/>
                <w:color w:val="000000"/>
                <w:sz w:val="8"/>
                <w:szCs w:val="8"/>
                <w:vertAlign w:val="superscript"/>
              </w:rPr>
              <w:t>2</w:t>
            </w:r>
            <w:r>
              <w:rPr>
                <w:b/>
                <w:bCs/>
                <w:color w:val="000000"/>
                <w:sz w:val="8"/>
                <w:szCs w:val="8"/>
              </w:rPr>
              <w:t>)</w:t>
            </w:r>
          </w:p>
        </w:tc>
        <w:tc>
          <w:tcPr>
            <w:tcW w:w="466" w:type="dxa"/>
            <w:tcBorders>
              <w:top w:val="single" w:sz="4" w:space="0" w:color="auto"/>
              <w:left w:val="single" w:sz="4" w:space="0" w:color="auto"/>
              <w:bottom w:val="nil"/>
              <w:right w:val="nil"/>
            </w:tcBorders>
            <w:shd w:val="clear" w:color="auto" w:fill="FFFFFF"/>
          </w:tcPr>
          <w:p w:rsidR="004F0305" w:rsidRDefault="004F0305">
            <w:pPr>
              <w:rPr>
                <w:sz w:val="10"/>
                <w:szCs w:val="10"/>
              </w:rPr>
            </w:pPr>
          </w:p>
        </w:tc>
        <w:tc>
          <w:tcPr>
            <w:tcW w:w="518"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ind w:firstLine="380"/>
              <w:rPr>
                <w:sz w:val="8"/>
                <w:szCs w:val="8"/>
              </w:rPr>
            </w:pPr>
            <w:r>
              <w:rPr>
                <w:b/>
                <w:bCs/>
                <w:color w:val="000000"/>
                <w:sz w:val="8"/>
                <w:szCs w:val="8"/>
              </w:rPr>
              <w:t>56</w:t>
            </w:r>
          </w:p>
        </w:tc>
        <w:tc>
          <w:tcPr>
            <w:tcW w:w="518"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ind w:firstLine="380"/>
              <w:rPr>
                <w:sz w:val="8"/>
                <w:szCs w:val="8"/>
              </w:rPr>
            </w:pPr>
            <w:r>
              <w:rPr>
                <w:b/>
                <w:bCs/>
                <w:color w:val="000000"/>
                <w:sz w:val="8"/>
                <w:szCs w:val="8"/>
              </w:rPr>
              <w:t>80</w:t>
            </w:r>
          </w:p>
        </w:tc>
        <w:tc>
          <w:tcPr>
            <w:tcW w:w="514"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jc w:val="right"/>
              <w:rPr>
                <w:sz w:val="8"/>
                <w:szCs w:val="8"/>
              </w:rPr>
            </w:pPr>
            <w:r>
              <w:rPr>
                <w:b/>
                <w:bCs/>
                <w:color w:val="000000"/>
                <w:sz w:val="8"/>
                <w:szCs w:val="8"/>
              </w:rPr>
              <w:t>120</w:t>
            </w:r>
          </w:p>
        </w:tc>
        <w:tc>
          <w:tcPr>
            <w:tcW w:w="518"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jc w:val="right"/>
              <w:rPr>
                <w:sz w:val="8"/>
                <w:szCs w:val="8"/>
              </w:rPr>
            </w:pPr>
            <w:r>
              <w:rPr>
                <w:b/>
                <w:bCs/>
                <w:color w:val="000000"/>
                <w:sz w:val="8"/>
                <w:szCs w:val="8"/>
              </w:rPr>
              <w:t>160</w:t>
            </w:r>
          </w:p>
        </w:tc>
        <w:tc>
          <w:tcPr>
            <w:tcW w:w="518"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jc w:val="right"/>
              <w:rPr>
                <w:sz w:val="8"/>
                <w:szCs w:val="8"/>
              </w:rPr>
            </w:pPr>
            <w:r>
              <w:rPr>
                <w:b/>
                <w:bCs/>
                <w:color w:val="000000"/>
                <w:sz w:val="8"/>
                <w:szCs w:val="8"/>
              </w:rPr>
              <w:t>200</w:t>
            </w:r>
          </w:p>
        </w:tc>
        <w:tc>
          <w:tcPr>
            <w:tcW w:w="514"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jc w:val="right"/>
              <w:rPr>
                <w:sz w:val="8"/>
                <w:szCs w:val="8"/>
              </w:rPr>
            </w:pPr>
            <w:r>
              <w:rPr>
                <w:b/>
                <w:bCs/>
                <w:color w:val="000000"/>
                <w:sz w:val="8"/>
                <w:szCs w:val="8"/>
              </w:rPr>
              <w:t>240</w:t>
            </w:r>
          </w:p>
        </w:tc>
        <w:tc>
          <w:tcPr>
            <w:tcW w:w="523"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jc w:val="right"/>
              <w:rPr>
                <w:sz w:val="8"/>
                <w:szCs w:val="8"/>
              </w:rPr>
            </w:pPr>
            <w:r>
              <w:rPr>
                <w:b/>
                <w:bCs/>
                <w:color w:val="000000"/>
                <w:sz w:val="8"/>
                <w:szCs w:val="8"/>
              </w:rPr>
              <w:t>320</w:t>
            </w:r>
          </w:p>
        </w:tc>
        <w:tc>
          <w:tcPr>
            <w:tcW w:w="538" w:type="dxa"/>
            <w:tcBorders>
              <w:top w:val="single" w:sz="4" w:space="0" w:color="auto"/>
              <w:left w:val="single" w:sz="4" w:space="0" w:color="auto"/>
              <w:bottom w:val="nil"/>
              <w:right w:val="single" w:sz="4" w:space="0" w:color="auto"/>
            </w:tcBorders>
            <w:shd w:val="clear" w:color="auto" w:fill="FFFFFF"/>
            <w:vAlign w:val="center"/>
            <w:hideMark/>
          </w:tcPr>
          <w:p w:rsidR="004F0305" w:rsidRDefault="004F0305">
            <w:pPr>
              <w:pStyle w:val="Other10"/>
              <w:jc w:val="both"/>
              <w:rPr>
                <w:sz w:val="8"/>
                <w:szCs w:val="8"/>
              </w:rPr>
            </w:pPr>
            <w:r>
              <w:rPr>
                <w:b/>
                <w:bCs/>
                <w:color w:val="000000"/>
                <w:sz w:val="8"/>
                <w:szCs w:val="8"/>
              </w:rPr>
              <w:t>individuální</w:t>
            </w:r>
          </w:p>
        </w:tc>
      </w:tr>
      <w:tr w:rsidR="004F0305" w:rsidTr="004F0305">
        <w:trPr>
          <w:trHeight w:hRule="exact" w:val="144"/>
          <w:jc w:val="center"/>
        </w:trPr>
        <w:tc>
          <w:tcPr>
            <w:tcW w:w="403" w:type="dxa"/>
            <w:vMerge w:val="restart"/>
            <w:tcBorders>
              <w:top w:val="single" w:sz="4" w:space="0" w:color="auto"/>
              <w:left w:val="single" w:sz="4" w:space="0" w:color="auto"/>
              <w:bottom w:val="single" w:sz="4" w:space="0" w:color="auto"/>
              <w:right w:val="nil"/>
            </w:tcBorders>
            <w:shd w:val="clear" w:color="auto" w:fill="FFFFFF"/>
            <w:vAlign w:val="center"/>
            <w:hideMark/>
          </w:tcPr>
          <w:p w:rsidR="004F0305" w:rsidRDefault="004F0305">
            <w:pPr>
              <w:pStyle w:val="Other10"/>
              <w:spacing w:line="264" w:lineRule="auto"/>
              <w:jc w:val="center"/>
              <w:rPr>
                <w:sz w:val="8"/>
                <w:szCs w:val="8"/>
              </w:rPr>
            </w:pPr>
            <w:r>
              <w:rPr>
                <w:b/>
                <w:bCs/>
                <w:color w:val="000000"/>
                <w:sz w:val="8"/>
                <w:szCs w:val="8"/>
              </w:rPr>
              <w:t>Druh sněhu</w:t>
            </w:r>
          </w:p>
        </w:tc>
        <w:tc>
          <w:tcPr>
            <w:tcW w:w="1224" w:type="dxa"/>
            <w:tcBorders>
              <w:top w:val="single" w:sz="4" w:space="0" w:color="auto"/>
              <w:left w:val="single" w:sz="4" w:space="0" w:color="auto"/>
              <w:bottom w:val="nil"/>
              <w:right w:val="nil"/>
            </w:tcBorders>
            <w:shd w:val="clear" w:color="auto" w:fill="FFFFFF"/>
            <w:vAlign w:val="bottom"/>
            <w:hideMark/>
          </w:tcPr>
          <w:p w:rsidR="004F0305" w:rsidRDefault="004F0305">
            <w:pPr>
              <w:pStyle w:val="Other10"/>
              <w:jc w:val="center"/>
              <w:rPr>
                <w:sz w:val="8"/>
                <w:szCs w:val="8"/>
              </w:rPr>
            </w:pPr>
            <w:r>
              <w:rPr>
                <w:b/>
                <w:bCs/>
                <w:color w:val="000000"/>
                <w:sz w:val="8"/>
                <w:szCs w:val="8"/>
              </w:rPr>
              <w:t>Čerstvý</w:t>
            </w:r>
          </w:p>
        </w:tc>
        <w:tc>
          <w:tcPr>
            <w:tcW w:w="466" w:type="dxa"/>
            <w:tcBorders>
              <w:top w:val="single" w:sz="4" w:space="0" w:color="auto"/>
              <w:left w:val="single" w:sz="4" w:space="0" w:color="auto"/>
              <w:bottom w:val="nil"/>
              <w:right w:val="nil"/>
            </w:tcBorders>
            <w:shd w:val="clear" w:color="auto" w:fill="FFFFFF"/>
            <w:vAlign w:val="bottom"/>
            <w:hideMark/>
          </w:tcPr>
          <w:p w:rsidR="004F0305" w:rsidRDefault="004F0305">
            <w:pPr>
              <w:pStyle w:val="Other10"/>
              <w:jc w:val="center"/>
              <w:rPr>
                <w:sz w:val="8"/>
                <w:szCs w:val="8"/>
              </w:rPr>
            </w:pPr>
            <w:r>
              <w:rPr>
                <w:b/>
                <w:bCs/>
                <w:color w:val="000000"/>
                <w:sz w:val="8"/>
                <w:szCs w:val="8"/>
              </w:rPr>
              <w:t>100</w:t>
            </w:r>
          </w:p>
        </w:tc>
        <w:tc>
          <w:tcPr>
            <w:tcW w:w="518" w:type="dxa"/>
            <w:tcBorders>
              <w:top w:val="single" w:sz="4" w:space="0" w:color="auto"/>
              <w:left w:val="single" w:sz="4" w:space="0" w:color="auto"/>
              <w:bottom w:val="nil"/>
              <w:right w:val="nil"/>
            </w:tcBorders>
            <w:shd w:val="clear" w:color="auto" w:fill="FFFFFF"/>
            <w:vAlign w:val="bottom"/>
            <w:hideMark/>
          </w:tcPr>
          <w:p w:rsidR="004F0305" w:rsidRDefault="004F0305">
            <w:pPr>
              <w:pStyle w:val="Other10"/>
              <w:ind w:firstLine="140"/>
              <w:rPr>
                <w:sz w:val="8"/>
                <w:szCs w:val="8"/>
              </w:rPr>
            </w:pPr>
            <w:r>
              <w:rPr>
                <w:b/>
                <w:bCs/>
                <w:color w:val="000000"/>
                <w:sz w:val="8"/>
                <w:szCs w:val="8"/>
              </w:rPr>
              <w:t>56 cm</w:t>
            </w:r>
          </w:p>
        </w:tc>
        <w:tc>
          <w:tcPr>
            <w:tcW w:w="518" w:type="dxa"/>
            <w:tcBorders>
              <w:top w:val="single" w:sz="4" w:space="0" w:color="auto"/>
              <w:left w:val="single" w:sz="4" w:space="0" w:color="auto"/>
              <w:bottom w:val="nil"/>
              <w:right w:val="nil"/>
            </w:tcBorders>
            <w:shd w:val="clear" w:color="auto" w:fill="FFFFFF"/>
            <w:vAlign w:val="bottom"/>
            <w:hideMark/>
          </w:tcPr>
          <w:p w:rsidR="004F0305" w:rsidRDefault="004F0305">
            <w:pPr>
              <w:pStyle w:val="Other10"/>
              <w:ind w:firstLine="140"/>
              <w:rPr>
                <w:sz w:val="8"/>
                <w:szCs w:val="8"/>
              </w:rPr>
            </w:pPr>
            <w:r>
              <w:rPr>
                <w:b/>
                <w:bCs/>
                <w:color w:val="000000"/>
                <w:sz w:val="8"/>
                <w:szCs w:val="8"/>
              </w:rPr>
              <w:t>80 cm</w:t>
            </w:r>
          </w:p>
        </w:tc>
        <w:tc>
          <w:tcPr>
            <w:tcW w:w="514" w:type="dxa"/>
            <w:tcBorders>
              <w:top w:val="single" w:sz="4" w:space="0" w:color="auto"/>
              <w:left w:val="single" w:sz="4" w:space="0" w:color="auto"/>
              <w:bottom w:val="nil"/>
              <w:right w:val="nil"/>
            </w:tcBorders>
            <w:shd w:val="clear" w:color="auto" w:fill="FFFFFF"/>
            <w:vAlign w:val="bottom"/>
            <w:hideMark/>
          </w:tcPr>
          <w:p w:rsidR="004F0305" w:rsidRDefault="004F0305">
            <w:pPr>
              <w:pStyle w:val="Other10"/>
              <w:rPr>
                <w:sz w:val="8"/>
                <w:szCs w:val="8"/>
              </w:rPr>
            </w:pPr>
            <w:r>
              <w:rPr>
                <w:b/>
                <w:bCs/>
                <w:color w:val="000000"/>
                <w:sz w:val="8"/>
                <w:szCs w:val="8"/>
              </w:rPr>
              <w:t>120 cm</w:t>
            </w:r>
          </w:p>
        </w:tc>
        <w:tc>
          <w:tcPr>
            <w:tcW w:w="518" w:type="dxa"/>
            <w:tcBorders>
              <w:top w:val="single" w:sz="4" w:space="0" w:color="auto"/>
              <w:left w:val="single" w:sz="4" w:space="0" w:color="auto"/>
              <w:bottom w:val="nil"/>
              <w:right w:val="nil"/>
            </w:tcBorders>
            <w:shd w:val="clear" w:color="auto" w:fill="FFFFFF"/>
            <w:vAlign w:val="bottom"/>
            <w:hideMark/>
          </w:tcPr>
          <w:p w:rsidR="004F0305" w:rsidRDefault="004F0305">
            <w:pPr>
              <w:pStyle w:val="Other10"/>
              <w:rPr>
                <w:sz w:val="8"/>
                <w:szCs w:val="8"/>
              </w:rPr>
            </w:pPr>
            <w:r>
              <w:rPr>
                <w:b/>
                <w:bCs/>
                <w:color w:val="000000"/>
                <w:sz w:val="8"/>
                <w:szCs w:val="8"/>
              </w:rPr>
              <w:t>160 cm</w:t>
            </w:r>
          </w:p>
        </w:tc>
        <w:tc>
          <w:tcPr>
            <w:tcW w:w="518" w:type="dxa"/>
            <w:tcBorders>
              <w:top w:val="single" w:sz="4" w:space="0" w:color="auto"/>
              <w:left w:val="single" w:sz="4" w:space="0" w:color="auto"/>
              <w:bottom w:val="nil"/>
              <w:right w:val="nil"/>
            </w:tcBorders>
            <w:shd w:val="clear" w:color="auto" w:fill="FFFFFF"/>
            <w:vAlign w:val="bottom"/>
            <w:hideMark/>
          </w:tcPr>
          <w:p w:rsidR="004F0305" w:rsidRDefault="004F0305">
            <w:pPr>
              <w:pStyle w:val="Other10"/>
              <w:rPr>
                <w:sz w:val="8"/>
                <w:szCs w:val="8"/>
              </w:rPr>
            </w:pPr>
            <w:r>
              <w:rPr>
                <w:b/>
                <w:bCs/>
                <w:color w:val="000000"/>
                <w:sz w:val="8"/>
                <w:szCs w:val="8"/>
              </w:rPr>
              <w:t>200 cm</w:t>
            </w:r>
          </w:p>
        </w:tc>
        <w:tc>
          <w:tcPr>
            <w:tcW w:w="514" w:type="dxa"/>
            <w:tcBorders>
              <w:top w:val="single" w:sz="4" w:space="0" w:color="auto"/>
              <w:left w:val="single" w:sz="4" w:space="0" w:color="auto"/>
              <w:bottom w:val="nil"/>
              <w:right w:val="nil"/>
            </w:tcBorders>
            <w:shd w:val="clear" w:color="auto" w:fill="FFFFFF"/>
            <w:vAlign w:val="bottom"/>
            <w:hideMark/>
          </w:tcPr>
          <w:p w:rsidR="004F0305" w:rsidRDefault="004F0305">
            <w:pPr>
              <w:pStyle w:val="Other10"/>
              <w:jc w:val="both"/>
              <w:rPr>
                <w:sz w:val="8"/>
                <w:szCs w:val="8"/>
              </w:rPr>
            </w:pPr>
            <w:r>
              <w:rPr>
                <w:b/>
                <w:bCs/>
                <w:color w:val="000000"/>
                <w:sz w:val="8"/>
                <w:szCs w:val="8"/>
              </w:rPr>
              <w:t>240 cm</w:t>
            </w:r>
          </w:p>
        </w:tc>
        <w:tc>
          <w:tcPr>
            <w:tcW w:w="523" w:type="dxa"/>
            <w:tcBorders>
              <w:top w:val="single" w:sz="4" w:space="0" w:color="auto"/>
              <w:left w:val="single" w:sz="4" w:space="0" w:color="auto"/>
              <w:bottom w:val="nil"/>
              <w:right w:val="nil"/>
            </w:tcBorders>
            <w:shd w:val="clear" w:color="auto" w:fill="FFFFFF"/>
            <w:vAlign w:val="bottom"/>
            <w:hideMark/>
          </w:tcPr>
          <w:p w:rsidR="004F0305" w:rsidRDefault="004F0305">
            <w:pPr>
              <w:pStyle w:val="Other10"/>
              <w:rPr>
                <w:sz w:val="8"/>
                <w:szCs w:val="8"/>
              </w:rPr>
            </w:pPr>
            <w:r>
              <w:rPr>
                <w:b/>
                <w:bCs/>
                <w:color w:val="000000"/>
                <w:sz w:val="8"/>
                <w:szCs w:val="8"/>
              </w:rPr>
              <w:t>320 cm</w:t>
            </w:r>
          </w:p>
        </w:tc>
        <w:tc>
          <w:tcPr>
            <w:tcW w:w="538" w:type="dxa"/>
            <w:tcBorders>
              <w:top w:val="single" w:sz="4" w:space="0" w:color="auto"/>
              <w:left w:val="single" w:sz="4" w:space="0" w:color="auto"/>
              <w:bottom w:val="nil"/>
              <w:right w:val="single" w:sz="4" w:space="0" w:color="auto"/>
            </w:tcBorders>
            <w:shd w:val="clear" w:color="auto" w:fill="FFFFFF"/>
          </w:tcPr>
          <w:p w:rsidR="004F0305" w:rsidRDefault="004F0305">
            <w:pPr>
              <w:rPr>
                <w:sz w:val="10"/>
                <w:szCs w:val="10"/>
              </w:rPr>
            </w:pPr>
          </w:p>
        </w:tc>
      </w:tr>
      <w:tr w:rsidR="004F0305" w:rsidTr="004F0305">
        <w:trPr>
          <w:trHeight w:hRule="exact" w:val="264"/>
          <w:jc w:val="center"/>
        </w:trPr>
        <w:tc>
          <w:tcPr>
            <w:tcW w:w="403" w:type="dxa"/>
            <w:vMerge/>
            <w:tcBorders>
              <w:top w:val="single" w:sz="4" w:space="0" w:color="auto"/>
              <w:left w:val="single" w:sz="4" w:space="0" w:color="auto"/>
              <w:bottom w:val="single" w:sz="4" w:space="0" w:color="auto"/>
              <w:right w:val="nil"/>
            </w:tcBorders>
            <w:vAlign w:val="center"/>
            <w:hideMark/>
          </w:tcPr>
          <w:p w:rsidR="004F0305" w:rsidRDefault="004F0305">
            <w:pPr>
              <w:rPr>
                <w:rFonts w:ascii="Arial" w:eastAsia="Arial" w:hAnsi="Arial" w:cs="Arial"/>
                <w:color w:val="auto"/>
                <w:sz w:val="8"/>
                <w:szCs w:val="8"/>
              </w:rPr>
            </w:pPr>
          </w:p>
        </w:tc>
        <w:tc>
          <w:tcPr>
            <w:tcW w:w="1224" w:type="dxa"/>
            <w:tcBorders>
              <w:top w:val="single" w:sz="4" w:space="0" w:color="auto"/>
              <w:left w:val="single" w:sz="4" w:space="0" w:color="auto"/>
              <w:bottom w:val="nil"/>
              <w:right w:val="nil"/>
            </w:tcBorders>
            <w:shd w:val="clear" w:color="auto" w:fill="FFFFFF"/>
            <w:vAlign w:val="bottom"/>
            <w:hideMark/>
          </w:tcPr>
          <w:p w:rsidR="004F0305" w:rsidRDefault="004F0305">
            <w:pPr>
              <w:pStyle w:val="Other10"/>
              <w:spacing w:line="288" w:lineRule="auto"/>
              <w:jc w:val="center"/>
              <w:rPr>
                <w:sz w:val="8"/>
                <w:szCs w:val="8"/>
              </w:rPr>
            </w:pPr>
            <w:proofErr w:type="spellStart"/>
            <w:r>
              <w:rPr>
                <w:b/>
                <w:bCs/>
                <w:color w:val="000000"/>
                <w:sz w:val="8"/>
                <w:szCs w:val="8"/>
              </w:rPr>
              <w:t>Ulehlý</w:t>
            </w:r>
            <w:proofErr w:type="spellEnd"/>
            <w:r>
              <w:rPr>
                <w:b/>
                <w:bCs/>
                <w:color w:val="000000"/>
                <w:sz w:val="8"/>
                <w:szCs w:val="8"/>
              </w:rPr>
              <w:t xml:space="preserve"> (několik hodin nebo dnů po napadnutí)</w:t>
            </w:r>
          </w:p>
        </w:tc>
        <w:tc>
          <w:tcPr>
            <w:tcW w:w="466"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jc w:val="center"/>
              <w:rPr>
                <w:sz w:val="8"/>
                <w:szCs w:val="8"/>
              </w:rPr>
            </w:pPr>
            <w:r>
              <w:rPr>
                <w:b/>
                <w:bCs/>
                <w:color w:val="000000"/>
                <w:sz w:val="8"/>
                <w:szCs w:val="8"/>
              </w:rPr>
              <w:t>200</w:t>
            </w:r>
          </w:p>
        </w:tc>
        <w:tc>
          <w:tcPr>
            <w:tcW w:w="518"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ind w:firstLine="140"/>
              <w:rPr>
                <w:sz w:val="8"/>
                <w:szCs w:val="8"/>
              </w:rPr>
            </w:pPr>
            <w:r>
              <w:rPr>
                <w:b/>
                <w:bCs/>
                <w:color w:val="000000"/>
                <w:sz w:val="8"/>
                <w:szCs w:val="8"/>
              </w:rPr>
              <w:t>28 cm</w:t>
            </w:r>
          </w:p>
        </w:tc>
        <w:tc>
          <w:tcPr>
            <w:tcW w:w="518"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ind w:firstLine="140"/>
              <w:rPr>
                <w:sz w:val="8"/>
                <w:szCs w:val="8"/>
              </w:rPr>
            </w:pPr>
            <w:r>
              <w:rPr>
                <w:b/>
                <w:bCs/>
                <w:color w:val="000000"/>
                <w:sz w:val="8"/>
                <w:szCs w:val="8"/>
              </w:rPr>
              <w:t>40 cm</w:t>
            </w:r>
          </w:p>
        </w:tc>
        <w:tc>
          <w:tcPr>
            <w:tcW w:w="514"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rPr>
                <w:sz w:val="8"/>
                <w:szCs w:val="8"/>
              </w:rPr>
            </w:pPr>
            <w:r>
              <w:rPr>
                <w:b/>
                <w:bCs/>
                <w:color w:val="000000"/>
                <w:sz w:val="8"/>
                <w:szCs w:val="8"/>
              </w:rPr>
              <w:t>60 cm</w:t>
            </w:r>
          </w:p>
        </w:tc>
        <w:tc>
          <w:tcPr>
            <w:tcW w:w="518"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rPr>
                <w:sz w:val="8"/>
                <w:szCs w:val="8"/>
              </w:rPr>
            </w:pPr>
            <w:r>
              <w:rPr>
                <w:b/>
                <w:bCs/>
                <w:color w:val="000000"/>
                <w:sz w:val="8"/>
                <w:szCs w:val="8"/>
              </w:rPr>
              <w:t>80 cm</w:t>
            </w:r>
          </w:p>
        </w:tc>
        <w:tc>
          <w:tcPr>
            <w:tcW w:w="518"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rPr>
                <w:sz w:val="8"/>
                <w:szCs w:val="8"/>
              </w:rPr>
            </w:pPr>
            <w:r>
              <w:rPr>
                <w:b/>
                <w:bCs/>
                <w:color w:val="000000"/>
                <w:sz w:val="8"/>
                <w:szCs w:val="8"/>
              </w:rPr>
              <w:t>100 cm</w:t>
            </w:r>
          </w:p>
        </w:tc>
        <w:tc>
          <w:tcPr>
            <w:tcW w:w="514"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jc w:val="both"/>
              <w:rPr>
                <w:sz w:val="8"/>
                <w:szCs w:val="8"/>
              </w:rPr>
            </w:pPr>
            <w:r>
              <w:rPr>
                <w:b/>
                <w:bCs/>
                <w:color w:val="000000"/>
                <w:sz w:val="8"/>
                <w:szCs w:val="8"/>
              </w:rPr>
              <w:t>120 cm</w:t>
            </w:r>
          </w:p>
        </w:tc>
        <w:tc>
          <w:tcPr>
            <w:tcW w:w="523"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rPr>
                <w:sz w:val="8"/>
                <w:szCs w:val="8"/>
              </w:rPr>
            </w:pPr>
            <w:r>
              <w:rPr>
                <w:b/>
                <w:bCs/>
                <w:color w:val="000000"/>
                <w:sz w:val="8"/>
                <w:szCs w:val="8"/>
              </w:rPr>
              <w:t>160 cm</w:t>
            </w:r>
          </w:p>
        </w:tc>
        <w:tc>
          <w:tcPr>
            <w:tcW w:w="538" w:type="dxa"/>
            <w:tcBorders>
              <w:top w:val="single" w:sz="4" w:space="0" w:color="auto"/>
              <w:left w:val="single" w:sz="4" w:space="0" w:color="auto"/>
              <w:bottom w:val="nil"/>
              <w:right w:val="single" w:sz="4" w:space="0" w:color="auto"/>
            </w:tcBorders>
            <w:shd w:val="clear" w:color="auto" w:fill="FFFFFF"/>
          </w:tcPr>
          <w:p w:rsidR="004F0305" w:rsidRDefault="004F0305">
            <w:pPr>
              <w:rPr>
                <w:sz w:val="10"/>
                <w:szCs w:val="10"/>
              </w:rPr>
            </w:pPr>
          </w:p>
        </w:tc>
      </w:tr>
      <w:tr w:rsidR="004F0305" w:rsidTr="004F0305">
        <w:trPr>
          <w:trHeight w:hRule="exact" w:val="264"/>
          <w:jc w:val="center"/>
        </w:trPr>
        <w:tc>
          <w:tcPr>
            <w:tcW w:w="403" w:type="dxa"/>
            <w:vMerge/>
            <w:tcBorders>
              <w:top w:val="single" w:sz="4" w:space="0" w:color="auto"/>
              <w:left w:val="single" w:sz="4" w:space="0" w:color="auto"/>
              <w:bottom w:val="single" w:sz="4" w:space="0" w:color="auto"/>
              <w:right w:val="nil"/>
            </w:tcBorders>
            <w:vAlign w:val="center"/>
            <w:hideMark/>
          </w:tcPr>
          <w:p w:rsidR="004F0305" w:rsidRDefault="004F0305">
            <w:pPr>
              <w:rPr>
                <w:rFonts w:ascii="Arial" w:eastAsia="Arial" w:hAnsi="Arial" w:cs="Arial"/>
                <w:color w:val="auto"/>
                <w:sz w:val="8"/>
                <w:szCs w:val="8"/>
              </w:rPr>
            </w:pPr>
          </w:p>
        </w:tc>
        <w:tc>
          <w:tcPr>
            <w:tcW w:w="1224" w:type="dxa"/>
            <w:tcBorders>
              <w:top w:val="single" w:sz="4" w:space="0" w:color="auto"/>
              <w:left w:val="single" w:sz="4" w:space="0" w:color="auto"/>
              <w:bottom w:val="nil"/>
              <w:right w:val="nil"/>
            </w:tcBorders>
            <w:shd w:val="clear" w:color="auto" w:fill="FFFFFF"/>
            <w:vAlign w:val="bottom"/>
            <w:hideMark/>
          </w:tcPr>
          <w:p w:rsidR="004F0305" w:rsidRDefault="004F0305">
            <w:pPr>
              <w:pStyle w:val="Other10"/>
              <w:spacing w:line="276" w:lineRule="auto"/>
              <w:jc w:val="center"/>
              <w:rPr>
                <w:sz w:val="8"/>
                <w:szCs w:val="8"/>
              </w:rPr>
            </w:pPr>
            <w:r>
              <w:rPr>
                <w:b/>
                <w:bCs/>
                <w:color w:val="000000"/>
                <w:sz w:val="8"/>
                <w:szCs w:val="8"/>
              </w:rPr>
              <w:t>Starý (několik týdnů nebo měsíců po napadnuti)</w:t>
            </w:r>
          </w:p>
        </w:tc>
        <w:tc>
          <w:tcPr>
            <w:tcW w:w="466"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jc w:val="center"/>
              <w:rPr>
                <w:sz w:val="8"/>
                <w:szCs w:val="8"/>
              </w:rPr>
            </w:pPr>
            <w:r>
              <w:rPr>
                <w:b/>
                <w:bCs/>
                <w:color w:val="000000"/>
                <w:sz w:val="8"/>
                <w:szCs w:val="8"/>
              </w:rPr>
              <w:t>300</w:t>
            </w:r>
          </w:p>
        </w:tc>
        <w:tc>
          <w:tcPr>
            <w:tcW w:w="518"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ind w:firstLine="140"/>
              <w:rPr>
                <w:sz w:val="8"/>
                <w:szCs w:val="8"/>
              </w:rPr>
            </w:pPr>
            <w:r>
              <w:rPr>
                <w:b/>
                <w:bCs/>
                <w:color w:val="000000"/>
                <w:sz w:val="8"/>
                <w:szCs w:val="8"/>
              </w:rPr>
              <w:t>19 cm</w:t>
            </w:r>
          </w:p>
        </w:tc>
        <w:tc>
          <w:tcPr>
            <w:tcW w:w="518"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ind w:firstLine="140"/>
              <w:rPr>
                <w:sz w:val="8"/>
                <w:szCs w:val="8"/>
              </w:rPr>
            </w:pPr>
            <w:r>
              <w:rPr>
                <w:b/>
                <w:bCs/>
                <w:color w:val="000000"/>
                <w:sz w:val="8"/>
                <w:szCs w:val="8"/>
              </w:rPr>
              <w:t>27 cm</w:t>
            </w:r>
          </w:p>
        </w:tc>
        <w:tc>
          <w:tcPr>
            <w:tcW w:w="514"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rPr>
                <w:sz w:val="8"/>
                <w:szCs w:val="8"/>
              </w:rPr>
            </w:pPr>
            <w:r>
              <w:rPr>
                <w:b/>
                <w:bCs/>
                <w:color w:val="000000"/>
                <w:sz w:val="8"/>
                <w:szCs w:val="8"/>
              </w:rPr>
              <w:t>40 cm</w:t>
            </w:r>
          </w:p>
        </w:tc>
        <w:tc>
          <w:tcPr>
            <w:tcW w:w="518"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rPr>
                <w:sz w:val="8"/>
                <w:szCs w:val="8"/>
              </w:rPr>
            </w:pPr>
            <w:r>
              <w:rPr>
                <w:b/>
                <w:bCs/>
                <w:color w:val="000000"/>
                <w:sz w:val="8"/>
                <w:szCs w:val="8"/>
              </w:rPr>
              <w:t>53 cm</w:t>
            </w:r>
          </w:p>
        </w:tc>
        <w:tc>
          <w:tcPr>
            <w:tcW w:w="518"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rPr>
                <w:sz w:val="8"/>
                <w:szCs w:val="8"/>
              </w:rPr>
            </w:pPr>
            <w:r>
              <w:rPr>
                <w:b/>
                <w:bCs/>
                <w:color w:val="000000"/>
                <w:sz w:val="8"/>
                <w:szCs w:val="8"/>
              </w:rPr>
              <w:t>67 cm</w:t>
            </w:r>
          </w:p>
        </w:tc>
        <w:tc>
          <w:tcPr>
            <w:tcW w:w="514"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jc w:val="both"/>
              <w:rPr>
                <w:sz w:val="8"/>
                <w:szCs w:val="8"/>
              </w:rPr>
            </w:pPr>
            <w:r>
              <w:rPr>
                <w:b/>
                <w:bCs/>
                <w:color w:val="000000"/>
                <w:sz w:val="8"/>
                <w:szCs w:val="8"/>
              </w:rPr>
              <w:t>80 cm</w:t>
            </w:r>
          </w:p>
        </w:tc>
        <w:tc>
          <w:tcPr>
            <w:tcW w:w="523" w:type="dxa"/>
            <w:tcBorders>
              <w:top w:val="single" w:sz="4" w:space="0" w:color="auto"/>
              <w:left w:val="single" w:sz="4" w:space="0" w:color="auto"/>
              <w:bottom w:val="nil"/>
              <w:right w:val="nil"/>
            </w:tcBorders>
            <w:shd w:val="clear" w:color="auto" w:fill="FFFFFF"/>
            <w:vAlign w:val="center"/>
            <w:hideMark/>
          </w:tcPr>
          <w:p w:rsidR="004F0305" w:rsidRDefault="004F0305">
            <w:pPr>
              <w:pStyle w:val="Other10"/>
              <w:rPr>
                <w:sz w:val="8"/>
                <w:szCs w:val="8"/>
              </w:rPr>
            </w:pPr>
            <w:r>
              <w:rPr>
                <w:b/>
                <w:bCs/>
                <w:color w:val="000000"/>
                <w:sz w:val="8"/>
                <w:szCs w:val="8"/>
              </w:rPr>
              <w:t>107 cm</w:t>
            </w:r>
          </w:p>
        </w:tc>
        <w:tc>
          <w:tcPr>
            <w:tcW w:w="538" w:type="dxa"/>
            <w:tcBorders>
              <w:top w:val="single" w:sz="4" w:space="0" w:color="auto"/>
              <w:left w:val="single" w:sz="4" w:space="0" w:color="auto"/>
              <w:bottom w:val="nil"/>
              <w:right w:val="single" w:sz="4" w:space="0" w:color="auto"/>
            </w:tcBorders>
            <w:shd w:val="clear" w:color="auto" w:fill="FFFFFF"/>
          </w:tcPr>
          <w:p w:rsidR="004F0305" w:rsidRDefault="004F0305">
            <w:pPr>
              <w:rPr>
                <w:sz w:val="10"/>
                <w:szCs w:val="10"/>
              </w:rPr>
            </w:pPr>
          </w:p>
        </w:tc>
      </w:tr>
      <w:tr w:rsidR="004F0305" w:rsidTr="004F0305">
        <w:trPr>
          <w:trHeight w:hRule="exact" w:val="149"/>
          <w:jc w:val="center"/>
        </w:trPr>
        <w:tc>
          <w:tcPr>
            <w:tcW w:w="403" w:type="dxa"/>
            <w:vMerge/>
            <w:tcBorders>
              <w:top w:val="single" w:sz="4" w:space="0" w:color="auto"/>
              <w:left w:val="single" w:sz="4" w:space="0" w:color="auto"/>
              <w:bottom w:val="single" w:sz="4" w:space="0" w:color="auto"/>
              <w:right w:val="nil"/>
            </w:tcBorders>
            <w:vAlign w:val="center"/>
            <w:hideMark/>
          </w:tcPr>
          <w:p w:rsidR="004F0305" w:rsidRDefault="004F0305">
            <w:pPr>
              <w:rPr>
                <w:rFonts w:ascii="Arial" w:eastAsia="Arial" w:hAnsi="Arial" w:cs="Arial"/>
                <w:color w:val="auto"/>
                <w:sz w:val="8"/>
                <w:szCs w:val="8"/>
              </w:rPr>
            </w:pPr>
          </w:p>
        </w:tc>
        <w:tc>
          <w:tcPr>
            <w:tcW w:w="1224" w:type="dxa"/>
            <w:tcBorders>
              <w:top w:val="single" w:sz="4" w:space="0" w:color="auto"/>
              <w:left w:val="single" w:sz="4" w:space="0" w:color="auto"/>
              <w:bottom w:val="single" w:sz="4" w:space="0" w:color="auto"/>
              <w:right w:val="nil"/>
            </w:tcBorders>
            <w:shd w:val="clear" w:color="auto" w:fill="FFFFFF"/>
            <w:hideMark/>
          </w:tcPr>
          <w:p w:rsidR="004F0305" w:rsidRDefault="004F0305">
            <w:pPr>
              <w:pStyle w:val="Other10"/>
              <w:jc w:val="center"/>
              <w:rPr>
                <w:sz w:val="8"/>
                <w:szCs w:val="8"/>
              </w:rPr>
            </w:pPr>
            <w:r>
              <w:rPr>
                <w:b/>
                <w:bCs/>
                <w:color w:val="000000"/>
                <w:sz w:val="8"/>
                <w:szCs w:val="8"/>
              </w:rPr>
              <w:t>Mokrý</w:t>
            </w:r>
          </w:p>
        </w:tc>
        <w:tc>
          <w:tcPr>
            <w:tcW w:w="466" w:type="dxa"/>
            <w:tcBorders>
              <w:top w:val="single" w:sz="4" w:space="0" w:color="auto"/>
              <w:left w:val="single" w:sz="4" w:space="0" w:color="auto"/>
              <w:bottom w:val="single" w:sz="4" w:space="0" w:color="auto"/>
              <w:right w:val="nil"/>
            </w:tcBorders>
            <w:shd w:val="clear" w:color="auto" w:fill="FFFFFF"/>
            <w:hideMark/>
          </w:tcPr>
          <w:p w:rsidR="004F0305" w:rsidRDefault="004F0305">
            <w:pPr>
              <w:pStyle w:val="Other10"/>
              <w:jc w:val="center"/>
              <w:rPr>
                <w:sz w:val="8"/>
                <w:szCs w:val="8"/>
              </w:rPr>
            </w:pPr>
            <w:r>
              <w:rPr>
                <w:b/>
                <w:bCs/>
                <w:color w:val="000000"/>
                <w:sz w:val="8"/>
                <w:szCs w:val="8"/>
              </w:rPr>
              <w:t>400</w:t>
            </w:r>
          </w:p>
        </w:tc>
        <w:tc>
          <w:tcPr>
            <w:tcW w:w="518" w:type="dxa"/>
            <w:tcBorders>
              <w:top w:val="single" w:sz="4" w:space="0" w:color="auto"/>
              <w:left w:val="single" w:sz="4" w:space="0" w:color="auto"/>
              <w:bottom w:val="single" w:sz="4" w:space="0" w:color="auto"/>
              <w:right w:val="nil"/>
            </w:tcBorders>
            <w:shd w:val="clear" w:color="auto" w:fill="FFFFFF"/>
            <w:hideMark/>
          </w:tcPr>
          <w:p w:rsidR="004F0305" w:rsidRDefault="004F0305">
            <w:pPr>
              <w:pStyle w:val="Other10"/>
              <w:ind w:firstLine="140"/>
              <w:rPr>
                <w:sz w:val="8"/>
                <w:szCs w:val="8"/>
              </w:rPr>
            </w:pPr>
            <w:r>
              <w:rPr>
                <w:b/>
                <w:bCs/>
                <w:color w:val="000000"/>
                <w:sz w:val="8"/>
                <w:szCs w:val="8"/>
              </w:rPr>
              <w:t>14 cm</w:t>
            </w:r>
          </w:p>
        </w:tc>
        <w:tc>
          <w:tcPr>
            <w:tcW w:w="518" w:type="dxa"/>
            <w:tcBorders>
              <w:top w:val="single" w:sz="4" w:space="0" w:color="auto"/>
              <w:left w:val="single" w:sz="4" w:space="0" w:color="auto"/>
              <w:bottom w:val="single" w:sz="4" w:space="0" w:color="auto"/>
              <w:right w:val="nil"/>
            </w:tcBorders>
            <w:shd w:val="clear" w:color="auto" w:fill="FFFFFF"/>
            <w:hideMark/>
          </w:tcPr>
          <w:p w:rsidR="004F0305" w:rsidRDefault="004F0305">
            <w:pPr>
              <w:pStyle w:val="Other10"/>
              <w:ind w:firstLine="140"/>
              <w:rPr>
                <w:sz w:val="8"/>
                <w:szCs w:val="8"/>
              </w:rPr>
            </w:pPr>
            <w:r>
              <w:rPr>
                <w:b/>
                <w:bCs/>
                <w:color w:val="000000"/>
                <w:sz w:val="8"/>
                <w:szCs w:val="8"/>
              </w:rPr>
              <w:t>20 cm</w:t>
            </w:r>
          </w:p>
        </w:tc>
        <w:tc>
          <w:tcPr>
            <w:tcW w:w="514" w:type="dxa"/>
            <w:tcBorders>
              <w:top w:val="single" w:sz="4" w:space="0" w:color="auto"/>
              <w:left w:val="single" w:sz="4" w:space="0" w:color="auto"/>
              <w:bottom w:val="single" w:sz="4" w:space="0" w:color="auto"/>
              <w:right w:val="nil"/>
            </w:tcBorders>
            <w:shd w:val="clear" w:color="auto" w:fill="FFFFFF"/>
            <w:hideMark/>
          </w:tcPr>
          <w:p w:rsidR="004F0305" w:rsidRDefault="004F0305">
            <w:pPr>
              <w:pStyle w:val="Other10"/>
              <w:rPr>
                <w:sz w:val="8"/>
                <w:szCs w:val="8"/>
              </w:rPr>
            </w:pPr>
            <w:r>
              <w:rPr>
                <w:b/>
                <w:bCs/>
                <w:color w:val="000000"/>
                <w:sz w:val="8"/>
                <w:szCs w:val="8"/>
              </w:rPr>
              <w:t>30 cm</w:t>
            </w:r>
          </w:p>
        </w:tc>
        <w:tc>
          <w:tcPr>
            <w:tcW w:w="518" w:type="dxa"/>
            <w:tcBorders>
              <w:top w:val="single" w:sz="4" w:space="0" w:color="auto"/>
              <w:left w:val="single" w:sz="4" w:space="0" w:color="auto"/>
              <w:bottom w:val="single" w:sz="4" w:space="0" w:color="auto"/>
              <w:right w:val="nil"/>
            </w:tcBorders>
            <w:shd w:val="clear" w:color="auto" w:fill="FFFFFF"/>
            <w:hideMark/>
          </w:tcPr>
          <w:p w:rsidR="004F0305" w:rsidRDefault="004F0305">
            <w:pPr>
              <w:pStyle w:val="Other10"/>
              <w:rPr>
                <w:sz w:val="8"/>
                <w:szCs w:val="8"/>
              </w:rPr>
            </w:pPr>
            <w:r>
              <w:rPr>
                <w:b/>
                <w:bCs/>
                <w:color w:val="000000"/>
                <w:sz w:val="8"/>
                <w:szCs w:val="8"/>
              </w:rPr>
              <w:t>40 cm</w:t>
            </w:r>
          </w:p>
        </w:tc>
        <w:tc>
          <w:tcPr>
            <w:tcW w:w="518" w:type="dxa"/>
            <w:tcBorders>
              <w:top w:val="single" w:sz="4" w:space="0" w:color="auto"/>
              <w:left w:val="single" w:sz="4" w:space="0" w:color="auto"/>
              <w:bottom w:val="single" w:sz="4" w:space="0" w:color="auto"/>
              <w:right w:val="nil"/>
            </w:tcBorders>
            <w:shd w:val="clear" w:color="auto" w:fill="FFFFFF"/>
            <w:hideMark/>
          </w:tcPr>
          <w:p w:rsidR="004F0305" w:rsidRDefault="004F0305">
            <w:pPr>
              <w:pStyle w:val="Other10"/>
              <w:rPr>
                <w:sz w:val="8"/>
                <w:szCs w:val="8"/>
              </w:rPr>
            </w:pPr>
            <w:r>
              <w:rPr>
                <w:b/>
                <w:bCs/>
                <w:color w:val="000000"/>
                <w:sz w:val="8"/>
                <w:szCs w:val="8"/>
              </w:rPr>
              <w:t>50 cm</w:t>
            </w:r>
          </w:p>
        </w:tc>
        <w:tc>
          <w:tcPr>
            <w:tcW w:w="514" w:type="dxa"/>
            <w:tcBorders>
              <w:top w:val="single" w:sz="4" w:space="0" w:color="auto"/>
              <w:left w:val="single" w:sz="4" w:space="0" w:color="auto"/>
              <w:bottom w:val="single" w:sz="4" w:space="0" w:color="auto"/>
              <w:right w:val="nil"/>
            </w:tcBorders>
            <w:shd w:val="clear" w:color="auto" w:fill="FFFFFF"/>
            <w:hideMark/>
          </w:tcPr>
          <w:p w:rsidR="004F0305" w:rsidRDefault="004F0305">
            <w:pPr>
              <w:pStyle w:val="Other10"/>
              <w:jc w:val="both"/>
              <w:rPr>
                <w:sz w:val="8"/>
                <w:szCs w:val="8"/>
              </w:rPr>
            </w:pPr>
            <w:r>
              <w:rPr>
                <w:b/>
                <w:bCs/>
                <w:color w:val="000000"/>
                <w:sz w:val="8"/>
                <w:szCs w:val="8"/>
              </w:rPr>
              <w:t>60 cm</w:t>
            </w:r>
          </w:p>
        </w:tc>
        <w:tc>
          <w:tcPr>
            <w:tcW w:w="523" w:type="dxa"/>
            <w:tcBorders>
              <w:top w:val="single" w:sz="4" w:space="0" w:color="auto"/>
              <w:left w:val="single" w:sz="4" w:space="0" w:color="auto"/>
              <w:bottom w:val="single" w:sz="4" w:space="0" w:color="auto"/>
              <w:right w:val="nil"/>
            </w:tcBorders>
            <w:shd w:val="clear" w:color="auto" w:fill="FFFFFF"/>
            <w:hideMark/>
          </w:tcPr>
          <w:p w:rsidR="004F0305" w:rsidRDefault="004F0305">
            <w:pPr>
              <w:pStyle w:val="Other10"/>
              <w:rPr>
                <w:sz w:val="8"/>
                <w:szCs w:val="8"/>
              </w:rPr>
            </w:pPr>
            <w:r>
              <w:rPr>
                <w:b/>
                <w:bCs/>
                <w:color w:val="000000"/>
                <w:sz w:val="8"/>
                <w:szCs w:val="8"/>
              </w:rPr>
              <w:t>80 cm</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4F0305" w:rsidRDefault="004F0305">
            <w:pPr>
              <w:rPr>
                <w:sz w:val="10"/>
                <w:szCs w:val="10"/>
              </w:rPr>
            </w:pPr>
          </w:p>
        </w:tc>
      </w:tr>
    </w:tbl>
    <w:p w:rsidR="004F0305" w:rsidRDefault="004F0305" w:rsidP="004F0305">
      <w:pPr>
        <w:spacing w:after="219" w:line="1" w:lineRule="exact"/>
      </w:pPr>
    </w:p>
    <w:p w:rsidR="004F0305" w:rsidRDefault="004F0305" w:rsidP="004F0305">
      <w:pPr>
        <w:pStyle w:val="Bodytext10"/>
        <w:numPr>
          <w:ilvl w:val="1"/>
          <w:numId w:val="6"/>
        </w:numPr>
        <w:tabs>
          <w:tab w:val="left" w:pos="322"/>
        </w:tabs>
        <w:spacing w:after="0" w:line="324" w:lineRule="auto"/>
        <w:jc w:val="left"/>
      </w:pPr>
      <w:r>
        <w:rPr>
          <w:color w:val="000000"/>
        </w:rPr>
        <w:t>Kalená skla v přístřešcích</w:t>
      </w:r>
    </w:p>
    <w:p w:rsidR="004F0305" w:rsidRDefault="004F0305" w:rsidP="004F0305">
      <w:pPr>
        <w:pStyle w:val="Bodytext10"/>
        <w:spacing w:after="160"/>
      </w:pPr>
      <w:r>
        <w:rPr>
          <w:color w:val="000000"/>
        </w:rPr>
        <w:t xml:space="preserve">Zákazník bere na vědomí, že standardně dodávaná kalená skla nejsou testovaná (certifikována) na samovolné prasknutí. Jako opci nabízíme možnost certifikace dle testu HST </w:t>
      </w:r>
      <w:r>
        <w:rPr>
          <w:color w:val="000000"/>
          <w:lang w:val="en-US" w:bidi="en-US"/>
        </w:rPr>
        <w:t xml:space="preserve">(Heat Soak </w:t>
      </w:r>
      <w:r>
        <w:rPr>
          <w:color w:val="000000"/>
        </w:rPr>
        <w:t xml:space="preserve">Test) dle normy ČSN EN 14179. Test mimo jiné simuluje podmínky, které způsobují samovolné prasknutí skla. Cena skla s touto certifikací je několikanásobně vyšší, zašleme ji na poptávku. Bez této certifikace nemůžeme skla v případě samovolného prasknutí reklamovat výrobci, proto ani my neneseme za takové prasknutí žádnou odpovědnost, neboť se nejedná o vadu výrobku ale deklarovanou vlastnost. Dle výrobců skel se jedná o cca 0,1 % z vyrobených skel, kdy nastane samovolné prasknutí. Jsou lokace či umístění (například zábradlí, </w:t>
      </w:r>
      <w:proofErr w:type="spellStart"/>
      <w:r>
        <w:rPr>
          <w:color w:val="000000"/>
        </w:rPr>
        <w:t>pochozí</w:t>
      </w:r>
      <w:proofErr w:type="spellEnd"/>
      <w:r>
        <w:rPr>
          <w:color w:val="000000"/>
        </w:rPr>
        <w:t xml:space="preserve"> desky, výškové budovy atp.), kde to z hlediska zvýšených nároků na bezpečnost </w:t>
      </w:r>
      <w:r>
        <w:rPr>
          <w:b w:val="0"/>
          <w:bCs w:val="0"/>
          <w:color w:val="000000"/>
        </w:rPr>
        <w:t xml:space="preserve">je nezbytně nutné. </w:t>
      </w:r>
      <w:r>
        <w:rPr>
          <w:color w:val="000000"/>
        </w:rPr>
        <w:t>To je na posouzení zákazníka, projektanta, investora, nikoliv naší společnosti. Při jakékoliv deformaci skleněné výplně je nezbytně nutné neprodleně zajistit její výměnu.</w:t>
      </w:r>
    </w:p>
    <w:p w:rsidR="004F0305" w:rsidRDefault="004F0305" w:rsidP="004F0305">
      <w:pPr>
        <w:pStyle w:val="Bodytext10"/>
      </w:pPr>
      <w:r>
        <w:rPr>
          <w:color w:val="000000"/>
        </w:rPr>
        <w:t>Skla jsou z bezpečnostních důvodů na místo přepravována na speciálních dřevěných nebo ocelových stojanech, které jsou v našem majetku a nejsou součástí ceny výrobku! V případě, že dojde vlivem okolností k časovému posunu montáže daného výrobku (zpravidla se jedná o přístřešky), které povedou k uskladnění skel včetně těchto stojanů, bude Vám naše společnost účtovat vratnou částku 10 000 Kč/1 stojan.</w:t>
      </w:r>
    </w:p>
    <w:p w:rsidR="004F0305" w:rsidRDefault="004F0305" w:rsidP="004F0305">
      <w:pPr>
        <w:pStyle w:val="Bodytext10"/>
        <w:numPr>
          <w:ilvl w:val="1"/>
          <w:numId w:val="6"/>
        </w:numPr>
        <w:tabs>
          <w:tab w:val="left" w:pos="327"/>
        </w:tabs>
        <w:spacing w:after="0" w:line="324" w:lineRule="auto"/>
        <w:jc w:val="left"/>
      </w:pPr>
      <w:r>
        <w:rPr>
          <w:color w:val="000000"/>
        </w:rPr>
        <w:t xml:space="preserve">Některé výrobky bez </w:t>
      </w:r>
      <w:proofErr w:type="spellStart"/>
      <w:r>
        <w:rPr>
          <w:color w:val="000000"/>
        </w:rPr>
        <w:t>komaxitu</w:t>
      </w:r>
      <w:proofErr w:type="spellEnd"/>
    </w:p>
    <w:p w:rsidR="004F0305" w:rsidRDefault="004F0305" w:rsidP="004F0305">
      <w:pPr>
        <w:pStyle w:val="Bodytext10"/>
      </w:pPr>
      <w:r>
        <w:rPr>
          <w:color w:val="000000"/>
        </w:rPr>
        <w:t xml:space="preserve">Zákazník bere na vědomí, že některé výrobky jsou standardně dodávány bez </w:t>
      </w:r>
      <w:proofErr w:type="spellStart"/>
      <w:r>
        <w:rPr>
          <w:color w:val="000000"/>
        </w:rPr>
        <w:t>komaxitu</w:t>
      </w:r>
      <w:proofErr w:type="spellEnd"/>
      <w:r>
        <w:rPr>
          <w:color w:val="000000"/>
        </w:rPr>
        <w:t xml:space="preserve"> (lavičky </w:t>
      </w:r>
      <w:proofErr w:type="spellStart"/>
      <w:r>
        <w:rPr>
          <w:color w:val="000000"/>
        </w:rPr>
        <w:t>Miela</w:t>
      </w:r>
      <w:proofErr w:type="spellEnd"/>
      <w:r>
        <w:rPr>
          <w:color w:val="000000"/>
        </w:rPr>
        <w:t xml:space="preserve">, </w:t>
      </w:r>
      <w:proofErr w:type="spellStart"/>
      <w:r>
        <w:rPr>
          <w:color w:val="000000"/>
        </w:rPr>
        <w:t>Portiqoa</w:t>
      </w:r>
      <w:proofErr w:type="spellEnd"/>
      <w:r>
        <w:rPr>
          <w:color w:val="000000"/>
        </w:rPr>
        <w:t xml:space="preserve">, </w:t>
      </w:r>
      <w:proofErr w:type="spellStart"/>
      <w:r>
        <w:rPr>
          <w:color w:val="000000"/>
        </w:rPr>
        <w:t>Vltau</w:t>
      </w:r>
      <w:proofErr w:type="spellEnd"/>
      <w:r>
        <w:rPr>
          <w:color w:val="000000"/>
        </w:rPr>
        <w:t xml:space="preserve"> Lite; zahrazovací sloupek </w:t>
      </w:r>
      <w:proofErr w:type="spellStart"/>
      <w:r>
        <w:rPr>
          <w:color w:val="000000"/>
        </w:rPr>
        <w:t>Mielon</w:t>
      </w:r>
      <w:proofErr w:type="spellEnd"/>
      <w:r>
        <w:rPr>
          <w:color w:val="000000"/>
        </w:rPr>
        <w:t xml:space="preserve"> aj.) zůstávají v pohledové hliníkové slitině, není-li v nabídce uvedeno jinak (</w:t>
      </w:r>
      <w:proofErr w:type="spellStart"/>
      <w:r>
        <w:rPr>
          <w:color w:val="000000"/>
        </w:rPr>
        <w:t>komaxit</w:t>
      </w:r>
      <w:proofErr w:type="spellEnd"/>
      <w:r>
        <w:rPr>
          <w:color w:val="000000"/>
        </w:rPr>
        <w:t xml:space="preserve"> možný za příplatek). Mříže ke stromům jsou dodávány v provedení žárový zinek, není-li v nabídce uvedeno jinak (</w:t>
      </w:r>
      <w:proofErr w:type="spellStart"/>
      <w:r>
        <w:rPr>
          <w:color w:val="000000"/>
        </w:rPr>
        <w:t>komaxit</w:t>
      </w:r>
      <w:proofErr w:type="spellEnd"/>
      <w:r>
        <w:rPr>
          <w:color w:val="000000"/>
        </w:rPr>
        <w:t xml:space="preserve"> možný za příplatek, bez záruky proti mechanickému oděru).</w:t>
      </w:r>
    </w:p>
    <w:p w:rsidR="004F0305" w:rsidRDefault="004F0305" w:rsidP="004F0305">
      <w:pPr>
        <w:pStyle w:val="Bodytext10"/>
        <w:numPr>
          <w:ilvl w:val="1"/>
          <w:numId w:val="6"/>
        </w:numPr>
        <w:tabs>
          <w:tab w:val="left" w:pos="327"/>
        </w:tabs>
        <w:spacing w:after="0" w:line="324" w:lineRule="auto"/>
        <w:jc w:val="left"/>
      </w:pPr>
      <w:r>
        <w:rPr>
          <w:color w:val="000000"/>
        </w:rPr>
        <w:t>Funkce zahrazovacího sloupku</w:t>
      </w:r>
    </w:p>
    <w:p w:rsidR="004F0305" w:rsidRDefault="004F0305" w:rsidP="004F0305">
      <w:pPr>
        <w:pStyle w:val="Bodytext10"/>
      </w:pPr>
      <w:r>
        <w:rPr>
          <w:color w:val="000000"/>
        </w:rPr>
        <w:t>Zákazník bere na vědomí, že zahrazovací sloupek není certifikován jako svodidlo nebo zádržný systém pro pozemní komunikace. Za rozhodnutí o umístění sloupků je plně zodpovědný zákazník, který musí vzít v potaz všechny okolnosti místa realizace. Za umístění sloupků v rozporu s platnou legislativou nenese naše společnost žádnou zodpovědnost.</w:t>
      </w:r>
    </w:p>
    <w:p w:rsidR="004F0305" w:rsidRDefault="004F0305" w:rsidP="004F0305">
      <w:pPr>
        <w:pStyle w:val="Bodytext10"/>
        <w:numPr>
          <w:ilvl w:val="1"/>
          <w:numId w:val="6"/>
        </w:numPr>
        <w:tabs>
          <w:tab w:val="left" w:pos="327"/>
        </w:tabs>
        <w:spacing w:after="0" w:line="324" w:lineRule="auto"/>
        <w:jc w:val="left"/>
      </w:pPr>
      <w:r>
        <w:rPr>
          <w:color w:val="000000"/>
        </w:rPr>
        <w:t>Spodní stavba</w:t>
      </w:r>
    </w:p>
    <w:p w:rsidR="004F0305" w:rsidRDefault="004F0305" w:rsidP="004F0305">
      <w:pPr>
        <w:pStyle w:val="Bodytext10"/>
      </w:pPr>
      <w:r>
        <w:rPr>
          <w:color w:val="000000"/>
        </w:rPr>
        <w:t xml:space="preserve">Cena spodní stavby platí pro rostlý terén nebo </w:t>
      </w:r>
      <w:proofErr w:type="spellStart"/>
      <w:r>
        <w:rPr>
          <w:color w:val="000000"/>
        </w:rPr>
        <w:t>maloformátovou</w:t>
      </w:r>
      <w:proofErr w:type="spellEnd"/>
      <w:r>
        <w:rPr>
          <w:color w:val="000000"/>
        </w:rPr>
        <w:t xml:space="preserve"> betonovou dlažbu do rozměru 250 x 250 mm bez přítomnosti cizích těles v podloží a pro relativní rovinu (maximální podélné sklony pro přístřešky jsou dány výkresem výrobce) a zahrnuje: </w:t>
      </w:r>
      <w:proofErr w:type="spellStart"/>
      <w:r>
        <w:rPr>
          <w:color w:val="000000"/>
        </w:rPr>
        <w:t>rozdláždění</w:t>
      </w:r>
      <w:proofErr w:type="spellEnd"/>
      <w:r>
        <w:rPr>
          <w:color w:val="000000"/>
        </w:rPr>
        <w:t xml:space="preserve"> v místě patek, výkop, odvoz výkopku (zeminy), betonáž a zpětné zadláždění v místě patek.</w:t>
      </w:r>
    </w:p>
    <w:p w:rsidR="004F0305" w:rsidRDefault="004F0305" w:rsidP="004F0305">
      <w:pPr>
        <w:pStyle w:val="Bodytext10"/>
        <w:spacing w:after="160"/>
      </w:pPr>
      <w:r>
        <w:rPr>
          <w:color w:val="000000"/>
        </w:rPr>
        <w:t>Pro ostatní povrchy je cena sestavena individuálně na vyžádání (např. žula, mozaika, lité povrchy aj.).</w:t>
      </w:r>
    </w:p>
    <w:p w:rsidR="004F0305" w:rsidRDefault="004F0305" w:rsidP="004F0305">
      <w:pPr>
        <w:pStyle w:val="Bodytext10"/>
        <w:numPr>
          <w:ilvl w:val="0"/>
          <w:numId w:val="6"/>
        </w:numPr>
        <w:tabs>
          <w:tab w:val="left" w:pos="231"/>
        </w:tabs>
        <w:spacing w:after="0" w:line="324" w:lineRule="auto"/>
        <w:jc w:val="left"/>
      </w:pPr>
      <w:r>
        <w:rPr>
          <w:b w:val="0"/>
          <w:bCs w:val="0"/>
          <w:color w:val="000000"/>
          <w:u w:val="single"/>
        </w:rPr>
        <w:t>Balení výrobků</w:t>
      </w:r>
    </w:p>
    <w:p w:rsidR="004F0305" w:rsidRDefault="004F0305" w:rsidP="004F0305">
      <w:pPr>
        <w:pStyle w:val="Bodytext10"/>
        <w:numPr>
          <w:ilvl w:val="1"/>
          <w:numId w:val="6"/>
        </w:numPr>
        <w:tabs>
          <w:tab w:val="left" w:pos="322"/>
        </w:tabs>
        <w:spacing w:after="0" w:line="324" w:lineRule="auto"/>
        <w:jc w:val="left"/>
      </w:pPr>
      <w:r>
        <w:rPr>
          <w:color w:val="000000"/>
        </w:rPr>
        <w:t>Balení našich výrobků jsou prováděna jako ochranná pouze pro účely transportu.</w:t>
      </w:r>
    </w:p>
    <w:p w:rsidR="004F0305" w:rsidRDefault="004F0305" w:rsidP="004F0305">
      <w:pPr>
        <w:pStyle w:val="Bodytext10"/>
        <w:numPr>
          <w:ilvl w:val="1"/>
          <w:numId w:val="6"/>
        </w:numPr>
        <w:tabs>
          <w:tab w:val="left" w:pos="322"/>
        </w:tabs>
        <w:spacing w:after="160" w:line="324" w:lineRule="auto"/>
        <w:jc w:val="left"/>
      </w:pPr>
      <w:r>
        <w:rPr>
          <w:color w:val="000000"/>
        </w:rPr>
        <w:t>I pro jen dočasné skladování před montáží je nutno výrobek vždy vybalit. Tím se zabrání kondenzaci vzdušné vlhkosti pod obalem a poškození povrchu výrobků.</w:t>
      </w:r>
    </w:p>
    <w:p w:rsidR="004F0305" w:rsidRDefault="004F0305" w:rsidP="004F0305">
      <w:pPr>
        <w:pStyle w:val="Bodytext10"/>
        <w:numPr>
          <w:ilvl w:val="1"/>
          <w:numId w:val="6"/>
        </w:numPr>
        <w:tabs>
          <w:tab w:val="left" w:pos="322"/>
        </w:tabs>
        <w:spacing w:after="0" w:line="324" w:lineRule="auto"/>
        <w:jc w:val="left"/>
      </w:pPr>
      <w:r>
        <w:rPr>
          <w:color w:val="000000"/>
        </w:rPr>
        <w:t>Výrobky musí být hned nainstalovány nebo skladovány v suchém větraném skladu nebo na volném prostranství přikryté plachtou tak, aby byly chráněny proti prachu a současně byla zajištěna možnost dostatečného provětrávání. Před další expedicí výrobků, které jsou uskladněny dle předchozích pokynů, je nezbytné výrobky vizuálně zkontrolovat, vhodným způsobem zabalit dle původního provedení obalu tak, aby byl výrobek chráněn proti mechanickému povětrnostnímu poškození. Na obal musí být opět umístěny potřebné instrukční symboly.</w:t>
      </w:r>
    </w:p>
    <w:p w:rsidR="004F0305" w:rsidRDefault="004F0305" w:rsidP="004F0305">
      <w:pPr>
        <w:pStyle w:val="Bodytext10"/>
        <w:numPr>
          <w:ilvl w:val="1"/>
          <w:numId w:val="6"/>
        </w:numPr>
        <w:tabs>
          <w:tab w:val="left" w:pos="322"/>
        </w:tabs>
        <w:spacing w:after="160" w:line="324" w:lineRule="auto"/>
        <w:jc w:val="left"/>
      </w:pPr>
      <w:r>
        <w:rPr>
          <w:color w:val="000000"/>
        </w:rPr>
        <w:t>Nedodržení výše uvedených podmínek může vést ke znehodnocení výrobku, za které neodpovídáme.</w:t>
      </w:r>
    </w:p>
    <w:p w:rsidR="004F0305" w:rsidRDefault="004F0305" w:rsidP="004F0305">
      <w:pPr>
        <w:pStyle w:val="Bodytext10"/>
        <w:numPr>
          <w:ilvl w:val="0"/>
          <w:numId w:val="6"/>
        </w:numPr>
        <w:tabs>
          <w:tab w:val="left" w:pos="289"/>
        </w:tabs>
        <w:spacing w:after="0" w:line="316" w:lineRule="auto"/>
        <w:jc w:val="left"/>
      </w:pPr>
      <w:r>
        <w:rPr>
          <w:b w:val="0"/>
          <w:bCs w:val="0"/>
          <w:color w:val="000000"/>
          <w:u w:val="single"/>
        </w:rPr>
        <w:t>Další informace</w:t>
      </w:r>
    </w:p>
    <w:p w:rsidR="004F0305" w:rsidRDefault="004F0305" w:rsidP="004F0305">
      <w:pPr>
        <w:pStyle w:val="Bodytext10"/>
        <w:numPr>
          <w:ilvl w:val="1"/>
          <w:numId w:val="6"/>
        </w:numPr>
        <w:tabs>
          <w:tab w:val="left" w:pos="380"/>
        </w:tabs>
        <w:spacing w:after="0" w:line="316" w:lineRule="auto"/>
        <w:jc w:val="left"/>
      </w:pPr>
      <w:r>
        <w:rPr>
          <w:color w:val="000000"/>
        </w:rPr>
        <w:t>Vezměte prosím na vědomí, že design našich výrobků je chráněn průmyslovými vzory, a tedy není možné jej kopírovat nebo napodobovat. Takové jednání povede k okamžitému ukončení spolupráce a k podniknutí veškerých nezbytných právních kroků.</w:t>
      </w:r>
    </w:p>
    <w:p w:rsidR="004F0305" w:rsidRDefault="004F0305" w:rsidP="004F0305">
      <w:pPr>
        <w:pStyle w:val="Bodytext10"/>
        <w:numPr>
          <w:ilvl w:val="1"/>
          <w:numId w:val="6"/>
        </w:numPr>
        <w:tabs>
          <w:tab w:val="left" w:pos="390"/>
        </w:tabs>
        <w:spacing w:after="160" w:line="316" w:lineRule="auto"/>
        <w:jc w:val="left"/>
      </w:pPr>
      <w:r>
        <w:rPr>
          <w:color w:val="000000"/>
        </w:rPr>
        <w:t>Nedílnou součástí těchto obchodních podmínek jsou Návody, tedy dokument „Materiály a Péče" a Vzorník, tedy dokument „Materiály a barvy". Zákazník prohlašuje, že se s těmito dokumenty seznámil. Návody a Vzorník jsou závazné stejně jako tyto obchodní podmínky.</w:t>
      </w:r>
    </w:p>
    <w:p w:rsidR="004F0305" w:rsidRDefault="004F0305" w:rsidP="004F0305">
      <w:pPr>
        <w:pStyle w:val="Bodytext10"/>
        <w:spacing w:after="160"/>
      </w:pPr>
      <w:r>
        <w:rPr>
          <w:color w:val="000000"/>
        </w:rPr>
        <w:t>V Uherském Hradišti 17.06.2024</w:t>
      </w:r>
    </w:p>
    <w:p w:rsidR="004F0305" w:rsidRPr="004F0305" w:rsidRDefault="004F0305" w:rsidP="004F0305">
      <w:pPr>
        <w:tabs>
          <w:tab w:val="left" w:pos="1875"/>
        </w:tabs>
        <w:rPr>
          <w:lang w:eastAsia="en-US" w:bidi="ar-SA"/>
        </w:rPr>
      </w:pPr>
    </w:p>
    <w:p w:rsidR="004F0305" w:rsidRPr="004F0305" w:rsidRDefault="004F0305" w:rsidP="004F0305">
      <w:pPr>
        <w:rPr>
          <w:lang w:eastAsia="en-US" w:bidi="ar-SA"/>
        </w:rPr>
      </w:pPr>
    </w:p>
    <w:p w:rsidR="004F0305" w:rsidRPr="004F0305" w:rsidRDefault="004F0305" w:rsidP="004F0305">
      <w:pPr>
        <w:rPr>
          <w:lang w:eastAsia="en-US" w:bidi="ar-SA"/>
        </w:rPr>
      </w:pPr>
    </w:p>
    <w:p w:rsidR="004F0305" w:rsidRPr="004F0305" w:rsidRDefault="004F0305" w:rsidP="004F0305">
      <w:pPr>
        <w:rPr>
          <w:lang w:eastAsia="en-US" w:bidi="ar-SA"/>
        </w:rPr>
      </w:pPr>
    </w:p>
    <w:sectPr w:rsidR="004F0305" w:rsidRPr="004F0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110C9"/>
    <w:multiLevelType w:val="multilevel"/>
    <w:tmpl w:val="448AF78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1"/>
        <w:szCs w:val="11"/>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83807A1"/>
    <w:multiLevelType w:val="multilevel"/>
    <w:tmpl w:val="AF26DB46"/>
    <w:lvl w:ilvl="0">
      <w:start w:val="1"/>
      <w:numFmt w:val="lowerLetter"/>
      <w:lvlText w:val="%1)"/>
      <w:lvlJc w:val="left"/>
      <w:pPr>
        <w:ind w:left="0" w:firstLine="0"/>
      </w:pPr>
      <w:rPr>
        <w:rFonts w:ascii="Arial" w:eastAsia="Arial" w:hAnsi="Arial" w:cs="Arial"/>
        <w:b/>
        <w:bCs/>
        <w:i w:val="0"/>
        <w:iCs w:val="0"/>
        <w:smallCaps w:val="0"/>
        <w:strike w:val="0"/>
        <w:dstrike w:val="0"/>
        <w:color w:val="000000"/>
        <w:spacing w:val="0"/>
        <w:w w:val="100"/>
        <w:position w:val="0"/>
        <w:sz w:val="11"/>
        <w:szCs w:val="11"/>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7CA6419"/>
    <w:multiLevelType w:val="multilevel"/>
    <w:tmpl w:val="DC9497D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1"/>
        <w:szCs w:val="11"/>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9D93C4B"/>
    <w:multiLevelType w:val="multilevel"/>
    <w:tmpl w:val="8B2A5E5C"/>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11"/>
        <w:szCs w:val="11"/>
        <w:u w:val="none"/>
        <w:effect w:val="none"/>
        <w:lang w:val="cs-CZ" w:eastAsia="cs-CZ" w:bidi="cs-CZ"/>
      </w:r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11"/>
        <w:szCs w:val="11"/>
        <w:u w:val="none"/>
        <w:effect w:val="none"/>
        <w:lang w:val="cs-CZ" w:eastAsia="cs-CZ" w:bidi="cs-CZ"/>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A460790"/>
    <w:multiLevelType w:val="multilevel"/>
    <w:tmpl w:val="AC6C43D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1"/>
        <w:szCs w:val="11"/>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E430885"/>
    <w:multiLevelType w:val="multilevel"/>
    <w:tmpl w:val="01E62286"/>
    <w:lvl w:ilvl="0">
      <w:start w:val="6"/>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11"/>
        <w:szCs w:val="11"/>
        <w:u w:val="none"/>
        <w:effect w:val="none"/>
        <w:lang w:val="cs-CZ" w:eastAsia="cs-CZ" w:bidi="cs-CZ"/>
      </w:r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11"/>
        <w:szCs w:val="11"/>
        <w:u w:val="none"/>
        <w:effect w:val="none"/>
        <w:lang w:val="cs-CZ" w:eastAsia="cs-CZ" w:bidi="cs-CZ"/>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C651C50"/>
    <w:multiLevelType w:val="multilevel"/>
    <w:tmpl w:val="DCCE4FB2"/>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1"/>
        <w:szCs w:val="11"/>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05"/>
    <w:rsid w:val="004F0305"/>
    <w:rsid w:val="00994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1ED4"/>
  <w15:chartTrackingRefBased/>
  <w15:docId w15:val="{FD572737-C2D4-40B8-AECA-F8ECD4E1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F0305"/>
    <w:pPr>
      <w:widowControl w:val="0"/>
      <w:spacing w:after="0" w:line="240" w:lineRule="auto"/>
    </w:pPr>
    <w:rPr>
      <w:rFonts w:ascii="Times New Roman" w:eastAsia="Times New Roman" w:hAnsi="Times New Roman" w:cs="Times New Roman"/>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locked/>
    <w:rsid w:val="004F0305"/>
    <w:rPr>
      <w:rFonts w:ascii="Arial" w:eastAsia="Arial" w:hAnsi="Arial" w:cs="Arial"/>
      <w:b/>
      <w:bCs/>
      <w:sz w:val="18"/>
      <w:szCs w:val="18"/>
    </w:rPr>
  </w:style>
  <w:style w:type="paragraph" w:customStyle="1" w:styleId="Bodytext20">
    <w:name w:val="Body text|2"/>
    <w:basedOn w:val="Normln"/>
    <w:link w:val="Bodytext2"/>
    <w:rsid w:val="004F0305"/>
    <w:rPr>
      <w:rFonts w:ascii="Arial" w:eastAsia="Arial" w:hAnsi="Arial" w:cs="Arial"/>
      <w:b/>
      <w:bCs/>
      <w:color w:val="auto"/>
      <w:sz w:val="18"/>
      <w:szCs w:val="18"/>
      <w:lang w:eastAsia="en-US" w:bidi="ar-SA"/>
    </w:rPr>
  </w:style>
  <w:style w:type="character" w:customStyle="1" w:styleId="Bodytext1">
    <w:name w:val="Body text|1_"/>
    <w:basedOn w:val="Standardnpsmoodstavce"/>
    <w:link w:val="Bodytext10"/>
    <w:locked/>
    <w:rsid w:val="004F0305"/>
    <w:rPr>
      <w:rFonts w:ascii="Arial" w:eastAsia="Arial" w:hAnsi="Arial" w:cs="Arial"/>
      <w:b/>
      <w:bCs/>
      <w:sz w:val="11"/>
      <w:szCs w:val="11"/>
    </w:rPr>
  </w:style>
  <w:style w:type="paragraph" w:customStyle="1" w:styleId="Bodytext10">
    <w:name w:val="Body text|1"/>
    <w:basedOn w:val="Normln"/>
    <w:link w:val="Bodytext1"/>
    <w:rsid w:val="004F0305"/>
    <w:pPr>
      <w:spacing w:after="40"/>
      <w:jc w:val="right"/>
    </w:pPr>
    <w:rPr>
      <w:rFonts w:ascii="Arial" w:eastAsia="Arial" w:hAnsi="Arial" w:cs="Arial"/>
      <w:b/>
      <w:bCs/>
      <w:color w:val="auto"/>
      <w:sz w:val="11"/>
      <w:szCs w:val="11"/>
      <w:lang w:eastAsia="en-US" w:bidi="ar-SA"/>
    </w:rPr>
  </w:style>
  <w:style w:type="character" w:customStyle="1" w:styleId="Bodytext3">
    <w:name w:val="Body text|3_"/>
    <w:basedOn w:val="Standardnpsmoodstavce"/>
    <w:link w:val="Bodytext30"/>
    <w:locked/>
    <w:rsid w:val="004F0305"/>
    <w:rPr>
      <w:rFonts w:ascii="Arial" w:eastAsia="Arial" w:hAnsi="Arial" w:cs="Arial"/>
      <w:sz w:val="36"/>
      <w:szCs w:val="36"/>
    </w:rPr>
  </w:style>
  <w:style w:type="paragraph" w:customStyle="1" w:styleId="Bodytext30">
    <w:name w:val="Body text|3"/>
    <w:basedOn w:val="Normln"/>
    <w:link w:val="Bodytext3"/>
    <w:rsid w:val="004F0305"/>
    <w:pPr>
      <w:spacing w:after="720"/>
      <w:ind w:left="1320"/>
    </w:pPr>
    <w:rPr>
      <w:rFonts w:ascii="Arial" w:eastAsia="Arial" w:hAnsi="Arial" w:cs="Arial"/>
      <w:color w:val="auto"/>
      <w:sz w:val="36"/>
      <w:szCs w:val="36"/>
      <w:lang w:eastAsia="en-US" w:bidi="ar-SA"/>
    </w:rPr>
  </w:style>
  <w:style w:type="character" w:customStyle="1" w:styleId="Other1">
    <w:name w:val="Other|1_"/>
    <w:basedOn w:val="Standardnpsmoodstavce"/>
    <w:link w:val="Other10"/>
    <w:locked/>
    <w:rsid w:val="004F0305"/>
    <w:rPr>
      <w:rFonts w:ascii="Arial" w:eastAsia="Arial" w:hAnsi="Arial" w:cs="Arial"/>
      <w:sz w:val="11"/>
      <w:szCs w:val="11"/>
    </w:rPr>
  </w:style>
  <w:style w:type="paragraph" w:customStyle="1" w:styleId="Other10">
    <w:name w:val="Other|1"/>
    <w:basedOn w:val="Normln"/>
    <w:link w:val="Other1"/>
    <w:rsid w:val="004F0305"/>
    <w:rPr>
      <w:rFonts w:ascii="Arial" w:eastAsia="Arial" w:hAnsi="Arial" w:cs="Arial"/>
      <w:color w:val="auto"/>
      <w:sz w:val="11"/>
      <w:szCs w:val="11"/>
      <w:lang w:eastAsia="en-US" w:bidi="ar-SA"/>
    </w:rPr>
  </w:style>
  <w:style w:type="character" w:customStyle="1" w:styleId="Picturecaption1">
    <w:name w:val="Picture caption|1_"/>
    <w:basedOn w:val="Standardnpsmoodstavce"/>
    <w:link w:val="Picturecaption10"/>
    <w:locked/>
    <w:rsid w:val="004F0305"/>
    <w:rPr>
      <w:rFonts w:ascii="Arial" w:eastAsia="Arial" w:hAnsi="Arial" w:cs="Arial"/>
      <w:i/>
      <w:iCs/>
      <w:sz w:val="11"/>
      <w:szCs w:val="11"/>
    </w:rPr>
  </w:style>
  <w:style w:type="paragraph" w:customStyle="1" w:styleId="Picturecaption10">
    <w:name w:val="Picture caption|1"/>
    <w:basedOn w:val="Normln"/>
    <w:link w:val="Picturecaption1"/>
    <w:rsid w:val="004F0305"/>
    <w:rPr>
      <w:rFonts w:ascii="Arial" w:eastAsia="Arial" w:hAnsi="Arial" w:cs="Arial"/>
      <w:i/>
      <w:iCs/>
      <w:color w:val="auto"/>
      <w:sz w:val="11"/>
      <w:szCs w:val="11"/>
      <w:lang w:eastAsia="en-US" w:bidi="ar-SA"/>
    </w:rPr>
  </w:style>
  <w:style w:type="character" w:customStyle="1" w:styleId="Tablecaption1">
    <w:name w:val="Table caption|1_"/>
    <w:basedOn w:val="Standardnpsmoodstavce"/>
    <w:link w:val="Tablecaption10"/>
    <w:locked/>
    <w:rsid w:val="004F0305"/>
    <w:rPr>
      <w:rFonts w:ascii="Arial" w:eastAsia="Arial" w:hAnsi="Arial" w:cs="Arial"/>
      <w:sz w:val="11"/>
      <w:szCs w:val="11"/>
    </w:rPr>
  </w:style>
  <w:style w:type="paragraph" w:customStyle="1" w:styleId="Tablecaption10">
    <w:name w:val="Table caption|1"/>
    <w:basedOn w:val="Normln"/>
    <w:link w:val="Tablecaption1"/>
    <w:rsid w:val="004F0305"/>
    <w:pPr>
      <w:spacing w:line="324" w:lineRule="auto"/>
      <w:ind w:left="2760" w:firstLine="20"/>
    </w:pPr>
    <w:rPr>
      <w:rFonts w:ascii="Arial" w:eastAsia="Arial" w:hAnsi="Arial" w:cs="Arial"/>
      <w:color w:val="auto"/>
      <w:sz w:val="11"/>
      <w:szCs w:val="11"/>
      <w:lang w:eastAsia="en-US" w:bidi="ar-SA"/>
    </w:rPr>
  </w:style>
  <w:style w:type="character" w:styleId="Hypertextovodkaz">
    <w:name w:val="Hyperlink"/>
    <w:basedOn w:val="Standardnpsmoodstavce"/>
    <w:uiPriority w:val="99"/>
    <w:semiHidden/>
    <w:unhideWhenUsed/>
    <w:rsid w:val="004F0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14182">
      <w:bodyDiv w:val="1"/>
      <w:marLeft w:val="0"/>
      <w:marRight w:val="0"/>
      <w:marTop w:val="0"/>
      <w:marBottom w:val="0"/>
      <w:divBdr>
        <w:top w:val="none" w:sz="0" w:space="0" w:color="auto"/>
        <w:left w:val="none" w:sz="0" w:space="0" w:color="auto"/>
        <w:bottom w:val="none" w:sz="0" w:space="0" w:color="auto"/>
        <w:right w:val="none" w:sz="0" w:space="0" w:color="auto"/>
      </w:divBdr>
    </w:div>
    <w:div w:id="1622495607">
      <w:bodyDiv w:val="1"/>
      <w:marLeft w:val="0"/>
      <w:marRight w:val="0"/>
      <w:marTop w:val="0"/>
      <w:marBottom w:val="0"/>
      <w:divBdr>
        <w:top w:val="none" w:sz="0" w:space="0" w:color="auto"/>
        <w:left w:val="none" w:sz="0" w:space="0" w:color="auto"/>
        <w:bottom w:val="none" w:sz="0" w:space="0" w:color="auto"/>
        <w:right w:val="none" w:sz="0" w:space="0" w:color="auto"/>
      </w:divBdr>
    </w:div>
    <w:div w:id="20852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2253</Words>
  <Characters>13298</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Hánová Šárka</dc:creator>
  <cp:keywords/>
  <dc:description/>
  <cp:lastModifiedBy>Nováková Pavlína</cp:lastModifiedBy>
  <cp:revision>2</cp:revision>
  <dcterms:created xsi:type="dcterms:W3CDTF">2024-06-19T12:01:00Z</dcterms:created>
  <dcterms:modified xsi:type="dcterms:W3CDTF">2024-06-19T12:01:00Z</dcterms:modified>
</cp:coreProperties>
</file>