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3"/>
        </w:rPr>
        <w:t>IIIIJIlMliilW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800" w:firstLine="0"/>
        <w:jc w:val="right"/>
        <w:rPr>
          <w:sz w:val="16"/>
          <w:szCs w:val="16"/>
        </w:rPr>
      </w:pPr>
      <w:r>
        <w:rPr>
          <w:rStyle w:val="CharStyle8"/>
          <w:sz w:val="16"/>
          <w:szCs w:val="16"/>
        </w:rPr>
        <w:t>2024004855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1"/>
          <w:b/>
          <w:bCs/>
        </w:rPr>
        <w:t>Dodatek č. 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460"/>
        <w:jc w:val="both"/>
      </w:pPr>
      <w:r>
        <w:rPr>
          <w:rStyle w:val="CharStyle11"/>
        </w:rPr>
        <w:t>ke smlouvě o dílo ze dne 26. 6. 2023, / dále jen „ smlouva “ /, uzavřené mezi</w:t>
      </w:r>
    </w:p>
    <w:tbl>
      <w:tblPr>
        <w:tblOverlap w:val="never"/>
        <w:jc w:val="center"/>
        <w:tblLayout w:type="fixed"/>
      </w:tblPr>
      <w:tblGrid>
        <w:gridCol w:w="2338"/>
        <w:gridCol w:w="6782"/>
      </w:tblGrid>
      <w:tr>
        <w:trPr>
          <w:trHeight w:val="5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20"/>
              <w:jc w:val="left"/>
            </w:pPr>
            <w:r>
              <w:rPr>
                <w:rStyle w:val="CharStyle16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6"/>
              </w:rPr>
              <w:t>Kamenice 798/1 d, 625 00 Brno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6"/>
              </w:rPr>
              <w:t>MUDr. Hana Albrechtová, ředitelka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Kontaktní osoba: 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20"/>
              <w:jc w:val="left"/>
            </w:pPr>
            <w:r>
              <w:rPr>
                <w:rStyle w:val="CharStyle16"/>
                <w:spacing w:val="10"/>
                <w:shd w:val="clear" w:color="auto" w:fill="000000"/>
              </w:rPr>
              <w:t>.</w:t>
            </w:r>
            <w:r>
              <w:rPr>
                <w:rStyle w:val="CharStyle16"/>
                <w:spacing w:val="11"/>
                <w:shd w:val="clear" w:color="auto" w:fill="000000"/>
              </w:rPr>
              <w:t>.....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6"/>
                <w:shd w:val="clear" w:color="auto" w:fill="000000"/>
              </w:rPr>
              <w:t>.......</w:t>
            </w:r>
            <w:r>
              <w:rPr>
                <w:rStyle w:val="CharStyle16"/>
                <w:spacing w:val="7"/>
                <w:shd w:val="clear" w:color="auto" w:fill="000000"/>
              </w:rPr>
              <w:t>...</w:t>
            </w:r>
            <w:r>
              <w:rPr>
                <w:rStyle w:val="CharStyle16"/>
                <w:shd w:val="clear" w:color="auto" w:fill="000000"/>
              </w:rPr>
              <w:t>​.</w:t>
            </w:r>
            <w:r>
              <w:rPr>
                <w:rStyle w:val="CharStyle16"/>
                <w:spacing w:val="1"/>
                <w:shd w:val="clear" w:color="auto" w:fill="000000"/>
              </w:rPr>
              <w:t>..........</w:t>
            </w:r>
            <w:r>
              <w:rPr>
                <w:rStyle w:val="CharStyle16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6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</w:t>
            </w:r>
            <w:r>
              <w:rPr>
                <w:rStyle w:val="CharStyle16"/>
                <w:spacing w:val="2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CharStyle16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10"/>
                <w:shd w:val="clear" w:color="auto" w:fill="000000"/>
              </w:rPr>
              <w:t>...</w:t>
            </w:r>
            <w:r>
              <w:rPr>
                <w:rStyle w:val="CharStyle16"/>
                <w:spacing w:val="11"/>
                <w:shd w:val="clear" w:color="auto" w:fill="000000"/>
              </w:rPr>
              <w:t>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10"/>
                <w:shd w:val="clear" w:color="auto" w:fill="000000"/>
              </w:rPr>
              <w:t>..</w:t>
            </w:r>
            <w:r>
              <w:rPr>
                <w:rStyle w:val="CharStyle16"/>
                <w:spacing w:val="11"/>
                <w:shd w:val="clear" w:color="auto" w:fill="000000"/>
              </w:rPr>
              <w:t>....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7"/>
                <w:shd w:val="clear" w:color="auto" w:fill="000000"/>
              </w:rPr>
              <w:t>..</w:t>
            </w:r>
            <w:r>
              <w:rPr>
                <w:rStyle w:val="CharStyle16"/>
                <w:spacing w:val="8"/>
                <w:shd w:val="clear" w:color="auto" w:fill="000000"/>
              </w:rPr>
              <w:t>....</w:t>
            </w:r>
            <w:r>
              <w:rPr>
                <w:rStyle w:val="CharStyle16"/>
                <w:shd w:val="clear" w:color="auto" w:fill="000000"/>
              </w:rPr>
              <w:t>​</w:t>
            </w:r>
            <w:r>
              <w:rPr>
                <w:rStyle w:val="CharStyle16"/>
                <w:spacing w:val="12"/>
                <w:shd w:val="clear" w:color="auto" w:fill="000000"/>
              </w:rPr>
              <w:t>.</w:t>
            </w:r>
            <w:r>
              <w:rPr>
                <w:rStyle w:val="CharStyle16"/>
                <w:spacing w:val="13"/>
                <w:shd w:val="clear" w:color="auto" w:fill="000000"/>
              </w:rPr>
              <w:t>....</w:t>
            </w:r>
            <w:r>
              <w:rPr>
                <w:rStyle w:val="CharStyle16"/>
              </w:rPr>
              <w:t xml:space="preserve"> 00346292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6"/>
              </w:rPr>
              <w:t>CZ00346292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tabs>
          <w:tab w:pos="28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Zápis v OR:</w:t>
        <w:tab/>
        <w:t>Krajský soud v Brně sp. zn. Pr 1245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Bankovní spojení (číslo účtu): MONETA Money Bank, a.s., č. ú. 117203514/0600</w:t>
      </w:r>
    </w:p>
    <w:p>
      <w:pPr>
        <w:widowControl w:val="0"/>
        <w:spacing w:after="25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1"/>
        </w:rPr>
        <w:t>(dále jen „objednatel“)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4"/>
        </w:rPr>
        <w:t>a</w:t>
      </w:r>
    </w:p>
    <w:tbl>
      <w:tblPr>
        <w:tblOverlap w:val="never"/>
        <w:jc w:val="left"/>
        <w:tblLayout w:type="fixed"/>
      </w:tblPr>
      <w:tblGrid>
        <w:gridCol w:w="1934"/>
        <w:gridCol w:w="4498"/>
      </w:tblGrid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Style w:val="CharStyle16"/>
                <w:b/>
                <w:bCs/>
              </w:rPr>
              <w:t>SOFTCOM GROUP, spol s.r.o.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Style w:val="CharStyle16"/>
              </w:rPr>
              <w:t>28. pluku 458/7, 101 00 Praha 10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Style w:val="CharStyle16"/>
              </w:rPr>
              <w:t>Ing. Aleš Plašil, jednatel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Style w:val="CharStyle16"/>
              </w:rPr>
              <w:t>25623290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rStyle w:val="CharStyle16"/>
              </w:rPr>
              <w:t>CZ25623290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4"/>
        </w:rPr>
        <w:t>Bankovní spojení (číslo účtu): Komerční banka: 19-2295150207/0100</w:t>
      </w:r>
    </w:p>
    <w:p>
      <w:pPr>
        <w:widowControl w:val="0"/>
        <w:spacing w:after="25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340" w:line="240" w:lineRule="auto"/>
        <w:ind w:left="0" w:right="0" w:firstLine="0"/>
        <w:jc w:val="both"/>
      </w:pPr>
      <w:r>
        <w:rPr>
          <w:rStyle w:val="CharStyle11"/>
        </w:rPr>
        <w:t>(dále jen „poskytovatel“)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both"/>
      </w:pPr>
      <w:r>
        <w:rPr>
          <w:rStyle w:val="CharStyle11"/>
        </w:rPr>
        <w:t>Za čl. 3 smlouvy se vkládá nový článek 3a, který zní takto: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1"/>
        </w:rPr>
        <w:t>Technická podpora díla dle čl. 3 smlouvy se prodlužuje o jeden rok, počínaje dnem 27. 6. 2024.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00"/>
        <w:jc w:val="both"/>
      </w:pPr>
      <w:r>
        <w:rPr>
          <w:rStyle w:val="CharStyle11"/>
        </w:rPr>
        <w:t>Za čl. 7 smlouvy se vkládá nový čl. 7a, který zní takto: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1"/>
        </w:rPr>
        <w:t>Objednatel se zavazuje zaplatit poskytovateli za prodloužení technické podpory díla podle čl. 3a této smlouvy cenu ve výši 117238,00,-Kč bez DPH, tj. 141858,00,-Kč s DPH. Součástí této ceny jsou veškeré náklady poskytovatele na splnění jeho závazku k poskytnutí technické podpory díla podle této smlouvy. Změna ceny je možná pouze v případě zákonné změny sazby DPH.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left"/>
      </w:pPr>
      <w:r>
        <w:rPr>
          <w:rStyle w:val="CharStyle11"/>
        </w:rPr>
        <w:t>Za článek 9 smlouvy se vkládá nový článek 8a, který zní takto: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rStyle w:val="CharStyle11"/>
        </w:rPr>
        <w:t>Cena podle či. 9a této smlouvy je splatná na účet poskytovatele ve lhůtě do 30 dnů ode dne doručení jejího písemného vyúčtování / daňového dokladu-faktury /.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rStyle w:val="CharStyle11"/>
        </w:rPr>
        <w:t>Ostatní ujednání smlouvy nejsou tímto dodatkem nijak dotčena.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rStyle w:val="CharStyle11"/>
        </w:rPr>
        <w:t>Tento dodatek nabývá platnosti dnem jeho uzavření a účinnosti dnem jeho uveřejnění v registru smluv dle příslušných ustanovení zákona č. 340/2015 Sb.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615" w:right="1364" w:bottom="2109" w:left="1393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1"/>
        </w:rPr>
        <w:t>Dáno ve dvou originálních písemných vyhotoveních, z nichž každá ze smluvních stran obdrží po jednom.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62" w:right="0" w:bottom="81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4123" w:h="2318" w:wrap="none" w:vAnchor="text" w:hAnchor="page" w:x="1250" w:y="159"/>
        <w:widowControl w:val="0"/>
        <w:shd w:val="clear" w:color="auto" w:fill="auto"/>
        <w:tabs>
          <w:tab w:pos="1958" w:val="left"/>
        </w:tabs>
        <w:bidi w:val="0"/>
        <w:spacing w:before="0" w:after="0" w:line="240" w:lineRule="auto"/>
        <w:ind w:left="0" w:right="0" w:firstLine="460"/>
        <w:jc w:val="left"/>
      </w:pPr>
      <w:r>
        <w:rPr>
          <w:rStyle w:val="CharStyle8"/>
        </w:rPr>
        <w:t>IfV</w:t>
        <w:tab/>
      </w:r>
      <w:r>
        <w:rPr>
          <w:rStyle w:val="CharStyle8"/>
          <w:vertAlign w:val="superscript"/>
        </w:rPr>
        <w:t>(</w:t>
      </w:r>
      <w:r>
        <w:rPr>
          <w:rStyle w:val="CharStyle8"/>
        </w:rPr>
        <w:t xml:space="preserve"> DigitálněpodepsalMUDr.</w:t>
      </w:r>
    </w:p>
    <w:p>
      <w:pPr>
        <w:pStyle w:val="Style30"/>
        <w:keepNext/>
        <w:keepLines/>
        <w:framePr w:w="4123" w:h="2318" w:wrap="none" w:vAnchor="text" w:hAnchor="page" w:x="1250" w:y="159"/>
        <w:widowControl w:val="0"/>
        <w:shd w:val="clear" w:color="auto" w:fill="auto"/>
        <w:bidi w:val="0"/>
        <w:spacing w:before="0"/>
        <w:ind w:left="0" w:right="0" w:firstLine="0"/>
        <w:jc w:val="left"/>
        <w:rPr>
          <w:sz w:val="17"/>
          <w:szCs w:val="17"/>
        </w:rPr>
      </w:pPr>
      <w:bookmarkStart w:id="2" w:name="bookmark2"/>
      <w:r>
        <w:rPr>
          <w:rStyle w:val="CharStyle31"/>
        </w:rPr>
        <w:t xml:space="preserve">IVIUUI. ndlld </w:t>
      </w:r>
      <w:r>
        <w:rPr>
          <w:rStyle w:val="CharStyle31"/>
          <w:sz w:val="17"/>
          <w:szCs w:val="17"/>
          <w:vertAlign w:val="subscript"/>
        </w:rPr>
        <w:t>x</w:t>
      </w:r>
      <w:r>
        <w:rPr>
          <w:rStyle w:val="CharStyle31"/>
          <w:sz w:val="17"/>
          <w:szCs w:val="17"/>
        </w:rPr>
        <w:t xml:space="preserve">HanaAlbrechtová </w:t>
      </w:r>
      <w:r>
        <w:rPr>
          <w:rStyle w:val="CharStyle31"/>
        </w:rPr>
        <w:t xml:space="preserve">Albrechtová </w:t>
      </w:r>
      <w:r>
        <w:rPr>
          <w:rStyle w:val="CharStyle31"/>
          <w:sz w:val="17"/>
          <w:szCs w:val="17"/>
        </w:rPr>
        <w:t>“X’</w:t>
      </w:r>
      <w:r>
        <w:rPr>
          <w:rStyle w:val="CharStyle31"/>
          <w:sz w:val="17"/>
          <w:szCs w:val="17"/>
          <w:vertAlign w:val="superscript"/>
        </w:rPr>
        <w:t>7</w:t>
      </w:r>
      <w:bookmarkEnd w:id="2"/>
    </w:p>
    <w:p>
      <w:pPr>
        <w:pStyle w:val="Style10"/>
        <w:keepNext w:val="0"/>
        <w:keepLines w:val="0"/>
        <w:framePr w:w="4123" w:h="2318" w:wrap="none" w:vAnchor="text" w:hAnchor="page" w:x="1250" w:y="159"/>
        <w:widowControl w:val="0"/>
        <w:shd w:val="clear" w:color="auto" w:fill="auto"/>
        <w:bidi w:val="0"/>
        <w:spacing w:before="0" w:after="280" w:line="254" w:lineRule="auto"/>
        <w:ind w:left="140" w:right="0" w:firstLine="0"/>
        <w:jc w:val="left"/>
      </w:pPr>
      <w:r>
        <w:rPr>
          <w:rStyle w:val="CharStyle11"/>
        </w:rPr>
        <w:t>MUDr. Hana Albrechtová ředitelka</w:t>
      </w:r>
    </w:p>
    <w:p>
      <w:pPr>
        <w:pStyle w:val="Style10"/>
        <w:keepNext w:val="0"/>
        <w:keepLines w:val="0"/>
        <w:framePr w:w="4123" w:h="2318" w:wrap="none" w:vAnchor="text" w:hAnchor="page" w:x="1250" w:y="159"/>
        <w:widowControl w:val="0"/>
        <w:shd w:val="clear" w:color="auto" w:fill="auto"/>
        <w:bidi w:val="0"/>
        <w:spacing w:before="0" w:after="240" w:line="254" w:lineRule="auto"/>
        <w:ind w:left="0" w:right="0" w:firstLine="140"/>
        <w:jc w:val="left"/>
      </w:pPr>
      <w:r>
        <w:rPr>
          <w:rStyle w:val="CharStyle11"/>
          <w:b/>
          <w:bCs/>
        </w:rPr>
        <w:t>Objednatel</w:t>
      </w:r>
    </w:p>
    <w:p>
      <w:pPr>
        <w:pStyle w:val="Style33"/>
        <w:keepNext/>
        <w:keepLines/>
        <w:framePr w:w="1632" w:h="1114" w:wrap="none" w:vAnchor="text" w:hAnchor="page" w:x="6472" w:y="2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4" w:name="bookmark4"/>
      <w:r>
        <w:rPr>
          <w:rStyle w:val="CharStyle34"/>
        </w:rPr>
        <w:t>Ing. Aleš Plašil</w:t>
      </w:r>
      <w:bookmarkEnd w:id="4"/>
    </w:p>
    <w:p>
      <w:pPr>
        <w:pStyle w:val="Style35"/>
        <w:keepNext w:val="0"/>
        <w:keepLines w:val="0"/>
        <w:framePr w:w="1930" w:h="1051" w:wrap="none" w:vAnchor="text" w:hAnchor="page" w:x="8051" w:y="21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rStyle w:val="CharStyle36"/>
        </w:rPr>
        <w:t xml:space="preserve">Digitálně podepsal Xjng. Aleš Plašil </w:t>
      </w:r>
      <w:r>
        <w:rPr>
          <w:rStyle w:val="CharStyle36"/>
          <w:vertAlign w:val="superscript"/>
        </w:rPr>
        <w:t>?</w:t>
      </w:r>
      <w:r>
        <w:rPr>
          <w:rStyle w:val="CharStyle36"/>
        </w:rPr>
        <w:t xml:space="preserve"> .Datum: 2024.06.14 12:18:16 +02’00'</w:t>
      </w:r>
    </w:p>
    <w:p>
      <w:pPr>
        <w:pStyle w:val="Style10"/>
        <w:keepNext w:val="0"/>
        <w:keepLines w:val="0"/>
        <w:framePr w:w="1200" w:h="298" w:wrap="none" w:vAnchor="text" w:hAnchor="page" w:x="6890" w:y="21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  <w:b/>
          <w:bCs/>
        </w:rPr>
        <w:t>Zhotovitel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62" w:right="1365" w:bottom="810" w:left="124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10046970</wp:posOffset>
              </wp:positionV>
              <wp:extent cx="1987550" cy="946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8755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41-23 Prodloužení podpory Veeam_dodatek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600000000000009pt;margin-top:791.10000000000002pt;width:156.5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4"/>
                        <w:szCs w:val="14"/>
                      </w:rPr>
                      <w:t>41-23 Prodloužení podpory Veeam_dodatek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10168890</wp:posOffset>
              </wp:positionV>
              <wp:extent cx="1990090" cy="1003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9009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sz w:val="14"/>
                              <w:szCs w:val="14"/>
                            </w:rPr>
                            <w:t>41-23 Prodloužení podpory Veeam_dodatek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600000000000009pt;margin-top:800.70000000000005pt;width:156.70000000000002pt;height:7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14"/>
                        <w:szCs w:val="14"/>
                      </w:rPr>
                      <w:t>41-23 Prodloužení podpory Veeam_dodatek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Jiné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1">
    <w:name w:val="Nadpis #3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4">
    <w:name w:val="Nadpis #2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36">
    <w:name w:val="Základní text (2)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100"/>
      <w:ind w:right="80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auto"/>
      <w:spacing w:after="180"/>
      <w:ind w:right="400" w:firstLine="2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auto"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30">
    <w:name w:val="Nadpis #3"/>
    <w:basedOn w:val="Normal"/>
    <w:link w:val="CharStyle31"/>
    <w:pPr>
      <w:widowControl w:val="0"/>
      <w:shd w:val="clear" w:color="auto" w:fill="auto"/>
      <w:spacing w:after="220" w:line="262" w:lineRule="auto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33">
    <w:name w:val="Nadpis #2"/>
    <w:basedOn w:val="Normal"/>
    <w:link w:val="CharStyle34"/>
    <w:pPr>
      <w:widowControl w:val="0"/>
      <w:shd w:val="clear" w:color="auto" w:fill="auto"/>
      <w:spacing w:line="286" w:lineRule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35">
    <w:name w:val="Základní text (2)"/>
    <w:basedOn w:val="Normal"/>
    <w:link w:val="CharStyle36"/>
    <w:pPr>
      <w:widowControl w:val="0"/>
      <w:shd w:val="clear" w:color="auto" w:fill="auto"/>
      <w:spacing w:line="276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