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0"/>
        <w:gridCol w:w="5402"/>
      </w:tblGrid>
      <w:tr w:rsidR="005460A7" w:rsidTr="00184DF6">
        <w:tc>
          <w:tcPr>
            <w:tcW w:w="3070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Akce – položky</w:t>
            </w:r>
          </w:p>
        </w:tc>
        <w:tc>
          <w:tcPr>
            <w:tcW w:w="5402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Specifikace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Název akce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Úvodní seminář projektu Krajská rodinná politika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Termín a čas </w:t>
            </w:r>
          </w:p>
        </w:tc>
        <w:tc>
          <w:tcPr>
            <w:tcW w:w="5402" w:type="dxa"/>
            <w:vAlign w:val="center"/>
          </w:tcPr>
          <w:p w:rsidR="005460A7" w:rsidRPr="00C960F9" w:rsidRDefault="00DE12CF" w:rsidP="00BF577F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782772">
              <w:rPr>
                <w:rFonts w:cs="Arial"/>
                <w:i/>
                <w:color w:val="808080" w:themeColor="background1" w:themeShade="80"/>
                <w:szCs w:val="20"/>
              </w:rPr>
              <w:t>2</w:t>
            </w:r>
            <w:r w:rsidR="00F76CCD" w:rsidRPr="00782772">
              <w:rPr>
                <w:rFonts w:cs="Arial"/>
                <w:i/>
                <w:color w:val="808080" w:themeColor="background1" w:themeShade="80"/>
                <w:szCs w:val="20"/>
              </w:rPr>
              <w:t>0</w:t>
            </w:r>
            <w:r w:rsidR="005460A7" w:rsidRPr="00782772">
              <w:rPr>
                <w:rFonts w:cs="Arial"/>
                <w:i/>
                <w:color w:val="808080" w:themeColor="background1" w:themeShade="80"/>
                <w:szCs w:val="20"/>
              </w:rPr>
              <w:t xml:space="preserve">. </w:t>
            </w:r>
            <w:r w:rsidR="00F76CCD" w:rsidRPr="00782772">
              <w:rPr>
                <w:rFonts w:cs="Arial"/>
                <w:i/>
                <w:color w:val="808080" w:themeColor="background1" w:themeShade="80"/>
                <w:szCs w:val="20"/>
              </w:rPr>
              <w:t>7</w:t>
            </w:r>
            <w:r w:rsidR="005460A7" w:rsidRPr="00782772">
              <w:rPr>
                <w:rFonts w:cs="Arial"/>
                <w:i/>
                <w:color w:val="808080" w:themeColor="background1" w:themeShade="80"/>
                <w:szCs w:val="20"/>
              </w:rPr>
              <w:t>. 2017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, rezervace prostor 8,00 – 1</w:t>
            </w:r>
            <w:r w:rsidR="00BF577F"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,30 (samotná akce 9,00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–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1</w:t>
            </w:r>
            <w:r w:rsidR="00BF577F"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,00)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Umístění akce</w:t>
            </w:r>
          </w:p>
        </w:tc>
        <w:tc>
          <w:tcPr>
            <w:tcW w:w="5402" w:type="dxa"/>
            <w:vAlign w:val="center"/>
          </w:tcPr>
          <w:p w:rsidR="005460A7" w:rsidRPr="00BF577F" w:rsidRDefault="00AC695C" w:rsidP="00BF577F">
            <w:pPr>
              <w:jc w:val="both"/>
              <w:rPr>
                <w:i/>
                <w:color w:val="1F497D"/>
              </w:rPr>
            </w:pPr>
            <w:r w:rsidRPr="00BF577F">
              <w:rPr>
                <w:rFonts w:cs="Arial"/>
                <w:i/>
                <w:color w:val="808080" w:themeColor="background1" w:themeShade="80"/>
                <w:szCs w:val="20"/>
              </w:rPr>
              <w:t>Ostrava</w:t>
            </w:r>
            <w:r w:rsidR="00BF577F" w:rsidRPr="00BF577F">
              <w:rPr>
                <w:rFonts w:cs="Arial"/>
                <w:i/>
                <w:color w:val="808080" w:themeColor="background1" w:themeShade="80"/>
                <w:szCs w:val="20"/>
              </w:rPr>
              <w:t xml:space="preserve"> - </w:t>
            </w:r>
            <w:r w:rsidR="00BF577F" w:rsidRPr="00BF577F">
              <w:rPr>
                <w:i/>
                <w:color w:val="808080" w:themeColor="background1" w:themeShade="80"/>
              </w:rPr>
              <w:t xml:space="preserve">Místo konání školení musí být vzdálené od zastávky </w:t>
            </w:r>
            <w:r w:rsidR="00BF577F">
              <w:rPr>
                <w:i/>
                <w:color w:val="808080" w:themeColor="background1" w:themeShade="80"/>
              </w:rPr>
              <w:t>Hlavní nádraží nebo Náměstí republiky</w:t>
            </w:r>
            <w:r w:rsidR="00BF577F" w:rsidRPr="00BF577F">
              <w:rPr>
                <w:i/>
                <w:color w:val="808080" w:themeColor="background1" w:themeShade="80"/>
              </w:rPr>
              <w:t xml:space="preserve"> na </w:t>
            </w:r>
            <w:r w:rsidR="00B735BE">
              <w:rPr>
                <w:i/>
                <w:color w:val="808080" w:themeColor="background1" w:themeShade="80"/>
              </w:rPr>
              <w:t>adresu místa konání akce max. 30</w:t>
            </w:r>
            <w:bookmarkStart w:id="0" w:name="_GoBack"/>
            <w:bookmarkEnd w:id="0"/>
            <w:r w:rsidR="00BF577F" w:rsidRPr="00BF577F">
              <w:rPr>
                <w:i/>
                <w:color w:val="808080" w:themeColor="background1" w:themeShade="80"/>
              </w:rPr>
              <w:t xml:space="preserve"> minut, a to buď pěší </w:t>
            </w:r>
            <w:proofErr w:type="gramStart"/>
            <w:r w:rsidR="00BF577F" w:rsidRPr="00BF577F">
              <w:rPr>
                <w:i/>
                <w:color w:val="808080" w:themeColor="background1" w:themeShade="80"/>
              </w:rPr>
              <w:t>chůzí nebo</w:t>
            </w:r>
            <w:proofErr w:type="gramEnd"/>
            <w:r w:rsidR="00BF577F" w:rsidRPr="00BF577F">
              <w:rPr>
                <w:i/>
                <w:color w:val="808080" w:themeColor="background1" w:themeShade="8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ano, min. 20 míst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Předpokládaný celkový počet účastníků </w:t>
            </w:r>
          </w:p>
          <w:p w:rsidR="005460A7" w:rsidRPr="007B4D58" w:rsidRDefault="005460A7" w:rsidP="00184DF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7B4D58">
              <w:rPr>
                <w:rFonts w:cs="Arial"/>
                <w:szCs w:val="20"/>
              </w:rPr>
              <w:t> toho: počet řečníků / počet posluchačů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</w:p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5/20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Požadavky na prostory 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1 sál s kapacitou min.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osob, </w:t>
            </w: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enní světlo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š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atní prostory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p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rostory pro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malé občerstvení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7B4D58" w:rsidRDefault="005460A7" w:rsidP="00184DF6">
            <w:pPr>
              <w:rPr>
                <w:rFonts w:cs="Arial"/>
                <w:szCs w:val="20"/>
              </w:rPr>
            </w:pPr>
            <w:r w:rsidRPr="007B4D58">
              <w:rPr>
                <w:rFonts w:cs="Arial"/>
                <w:szCs w:val="20"/>
              </w:rPr>
              <w:t>Uspořádání sálu</w:t>
            </w:r>
          </w:p>
        </w:tc>
        <w:tc>
          <w:tcPr>
            <w:tcW w:w="5402" w:type="dxa"/>
            <w:vAlign w:val="center"/>
          </w:tcPr>
          <w:p w:rsidR="005460A7" w:rsidRPr="00255728" w:rsidRDefault="00DF6AE4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ivadelní uspořádání </w:t>
            </w:r>
          </w:p>
          <w:p w:rsidR="005460A7" w:rsidRPr="00255728" w:rsidRDefault="00DF6AE4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ř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ečnický stůl pro 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5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osob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, pódium není nutné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Technické vybavení</w:t>
            </w:r>
          </w:p>
        </w:tc>
        <w:tc>
          <w:tcPr>
            <w:tcW w:w="5402" w:type="dxa"/>
            <w:vAlign w:val="center"/>
          </w:tcPr>
          <w:p w:rsidR="005460A7" w:rsidRPr="00255728" w:rsidRDefault="00DF6AE4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>ataprojektor, notebook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Ozvučení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Prostor a ozvučení pro tlumočení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Klimatizace</w:t>
            </w:r>
          </w:p>
        </w:tc>
        <w:tc>
          <w:tcPr>
            <w:tcW w:w="5402" w:type="dxa"/>
            <w:vAlign w:val="center"/>
          </w:tcPr>
          <w:p w:rsidR="005460A7" w:rsidRPr="00255728" w:rsidRDefault="00DE12C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Catering: ano/ne a počet osob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osob</w:t>
            </w:r>
            <w:r w:rsidR="001603E7">
              <w:rPr>
                <w:rFonts w:cs="Arial"/>
                <w:i/>
                <w:color w:val="808080" w:themeColor="background1" w:themeShade="80"/>
                <w:szCs w:val="20"/>
              </w:rPr>
              <w:t xml:space="preserve"> (přesný počet osob bude upřesněn 3 dny před konáním akce)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proofErr w:type="spellStart"/>
            <w:r w:rsidRPr="00255728">
              <w:rPr>
                <w:rFonts w:cs="Arial"/>
                <w:szCs w:val="20"/>
              </w:rPr>
              <w:t>Coffeebreak</w:t>
            </w:r>
            <w:proofErr w:type="spellEnd"/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před zahájením akce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,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00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-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9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</w:p>
          <w:p w:rsidR="005460A7" w:rsidRPr="00184DF6" w:rsidRDefault="005460A7" w:rsidP="00184DF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káva, čaj, </w:t>
            </w:r>
            <w:r w:rsidR="00DE12CF" w:rsidRPr="00184DF6">
              <w:rPr>
                <w:rFonts w:cs="Arial"/>
                <w:i/>
                <w:color w:val="808080" w:themeColor="background1" w:themeShade="80"/>
                <w:szCs w:val="20"/>
              </w:rPr>
              <w:t>voda ve džbánech</w:t>
            </w:r>
          </w:p>
          <w:p w:rsidR="005460A7" w:rsidRPr="00255728" w:rsidRDefault="00DF6AE4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Oběd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 – 12,00 – 13,00</w:t>
            </w:r>
          </w:p>
          <w:p w:rsidR="00184DF6" w:rsidRPr="00184DF6" w:rsidRDefault="005460A7" w:rsidP="00184DF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2 druhy</w:t>
            </w:r>
            <w:r w:rsidR="00DE12CF"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baget</w:t>
            </w:r>
            <w:r w:rsidR="00184DF6"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z toho jeden vegetariánský a </w:t>
            </w: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ovoce</w:t>
            </w:r>
          </w:p>
          <w:p w:rsidR="005460A7" w:rsidRPr="005460A7" w:rsidRDefault="00DF6AE4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Další požadavky ke cateringu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proofErr w:type="spellStart"/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F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air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T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rade</w:t>
            </w:r>
            <w:proofErr w:type="spellEnd"/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káva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čaj</w:t>
            </w:r>
            <w:r w:rsidRPr="00923C46">
              <w:rPr>
                <w:vertAlign w:val="superscript"/>
              </w:rPr>
              <w:footnoteReference w:id="1"/>
            </w:r>
          </w:p>
          <w:p w:rsidR="005460A7" w:rsidRDefault="00DF6AE4" w:rsidP="00DF6AE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v</w:t>
            </w:r>
            <w:r w:rsidR="005460A7" w:rsidRPr="00DF6AE4">
              <w:rPr>
                <w:rFonts w:cs="Arial"/>
                <w:i/>
                <w:color w:val="808080" w:themeColor="background1" w:themeShade="80"/>
                <w:szCs w:val="20"/>
              </w:rPr>
              <w:t xml:space="preserve">oda ve džbánech po celou dobu konání akce (s </w:t>
            </w:r>
            <w:r w:rsidR="005460A7" w:rsidRPr="00DF6AE4">
              <w:rPr>
                <w:rFonts w:cs="Arial"/>
                <w:i/>
                <w:color w:val="808080" w:themeColor="background1" w:themeShade="80"/>
                <w:szCs w:val="20"/>
              </w:rPr>
              <w:lastRenderedPageBreak/>
              <w:t>citronem a limetami)</w:t>
            </w:r>
          </w:p>
          <w:p w:rsidR="00DF6AE4" w:rsidRPr="00DF6AE4" w:rsidRDefault="00DF6AE4" w:rsidP="00DF6AE4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lastRenderedPageBreak/>
              <w:t>Pomocný personál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rPr>
          <w:trHeight w:val="151"/>
        </w:trPr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Fotodokumentace</w:t>
            </w:r>
          </w:p>
        </w:tc>
        <w:tc>
          <w:tcPr>
            <w:tcW w:w="5402" w:type="dxa"/>
            <w:vAlign w:val="center"/>
          </w:tcPr>
          <w:p w:rsidR="005460A7" w:rsidRPr="00255728" w:rsidRDefault="00DF6AE4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, z každé prezentace + účastníci, minimálně 20 fotografií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Videozáznam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Bezbariérové prostory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(přístup, toalety)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Zajištění pozvánek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Zaznamenání docházky (registrace)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- vzor prezenční listiny bude poskytnut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Ubytování </w:t>
            </w:r>
            <w:r>
              <w:rPr>
                <w:rFonts w:cs="Arial"/>
                <w:szCs w:val="20"/>
              </w:rPr>
              <w:t xml:space="preserve">a doprava </w:t>
            </w:r>
            <w:r w:rsidRPr="00255728">
              <w:rPr>
                <w:rFonts w:cs="Arial"/>
                <w:szCs w:val="20"/>
              </w:rPr>
              <w:t>pro účastníky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Další specifické požadavky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označení sálu, zajištění vizuální identity OP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Z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která bude zajištěna použitím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cedule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dodané zadavatelem,</w:t>
            </w:r>
            <w:r w:rsidR="002E5F68"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 ve formátu A4 min. den před konáním semináře, 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která bude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 splňovat vizuální identitu dle příručky Obecná část pravidel pro žadatele a příjemce v rámci OP Z, s názvem projektu, </w:t>
            </w:r>
            <w:proofErr w:type="spellStart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reg</w:t>
            </w:r>
            <w:proofErr w:type="spellEnd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. </w:t>
            </w:r>
            <w:proofErr w:type="gramStart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číslem</w:t>
            </w:r>
            <w:proofErr w:type="gramEnd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, informací o financování z ESF a názvem akce, zajištění směrovek a podkladů pro účastníky</w:t>
            </w:r>
          </w:p>
          <w:p w:rsidR="005460A7" w:rsidRPr="00160D7D" w:rsidRDefault="005460A7" w:rsidP="00184DF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2617F" w:rsidRDefault="00184DF6" w:rsidP="0022617F">
      <w:pPr>
        <w:spacing w:after="0" w:line="240" w:lineRule="auto"/>
        <w:rPr>
          <w:b/>
          <w:caps/>
        </w:rPr>
      </w:pPr>
      <w:r>
        <w:rPr>
          <w:b/>
          <w:caps/>
        </w:rPr>
        <w:br w:type="textWrapping" w:clear="all"/>
      </w:r>
    </w:p>
    <w:p w:rsidR="006256BB" w:rsidRDefault="006256BB"/>
    <w:sectPr w:rsidR="006256BB" w:rsidSect="00EB557F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29" w:rsidRDefault="00262929" w:rsidP="005460A7">
      <w:pPr>
        <w:spacing w:after="0" w:line="240" w:lineRule="auto"/>
      </w:pPr>
      <w:r>
        <w:separator/>
      </w:r>
    </w:p>
  </w:endnote>
  <w:endnote w:type="continuationSeparator" w:id="0">
    <w:p w:rsidR="00262929" w:rsidRDefault="00262929" w:rsidP="0054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29" w:rsidRDefault="00262929" w:rsidP="005460A7">
      <w:pPr>
        <w:spacing w:after="0" w:line="240" w:lineRule="auto"/>
      </w:pPr>
      <w:r>
        <w:separator/>
      </w:r>
    </w:p>
  </w:footnote>
  <w:footnote w:type="continuationSeparator" w:id="0">
    <w:p w:rsidR="00262929" w:rsidRDefault="00262929" w:rsidP="005460A7">
      <w:pPr>
        <w:spacing w:after="0" w:line="240" w:lineRule="auto"/>
      </w:pPr>
      <w:r>
        <w:continuationSeparator/>
      </w:r>
    </w:p>
  </w:footnote>
  <w:footnote w:id="1">
    <w:p w:rsidR="005460A7" w:rsidRDefault="005460A7" w:rsidP="005460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A7" w:rsidRDefault="005460A7" w:rsidP="005460A7">
    <w:pPr>
      <w:pStyle w:val="Zhlav"/>
      <w:jc w:val="center"/>
    </w:pPr>
    <w:r>
      <w:rPr>
        <w:noProof/>
        <w:lang w:eastAsia="cs-CZ"/>
      </w:rPr>
      <w:drawing>
        <wp:inline distT="0" distB="0" distL="0" distR="0" wp14:anchorId="16E9CB03" wp14:editId="221DEF50">
          <wp:extent cx="4533900" cy="769289"/>
          <wp:effectExtent l="0" t="0" r="0" b="0"/>
          <wp:docPr id="2" name="Obrázek 2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0A7" w:rsidRDefault="005460A7" w:rsidP="005460A7">
    <w:pPr>
      <w:pStyle w:val="Zhlav"/>
      <w:jc w:val="right"/>
    </w:pPr>
  </w:p>
  <w:p w:rsidR="005460A7" w:rsidRDefault="005460A7" w:rsidP="005460A7">
    <w:pPr>
      <w:pStyle w:val="Zhlav"/>
      <w:jc w:val="right"/>
    </w:pPr>
    <w:r>
      <w:t>Příloha č. 1 – Specifikace předmětu plnění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826"/>
    <w:multiLevelType w:val="hybridMultilevel"/>
    <w:tmpl w:val="35766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A6F12"/>
    <w:multiLevelType w:val="hybridMultilevel"/>
    <w:tmpl w:val="D38C2378"/>
    <w:lvl w:ilvl="0" w:tplc="08805850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F79EF"/>
    <w:multiLevelType w:val="multilevel"/>
    <w:tmpl w:val="AADADBE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7F"/>
    <w:rsid w:val="001603E7"/>
    <w:rsid w:val="00160D7D"/>
    <w:rsid w:val="00184DF6"/>
    <w:rsid w:val="0022617F"/>
    <w:rsid w:val="00262929"/>
    <w:rsid w:val="002E5F68"/>
    <w:rsid w:val="003C3244"/>
    <w:rsid w:val="00495C2A"/>
    <w:rsid w:val="005460A7"/>
    <w:rsid w:val="006256BB"/>
    <w:rsid w:val="006462C0"/>
    <w:rsid w:val="006B321E"/>
    <w:rsid w:val="007036FB"/>
    <w:rsid w:val="00782772"/>
    <w:rsid w:val="00895BBA"/>
    <w:rsid w:val="009B0607"/>
    <w:rsid w:val="00A305D0"/>
    <w:rsid w:val="00A77445"/>
    <w:rsid w:val="00AC695C"/>
    <w:rsid w:val="00AE706C"/>
    <w:rsid w:val="00AF50AC"/>
    <w:rsid w:val="00B54A05"/>
    <w:rsid w:val="00B735BE"/>
    <w:rsid w:val="00BF577F"/>
    <w:rsid w:val="00C960F9"/>
    <w:rsid w:val="00D0099E"/>
    <w:rsid w:val="00DE12CF"/>
    <w:rsid w:val="00DF6AE4"/>
    <w:rsid w:val="00F42C59"/>
    <w:rsid w:val="00F76CCD"/>
    <w:rsid w:val="00FA3C6B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6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4286-BF65-4B36-B336-4C0FE22B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Opletalová Magdalena Mgr. et Mgr.  (MPSV)</dc:creator>
  <cp:lastModifiedBy>Zákoutská Petra Ing. (MPSV)</cp:lastModifiedBy>
  <cp:revision>8</cp:revision>
  <dcterms:created xsi:type="dcterms:W3CDTF">2017-04-28T08:06:00Z</dcterms:created>
  <dcterms:modified xsi:type="dcterms:W3CDTF">2017-06-21T05:44:00Z</dcterms:modified>
</cp:coreProperties>
</file>