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1AFEB302" w:rsidR="004B041E" w:rsidRPr="00151434" w:rsidRDefault="00ED1BD4" w:rsidP="006C3C7D">
      <w:pPr>
        <w:pStyle w:val="Zkladntext2"/>
        <w:tabs>
          <w:tab w:val="left" w:pos="1560"/>
        </w:tabs>
        <w:rPr>
          <w:b/>
          <w:sz w:val="28"/>
          <w:szCs w:val="28"/>
        </w:rPr>
      </w:pPr>
      <w:r>
        <w:rPr>
          <w:b/>
          <w:sz w:val="28"/>
          <w:szCs w:val="28"/>
        </w:rPr>
        <w:t>Smlouva o dílo</w:t>
      </w:r>
    </w:p>
    <w:p w14:paraId="019776E4" w14:textId="70BE6784"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w:t>
      </w:r>
      <w:r w:rsidR="005E2F1A">
        <w:rPr>
          <w:rFonts w:ascii="Arial" w:hAnsi="Arial" w:cs="Arial"/>
          <w:sz w:val="22"/>
          <w:szCs w:val="22"/>
        </w:rPr>
        <w:t>á</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B23411">
        <w:rPr>
          <w:rFonts w:ascii="Arial" w:hAnsi="Arial" w:cs="Arial"/>
          <w:sz w:val="22"/>
          <w:szCs w:val="22"/>
        </w:rPr>
        <w:t xml:space="preserve"> </w:t>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5E2F1A">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3010"/>
        <w:gridCol w:w="76"/>
        <w:gridCol w:w="4110"/>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proofErr w:type="gramStart"/>
            <w:r w:rsidRPr="00C26C12">
              <w:rPr>
                <w:rFonts w:ascii="Arial" w:hAnsi="Arial"/>
              </w:rPr>
              <w:t>I.1.</w:t>
            </w:r>
            <w:proofErr w:type="gramEnd"/>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3"/>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tcPr>
          <w:p w14:paraId="29ED592D" w14:textId="44EA67E8" w:rsidR="00F22F80" w:rsidRPr="00C26C12" w:rsidRDefault="00F22F80" w:rsidP="00C26C12">
            <w:pPr>
              <w:spacing w:before="120" w:line="240" w:lineRule="atLeast"/>
              <w:jc w:val="both"/>
              <w:rPr>
                <w:rFonts w:ascii="Arial" w:hAnsi="Arial"/>
              </w:rPr>
            </w:pPr>
            <w:r w:rsidRPr="00C26C12">
              <w:rPr>
                <w:rFonts w:ascii="Arial" w:hAnsi="Arial"/>
              </w:rPr>
              <w:t>Zastoupený</w:t>
            </w:r>
            <w:r w:rsidR="00BB7543">
              <w:rPr>
                <w:rFonts w:ascii="Arial" w:hAnsi="Arial"/>
              </w:rPr>
              <w:t>:</w:t>
            </w:r>
          </w:p>
        </w:tc>
        <w:tc>
          <w:tcPr>
            <w:tcW w:w="4186" w:type="dxa"/>
            <w:gridSpan w:val="2"/>
          </w:tcPr>
          <w:p w14:paraId="1182DEA7" w14:textId="77777777" w:rsidR="00F22F80" w:rsidRPr="00C26C12" w:rsidRDefault="00F456A6" w:rsidP="00F456A6">
            <w:pPr>
              <w:spacing w:before="120" w:line="240" w:lineRule="atLeast"/>
              <w:jc w:val="both"/>
              <w:rPr>
                <w:rFonts w:ascii="Arial" w:hAnsi="Arial"/>
              </w:rPr>
            </w:pPr>
            <w:r>
              <w:rPr>
                <w:rFonts w:ascii="Arial" w:hAnsi="Arial"/>
              </w:rPr>
              <w:t>Ing. arch. Martinem Laštovičkou</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04A7E933" w:rsidR="00F22F80" w:rsidRPr="00C26C12" w:rsidRDefault="005E2F1A" w:rsidP="006F6366">
            <w:pPr>
              <w:spacing w:before="120" w:line="240" w:lineRule="atLeast"/>
              <w:jc w:val="both"/>
              <w:rPr>
                <w:rFonts w:ascii="Arial" w:hAnsi="Arial"/>
              </w:rPr>
            </w:pPr>
            <w:r>
              <w:rPr>
                <w:rFonts w:ascii="Arial" w:hAnsi="Arial"/>
              </w:rPr>
              <w:t>5002072/0800</w:t>
            </w:r>
          </w:p>
        </w:tc>
      </w:tr>
      <w:tr w:rsidR="00E83553" w:rsidRPr="00C26C12" w14:paraId="1D96C1D4" w14:textId="77777777" w:rsidTr="00D838DF">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B90ED0" w:rsidRPr="00C26C12" w14:paraId="3E615717" w14:textId="77777777" w:rsidTr="00D838DF">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roofErr w:type="gramStart"/>
            <w:r w:rsidRPr="00C26C12">
              <w:rPr>
                <w:rFonts w:ascii="Arial" w:hAnsi="Arial"/>
              </w:rPr>
              <w:t>I.2.</w:t>
            </w:r>
            <w:proofErr w:type="gramEnd"/>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3"/>
          </w:tcPr>
          <w:p w14:paraId="32E2B5B3" w14:textId="489A7F57" w:rsidR="005E3467" w:rsidRPr="00C26C12" w:rsidRDefault="00E81B0B" w:rsidP="00E81B0B">
            <w:pPr>
              <w:spacing w:before="120" w:line="240" w:lineRule="atLeast"/>
              <w:jc w:val="both"/>
              <w:rPr>
                <w:rFonts w:ascii="Arial" w:hAnsi="Arial"/>
              </w:rPr>
            </w:pPr>
            <w:r>
              <w:rPr>
                <w:rFonts w:ascii="Arial" w:hAnsi="Arial"/>
                <w:b/>
              </w:rPr>
              <w:t>ZK</w:t>
            </w:r>
            <w:r w:rsidR="00AA5273">
              <w:rPr>
                <w:rFonts w:ascii="Arial" w:hAnsi="Arial"/>
                <w:b/>
              </w:rPr>
              <w:t>M</w:t>
            </w:r>
            <w:r>
              <w:rPr>
                <w:rFonts w:ascii="Arial" w:hAnsi="Arial"/>
                <w:b/>
              </w:rPr>
              <w:t xml:space="preserve"> CB </w:t>
            </w:r>
            <w:r w:rsidR="005E3467">
              <w:rPr>
                <w:rFonts w:ascii="Arial" w:hAnsi="Arial"/>
                <w:b/>
              </w:rPr>
              <w:t>s</w:t>
            </w:r>
            <w:r>
              <w:rPr>
                <w:rFonts w:ascii="Arial" w:hAnsi="Arial"/>
                <w:b/>
              </w:rPr>
              <w:t>.</w:t>
            </w:r>
            <w:r w:rsidR="005E3467">
              <w:rPr>
                <w:rFonts w:ascii="Arial" w:hAnsi="Arial"/>
                <w:b/>
              </w:rPr>
              <w:t xml:space="preserve">r.o., </w:t>
            </w:r>
            <w:r>
              <w:rPr>
                <w:rFonts w:ascii="Arial" w:hAnsi="Arial"/>
              </w:rPr>
              <w:t>Novohradská 736/36, 370 01 České Budějovice</w:t>
            </w:r>
          </w:p>
        </w:tc>
      </w:tr>
      <w:tr w:rsidR="00AB5109" w:rsidRPr="00C26C12" w14:paraId="7B8EB765" w14:textId="77777777" w:rsidTr="00AB5109">
        <w:trPr>
          <w:trHeight w:val="227"/>
        </w:trPr>
        <w:tc>
          <w:tcPr>
            <w:tcW w:w="534" w:type="dxa"/>
          </w:tcPr>
          <w:p w14:paraId="1757FD76" w14:textId="77777777" w:rsidR="00AB5109" w:rsidRPr="00C26C12" w:rsidRDefault="00AB5109" w:rsidP="00C26C12">
            <w:pPr>
              <w:spacing w:before="120" w:line="240" w:lineRule="atLeast"/>
              <w:jc w:val="both"/>
              <w:rPr>
                <w:rFonts w:ascii="Arial" w:hAnsi="Arial"/>
              </w:rPr>
            </w:pPr>
          </w:p>
        </w:tc>
        <w:tc>
          <w:tcPr>
            <w:tcW w:w="1342" w:type="dxa"/>
          </w:tcPr>
          <w:p w14:paraId="25A358C2" w14:textId="77777777" w:rsidR="00AB5109" w:rsidRPr="00C26C12" w:rsidRDefault="00AB5109" w:rsidP="00C26C12">
            <w:pPr>
              <w:spacing w:before="120" w:line="240" w:lineRule="atLeast"/>
              <w:jc w:val="both"/>
              <w:rPr>
                <w:rFonts w:ascii="Arial" w:hAnsi="Arial"/>
              </w:rPr>
            </w:pPr>
          </w:p>
        </w:tc>
        <w:tc>
          <w:tcPr>
            <w:tcW w:w="3086" w:type="dxa"/>
            <w:gridSpan w:val="2"/>
          </w:tcPr>
          <w:p w14:paraId="24C0D0C2" w14:textId="77777777" w:rsidR="00AB5109" w:rsidRPr="005E3467" w:rsidRDefault="00AB5109" w:rsidP="005E3467">
            <w:pPr>
              <w:spacing w:before="120" w:line="240" w:lineRule="atLeast"/>
              <w:jc w:val="both"/>
              <w:rPr>
                <w:rFonts w:ascii="Arial" w:hAnsi="Arial"/>
              </w:rPr>
            </w:pPr>
            <w:r w:rsidRPr="005E3467">
              <w:rPr>
                <w:rFonts w:ascii="Arial" w:hAnsi="Arial"/>
              </w:rPr>
              <w:t>Zastoupený</w:t>
            </w:r>
            <w:r>
              <w:rPr>
                <w:rFonts w:ascii="Arial" w:hAnsi="Arial"/>
              </w:rPr>
              <w:t>:</w:t>
            </w:r>
          </w:p>
        </w:tc>
        <w:tc>
          <w:tcPr>
            <w:tcW w:w="4110" w:type="dxa"/>
          </w:tcPr>
          <w:p w14:paraId="0690C97F" w14:textId="50873DDE" w:rsidR="00AB5109" w:rsidRPr="005E3467" w:rsidRDefault="00E81B0B" w:rsidP="00E81B0B">
            <w:pPr>
              <w:spacing w:before="120" w:line="240" w:lineRule="atLeast"/>
              <w:jc w:val="both"/>
              <w:rPr>
                <w:rFonts w:ascii="Arial" w:hAnsi="Arial"/>
              </w:rPr>
            </w:pPr>
            <w:r>
              <w:rPr>
                <w:rFonts w:ascii="Arial" w:hAnsi="Arial"/>
              </w:rPr>
              <w:t>Michalem Mizerou,</w:t>
            </w:r>
            <w:r w:rsidR="00AB5109">
              <w:rPr>
                <w:rFonts w:ascii="Arial" w:hAnsi="Arial"/>
              </w:rPr>
              <w:t xml:space="preserve"> jednatelem</w:t>
            </w:r>
          </w:p>
        </w:tc>
      </w:tr>
      <w:tr w:rsidR="00AB5109" w:rsidRPr="00C26C12" w14:paraId="642E2D01" w14:textId="77777777" w:rsidTr="00AB5109">
        <w:trPr>
          <w:trHeight w:val="227"/>
        </w:trPr>
        <w:tc>
          <w:tcPr>
            <w:tcW w:w="534" w:type="dxa"/>
          </w:tcPr>
          <w:p w14:paraId="3DD8B814" w14:textId="77777777" w:rsidR="00AB5109" w:rsidRPr="00C26C12" w:rsidRDefault="00AB5109" w:rsidP="00C26C12">
            <w:pPr>
              <w:spacing w:before="120" w:line="240" w:lineRule="atLeast"/>
              <w:jc w:val="both"/>
              <w:rPr>
                <w:rFonts w:ascii="Arial" w:hAnsi="Arial"/>
              </w:rPr>
            </w:pPr>
          </w:p>
        </w:tc>
        <w:tc>
          <w:tcPr>
            <w:tcW w:w="1342" w:type="dxa"/>
          </w:tcPr>
          <w:p w14:paraId="3E1AA99D" w14:textId="77777777" w:rsidR="00AB5109" w:rsidRPr="00C26C12" w:rsidRDefault="00AB5109" w:rsidP="00C26C12">
            <w:pPr>
              <w:spacing w:before="120" w:line="240" w:lineRule="atLeast"/>
              <w:jc w:val="both"/>
              <w:rPr>
                <w:rFonts w:ascii="Arial" w:hAnsi="Arial"/>
              </w:rPr>
            </w:pPr>
          </w:p>
        </w:tc>
        <w:tc>
          <w:tcPr>
            <w:tcW w:w="3086" w:type="dxa"/>
            <w:gridSpan w:val="2"/>
          </w:tcPr>
          <w:p w14:paraId="053A4EF9" w14:textId="77777777" w:rsidR="00AB5109" w:rsidRPr="00FC5E46" w:rsidRDefault="00AB5109" w:rsidP="005E3467">
            <w:pPr>
              <w:spacing w:before="120" w:line="240" w:lineRule="atLeast"/>
              <w:jc w:val="both"/>
              <w:rPr>
                <w:rFonts w:ascii="Arial" w:hAnsi="Arial"/>
              </w:rPr>
            </w:pPr>
            <w:r w:rsidRPr="00FC5E46">
              <w:rPr>
                <w:rFonts w:ascii="Arial" w:hAnsi="Arial"/>
              </w:rPr>
              <w:t>Zápis ve veřejném rejstříku</w:t>
            </w:r>
            <w:r>
              <w:rPr>
                <w:rFonts w:ascii="Arial" w:hAnsi="Arial"/>
              </w:rPr>
              <w:t>:</w:t>
            </w:r>
          </w:p>
        </w:tc>
        <w:tc>
          <w:tcPr>
            <w:tcW w:w="4110" w:type="dxa"/>
          </w:tcPr>
          <w:p w14:paraId="1FE9B76A" w14:textId="7E43CCC4" w:rsidR="00AB5109" w:rsidRPr="00FC5E46" w:rsidRDefault="00AB5109" w:rsidP="00E81B0B">
            <w:pPr>
              <w:spacing w:before="120" w:line="240" w:lineRule="atLeast"/>
              <w:jc w:val="both"/>
              <w:rPr>
                <w:rFonts w:ascii="Arial" w:hAnsi="Arial"/>
              </w:rPr>
            </w:pPr>
            <w:r>
              <w:rPr>
                <w:rFonts w:ascii="Arial" w:hAnsi="Arial"/>
              </w:rPr>
              <w:t>vedený Krajským soudem v</w:t>
            </w:r>
            <w:r w:rsidR="00E81B0B">
              <w:rPr>
                <w:rFonts w:ascii="Arial" w:hAnsi="Arial"/>
              </w:rPr>
              <w:t> Českých Budějovicích</w:t>
            </w:r>
          </w:p>
        </w:tc>
      </w:tr>
      <w:tr w:rsidR="0066624A" w:rsidRPr="00C26C12" w14:paraId="3ECF5129" w14:textId="77777777" w:rsidTr="00AB5109">
        <w:trPr>
          <w:trHeight w:val="227"/>
        </w:trPr>
        <w:tc>
          <w:tcPr>
            <w:tcW w:w="534" w:type="dxa"/>
          </w:tcPr>
          <w:p w14:paraId="4E917E1B" w14:textId="77777777" w:rsidR="0066624A" w:rsidRPr="00C26C12" w:rsidRDefault="0066624A" w:rsidP="00C26C12">
            <w:pPr>
              <w:spacing w:before="120" w:line="240" w:lineRule="atLeast"/>
              <w:jc w:val="both"/>
              <w:rPr>
                <w:rFonts w:ascii="Arial" w:hAnsi="Arial"/>
              </w:rPr>
            </w:pPr>
          </w:p>
        </w:tc>
        <w:tc>
          <w:tcPr>
            <w:tcW w:w="1342" w:type="dxa"/>
          </w:tcPr>
          <w:p w14:paraId="3E9FA401" w14:textId="77777777" w:rsidR="0066624A" w:rsidRPr="00C26C12" w:rsidRDefault="0066624A" w:rsidP="00C26C12">
            <w:pPr>
              <w:spacing w:before="120" w:line="240" w:lineRule="atLeast"/>
              <w:jc w:val="both"/>
              <w:rPr>
                <w:rFonts w:ascii="Arial" w:hAnsi="Arial"/>
              </w:rPr>
            </w:pPr>
          </w:p>
        </w:tc>
        <w:tc>
          <w:tcPr>
            <w:tcW w:w="3086" w:type="dxa"/>
            <w:gridSpan w:val="2"/>
          </w:tcPr>
          <w:p w14:paraId="0D639E2C" w14:textId="3185E5A8" w:rsidR="0066624A" w:rsidRPr="00FC5E46" w:rsidRDefault="0066624A" w:rsidP="005E3467">
            <w:pPr>
              <w:spacing w:before="120" w:line="240" w:lineRule="atLeast"/>
              <w:jc w:val="both"/>
              <w:rPr>
                <w:rFonts w:ascii="Arial" w:hAnsi="Arial"/>
              </w:rPr>
            </w:pPr>
            <w:r>
              <w:rPr>
                <w:rFonts w:ascii="Arial" w:hAnsi="Arial"/>
              </w:rPr>
              <w:t>Oddíl:</w:t>
            </w:r>
            <w:r w:rsidR="0040045C">
              <w:rPr>
                <w:rFonts w:ascii="Arial" w:hAnsi="Arial"/>
              </w:rPr>
              <w:t xml:space="preserve"> C</w:t>
            </w:r>
          </w:p>
        </w:tc>
        <w:tc>
          <w:tcPr>
            <w:tcW w:w="4110" w:type="dxa"/>
          </w:tcPr>
          <w:p w14:paraId="41B7AF5D" w14:textId="579B5E81" w:rsidR="0066624A" w:rsidRDefault="0066624A" w:rsidP="005E3467">
            <w:pPr>
              <w:spacing w:before="120" w:line="240" w:lineRule="atLeast"/>
              <w:jc w:val="both"/>
              <w:rPr>
                <w:rFonts w:ascii="Arial" w:hAnsi="Arial"/>
              </w:rPr>
            </w:pPr>
            <w:r>
              <w:rPr>
                <w:rFonts w:ascii="Arial" w:hAnsi="Arial"/>
              </w:rPr>
              <w:t>Vložka:</w:t>
            </w:r>
            <w:r w:rsidR="00E81B0B">
              <w:rPr>
                <w:rFonts w:ascii="Arial" w:hAnsi="Arial"/>
              </w:rPr>
              <w:t xml:space="preserve"> 11020</w:t>
            </w:r>
          </w:p>
        </w:tc>
      </w:tr>
      <w:tr w:rsidR="00E83553" w:rsidRPr="00C26C12" w14:paraId="6307B1E5" w14:textId="77777777" w:rsidTr="00D838DF">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Pr>
          <w:p w14:paraId="6052C977" w14:textId="0995792C" w:rsidR="00E83553" w:rsidRPr="00C26C12" w:rsidRDefault="00E81B0B" w:rsidP="00C26C12">
            <w:pPr>
              <w:spacing w:before="120" w:line="240" w:lineRule="atLeast"/>
              <w:jc w:val="both"/>
              <w:rPr>
                <w:rFonts w:ascii="Arial" w:hAnsi="Arial"/>
              </w:rPr>
            </w:pPr>
            <w:r>
              <w:rPr>
                <w:rFonts w:ascii="Arial" w:hAnsi="Arial"/>
              </w:rPr>
              <w:t>260 46 440</w:t>
            </w:r>
          </w:p>
        </w:tc>
      </w:tr>
      <w:tr w:rsidR="00E83553" w:rsidRPr="00C26C12" w14:paraId="76642D40" w14:textId="77777777" w:rsidTr="00D838DF">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Pr>
          <w:p w14:paraId="0E1929C5" w14:textId="76376F84" w:rsidR="00E83553" w:rsidRPr="00C26C12" w:rsidRDefault="00D838DF" w:rsidP="00E81B0B">
            <w:pPr>
              <w:spacing w:before="120" w:line="240" w:lineRule="atLeast"/>
              <w:jc w:val="both"/>
              <w:rPr>
                <w:rFonts w:ascii="Arial" w:hAnsi="Arial"/>
              </w:rPr>
            </w:pPr>
            <w:r>
              <w:rPr>
                <w:rFonts w:ascii="Arial" w:hAnsi="Arial"/>
              </w:rPr>
              <w:t>CZ</w:t>
            </w:r>
            <w:r w:rsidR="00312CEE">
              <w:rPr>
                <w:rFonts w:ascii="Arial" w:hAnsi="Arial"/>
              </w:rPr>
              <w:t>7</w:t>
            </w:r>
            <w:r w:rsidR="00E81B0B">
              <w:rPr>
                <w:rFonts w:ascii="Arial" w:hAnsi="Arial"/>
              </w:rPr>
              <w:t>26046400</w:t>
            </w:r>
          </w:p>
        </w:tc>
      </w:tr>
      <w:tr w:rsidR="00E83553" w:rsidRPr="00C26C12" w14:paraId="0F3FA14B" w14:textId="77777777" w:rsidTr="00D838DF">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0EDB5459" w14:textId="44F846EF" w:rsidR="00E83553" w:rsidRPr="00C26C12" w:rsidRDefault="00E81B0B" w:rsidP="00E81B0B">
            <w:pPr>
              <w:spacing w:before="120" w:line="240" w:lineRule="atLeast"/>
              <w:jc w:val="both"/>
              <w:rPr>
                <w:rFonts w:ascii="Arial" w:hAnsi="Arial"/>
              </w:rPr>
            </w:pPr>
            <w:r>
              <w:rPr>
                <w:rFonts w:ascii="Arial" w:hAnsi="Arial"/>
              </w:rPr>
              <w:t>Komerční banka</w:t>
            </w:r>
            <w:r w:rsidR="00312CEE">
              <w:rPr>
                <w:rFonts w:ascii="Arial" w:hAnsi="Arial"/>
              </w:rPr>
              <w:t>, a.s.</w:t>
            </w:r>
          </w:p>
        </w:tc>
      </w:tr>
      <w:tr w:rsidR="00E83553" w:rsidRPr="00C26C12" w14:paraId="20E43551" w14:textId="77777777" w:rsidTr="00D838DF">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6A0019A1" w14:textId="1CC7FC63" w:rsidR="00E83553" w:rsidRPr="00C26C12" w:rsidRDefault="00E81B0B" w:rsidP="00E81B0B">
            <w:pPr>
              <w:spacing w:before="120" w:line="240" w:lineRule="atLeast"/>
              <w:jc w:val="both"/>
              <w:rPr>
                <w:rFonts w:ascii="Arial" w:hAnsi="Arial"/>
              </w:rPr>
            </w:pPr>
            <w:r>
              <w:rPr>
                <w:rFonts w:ascii="Arial" w:hAnsi="Arial"/>
              </w:rPr>
              <w:t>27-6726230267</w:t>
            </w:r>
            <w:r w:rsidR="00312CEE">
              <w:rPr>
                <w:rFonts w:ascii="Arial" w:hAnsi="Arial"/>
              </w:rPr>
              <w:t>/0</w:t>
            </w:r>
            <w:r>
              <w:rPr>
                <w:rFonts w:ascii="Arial" w:hAnsi="Arial"/>
              </w:rPr>
              <w:t>1</w:t>
            </w:r>
            <w:r w:rsidR="00312CEE">
              <w:rPr>
                <w:rFonts w:ascii="Arial" w:hAnsi="Arial"/>
              </w:rPr>
              <w:t>00</w:t>
            </w:r>
          </w:p>
        </w:tc>
      </w:tr>
    </w:tbl>
    <w:p w14:paraId="6DDE399E" w14:textId="5D248427" w:rsidR="00F22F80" w:rsidRDefault="00AB5109" w:rsidP="00AB5109">
      <w:pPr>
        <w:tabs>
          <w:tab w:val="left" w:pos="6540"/>
        </w:tabs>
        <w:spacing w:before="120" w:line="240" w:lineRule="atLeast"/>
        <w:jc w:val="both"/>
        <w:rPr>
          <w:rFonts w:ascii="Arial" w:hAnsi="Arial"/>
        </w:rPr>
      </w:pPr>
      <w:r>
        <w:rPr>
          <w:rFonts w:ascii="Arial" w:hAnsi="Arial"/>
        </w:rPr>
        <w:tab/>
      </w: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proofErr w:type="gramStart"/>
            <w:r w:rsidRPr="00C26C12">
              <w:rPr>
                <w:rFonts w:ascii="Arial" w:hAnsi="Arial"/>
              </w:rPr>
              <w:t>I.3.</w:t>
            </w:r>
            <w:proofErr w:type="gramEnd"/>
          </w:p>
        </w:tc>
        <w:tc>
          <w:tcPr>
            <w:tcW w:w="5670" w:type="dxa"/>
            <w:gridSpan w:val="2"/>
          </w:tcPr>
          <w:p w14:paraId="40F9FF0B" w14:textId="0EB6395E" w:rsidR="00E83553" w:rsidRPr="00C26C12" w:rsidRDefault="00E83553" w:rsidP="00B23411">
            <w:pPr>
              <w:spacing w:before="120" w:line="240" w:lineRule="atLeast"/>
              <w:jc w:val="both"/>
              <w:rPr>
                <w:rFonts w:ascii="Arial" w:hAnsi="Arial"/>
              </w:rPr>
            </w:pPr>
            <w:r w:rsidRPr="00C26C12">
              <w:rPr>
                <w:rFonts w:ascii="Arial" w:hAnsi="Arial" w:cs="Arial"/>
              </w:rPr>
              <w:t>Kontaktní osob</w:t>
            </w:r>
            <w:r w:rsidR="00B23411">
              <w:rPr>
                <w:rFonts w:ascii="Arial" w:hAnsi="Arial" w:cs="Arial"/>
              </w:rPr>
              <w:t>y</w:t>
            </w:r>
            <w:r w:rsidRPr="00C26C12">
              <w:rPr>
                <w:rFonts w:ascii="Arial" w:hAnsi="Arial" w:cs="Arial"/>
              </w:rPr>
              <w:t xml:space="preserve"> ve věcech technických za objednatele</w:t>
            </w:r>
            <w:r w:rsidR="00CC6779" w:rsidRPr="00C26C12">
              <w:rPr>
                <w:rFonts w:ascii="Arial" w:hAnsi="Arial" w:cs="Arial"/>
              </w:rPr>
              <w:t>:</w:t>
            </w:r>
          </w:p>
        </w:tc>
        <w:tc>
          <w:tcPr>
            <w:tcW w:w="2835" w:type="dxa"/>
          </w:tcPr>
          <w:p w14:paraId="51BA265B" w14:textId="77777777" w:rsidR="00E83553" w:rsidRPr="00C26C12" w:rsidRDefault="00CC6779" w:rsidP="00C26C12">
            <w:pPr>
              <w:spacing w:before="120" w:line="240" w:lineRule="atLeast"/>
              <w:jc w:val="both"/>
              <w:rPr>
                <w:rFonts w:ascii="Arial" w:hAnsi="Arial"/>
              </w:rPr>
            </w:pPr>
            <w:r w:rsidRPr="00E30460">
              <w:rPr>
                <w:rFonts w:ascii="Arial" w:hAnsi="Arial"/>
              </w:rPr>
              <w:t>Bc. Ondřej Stránský</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7D771963" w:rsidR="005B4269" w:rsidRPr="00C26C12" w:rsidRDefault="00704323" w:rsidP="00E81B0B">
            <w:pPr>
              <w:spacing w:before="120" w:line="240" w:lineRule="atLeast"/>
              <w:jc w:val="both"/>
              <w:rPr>
                <w:rFonts w:ascii="Arial" w:hAnsi="Arial"/>
              </w:rPr>
            </w:pPr>
            <w:r>
              <w:rPr>
                <w:rFonts w:ascii="Arial" w:hAnsi="Arial"/>
              </w:rPr>
              <w:t xml:space="preserve">Ing. </w:t>
            </w:r>
            <w:r w:rsidR="00E81B0B">
              <w:rPr>
                <w:rFonts w:ascii="Arial" w:hAnsi="Arial"/>
              </w:rPr>
              <w:t>Vít Dolejší</w:t>
            </w:r>
          </w:p>
        </w:tc>
      </w:tr>
      <w:tr w:rsidR="00E83553" w:rsidRPr="00C26C12" w14:paraId="08DD958D" w14:textId="77777777" w:rsidTr="00E34BF9">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Pr>
          <w:p w14:paraId="28F2E23A" w14:textId="77C506D4" w:rsidR="00E83553" w:rsidRPr="00C26C12" w:rsidRDefault="00E81B0B" w:rsidP="00C26C12">
            <w:pPr>
              <w:spacing w:before="120" w:line="240" w:lineRule="atLeast"/>
              <w:jc w:val="both"/>
              <w:rPr>
                <w:rFonts w:ascii="Arial" w:hAnsi="Arial"/>
              </w:rPr>
            </w:pPr>
            <w:r>
              <w:rPr>
                <w:rFonts w:ascii="Arial" w:hAnsi="Arial"/>
              </w:rPr>
              <w:t>Dominik Maršík</w:t>
            </w:r>
          </w:p>
        </w:tc>
      </w:tr>
    </w:tbl>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5176FC70" w14:textId="1B893132" w:rsidR="00312CEE" w:rsidRPr="001D7EE2" w:rsidRDefault="008A5644" w:rsidP="008A5644">
      <w:pPr>
        <w:pStyle w:val="Odstavecseseznamem"/>
        <w:ind w:left="574"/>
        <w:jc w:val="center"/>
        <w:rPr>
          <w:b/>
          <w:sz w:val="24"/>
        </w:rPr>
      </w:pPr>
      <w:r>
        <w:rPr>
          <w:b/>
          <w:sz w:val="24"/>
        </w:rPr>
        <w:t xml:space="preserve">„ </w:t>
      </w:r>
      <w:r w:rsidR="00E81B0B">
        <w:rPr>
          <w:b/>
          <w:sz w:val="24"/>
        </w:rPr>
        <w:t>Matky Boží 17</w:t>
      </w:r>
      <w:r w:rsidR="00312CEE">
        <w:rPr>
          <w:b/>
          <w:sz w:val="24"/>
        </w:rPr>
        <w:t xml:space="preserve">, Jihlava – </w:t>
      </w:r>
      <w:r w:rsidR="00E81B0B">
        <w:rPr>
          <w:b/>
          <w:sz w:val="24"/>
        </w:rPr>
        <w:t>Oprava plynové kotelny</w:t>
      </w:r>
      <w:r>
        <w:rPr>
          <w:b/>
          <w:sz w:val="24"/>
        </w:rPr>
        <w:t xml:space="preserve"> „</w:t>
      </w:r>
    </w:p>
    <w:p w14:paraId="25753947" w14:textId="77777777" w:rsidR="004B041E" w:rsidRPr="00E66807" w:rsidRDefault="004B041E" w:rsidP="00E34BF9">
      <w:pPr>
        <w:pStyle w:val="Bodsmlouvy-21"/>
        <w:numPr>
          <w:ilvl w:val="1"/>
          <w:numId w:val="1"/>
        </w:numPr>
        <w:tabs>
          <w:tab w:val="clear" w:pos="510"/>
        </w:tabs>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4A3B1B21" w14:textId="77777777" w:rsidR="00571839" w:rsidRPr="006F6366" w:rsidRDefault="00571839" w:rsidP="00571839">
      <w:pPr>
        <w:pStyle w:val="Bodsmlouvy-211"/>
        <w:numPr>
          <w:ilvl w:val="2"/>
          <w:numId w:val="1"/>
        </w:numPr>
        <w:tabs>
          <w:tab w:val="left" w:pos="993"/>
        </w:tabs>
        <w:spacing w:before="60"/>
        <w:rPr>
          <w:rFonts w:ascii="Arial" w:hAnsi="Arial" w:cs="Arial"/>
          <w:color w:val="auto"/>
        </w:rPr>
      </w:pPr>
      <w:r w:rsidRPr="006F6366">
        <w:rPr>
          <w:rFonts w:ascii="Arial" w:hAnsi="Arial" w:cs="Arial"/>
          <w:color w:val="auto"/>
        </w:rPr>
        <w:t xml:space="preserve">Projektovou dokumentací pro realizaci stavby zpracovanou </w:t>
      </w:r>
      <w:r>
        <w:rPr>
          <w:rFonts w:ascii="Arial" w:eastAsia="Arial" w:hAnsi="Arial" w:cs="Arial"/>
          <w:szCs w:val="22"/>
        </w:rPr>
        <w:t xml:space="preserve">spol. DP projekt s.r.o., </w:t>
      </w:r>
      <w:proofErr w:type="spellStart"/>
      <w:r>
        <w:rPr>
          <w:rFonts w:ascii="Arial" w:eastAsia="Arial" w:hAnsi="Arial" w:cs="Arial"/>
          <w:szCs w:val="22"/>
        </w:rPr>
        <w:t>Šlezingerova</w:t>
      </w:r>
      <w:proofErr w:type="spellEnd"/>
      <w:r>
        <w:rPr>
          <w:rFonts w:ascii="Arial" w:eastAsia="Arial" w:hAnsi="Arial" w:cs="Arial"/>
          <w:szCs w:val="22"/>
        </w:rPr>
        <w:t xml:space="preserve"> 340/6, 586 01 Jihlava</w:t>
      </w:r>
      <w:r w:rsidRPr="006F6366">
        <w:rPr>
          <w:rFonts w:ascii="Arial" w:hAnsi="Arial" w:cs="Arial"/>
          <w:color w:val="auto"/>
        </w:rPr>
        <w:t>.</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7A9CB21E" w14:textId="34A5E5BD" w:rsidR="00D838DF" w:rsidRDefault="00A05EFD" w:rsidP="00BD3AA3">
      <w:pPr>
        <w:pStyle w:val="Bodsmlouvy-211"/>
        <w:numPr>
          <w:ilvl w:val="2"/>
          <w:numId w:val="2"/>
        </w:numPr>
        <w:tabs>
          <w:tab w:val="clear" w:pos="1146"/>
          <w:tab w:val="left" w:pos="993"/>
        </w:tabs>
        <w:spacing w:before="60"/>
        <w:ind w:left="993" w:hanging="426"/>
        <w:jc w:val="left"/>
        <w:rPr>
          <w:rFonts w:ascii="Arial" w:hAnsi="Arial" w:cs="Arial"/>
          <w:color w:val="auto"/>
        </w:rPr>
      </w:pPr>
      <w:r w:rsidRPr="00D838DF">
        <w:rPr>
          <w:rFonts w:ascii="Arial" w:hAnsi="Arial" w:cs="Arial"/>
          <w:color w:val="auto"/>
        </w:rPr>
        <w:t>Podmínkami výzvy ze dne</w:t>
      </w:r>
      <w:r w:rsidR="00D838DF" w:rsidRPr="00D838DF">
        <w:rPr>
          <w:rFonts w:ascii="Arial" w:hAnsi="Arial" w:cs="Arial"/>
          <w:color w:val="auto"/>
        </w:rPr>
        <w:t xml:space="preserve"> </w:t>
      </w:r>
      <w:proofErr w:type="gramStart"/>
      <w:r w:rsidR="00571839">
        <w:rPr>
          <w:rFonts w:ascii="Arial" w:hAnsi="Arial" w:cs="Arial"/>
          <w:color w:val="auto"/>
        </w:rPr>
        <w:t>17</w:t>
      </w:r>
      <w:r w:rsidR="00D838DF" w:rsidRPr="00D838DF">
        <w:rPr>
          <w:rFonts w:ascii="Arial" w:hAnsi="Arial" w:cs="Arial"/>
          <w:color w:val="auto"/>
        </w:rPr>
        <w:t>.</w:t>
      </w:r>
      <w:r w:rsidR="00571839">
        <w:rPr>
          <w:rFonts w:ascii="Arial" w:hAnsi="Arial" w:cs="Arial"/>
          <w:color w:val="auto"/>
        </w:rPr>
        <w:t>5</w:t>
      </w:r>
      <w:r w:rsidR="00D838DF" w:rsidRPr="00D838DF">
        <w:rPr>
          <w:rFonts w:ascii="Arial" w:hAnsi="Arial" w:cs="Arial"/>
          <w:color w:val="auto"/>
        </w:rPr>
        <w:t>.202</w:t>
      </w:r>
      <w:r w:rsidR="00FC5E46">
        <w:rPr>
          <w:rFonts w:ascii="Arial" w:hAnsi="Arial" w:cs="Arial"/>
          <w:color w:val="auto"/>
        </w:rPr>
        <w:t>4</w:t>
      </w:r>
      <w:proofErr w:type="gramEnd"/>
    </w:p>
    <w:p w14:paraId="4C863160" w14:textId="17021363" w:rsidR="00D838DF" w:rsidRPr="00D838DF" w:rsidRDefault="00A55DCB" w:rsidP="00BD3AA3">
      <w:pPr>
        <w:pStyle w:val="Bodsmlouvy-211"/>
        <w:numPr>
          <w:ilvl w:val="2"/>
          <w:numId w:val="2"/>
        </w:numPr>
        <w:tabs>
          <w:tab w:val="clear" w:pos="1146"/>
          <w:tab w:val="left" w:pos="993"/>
        </w:tabs>
        <w:spacing w:before="60"/>
        <w:ind w:left="993" w:hanging="426"/>
        <w:jc w:val="left"/>
        <w:rPr>
          <w:rFonts w:ascii="Arial" w:hAnsi="Arial" w:cs="Arial"/>
          <w:color w:val="auto"/>
        </w:rPr>
      </w:pPr>
      <w:r w:rsidRPr="00D838DF">
        <w:rPr>
          <w:rFonts w:ascii="Arial" w:hAnsi="Arial" w:cs="Arial"/>
          <w:color w:val="auto"/>
        </w:rPr>
        <w:t>Nabídkou zhotovitele ze dne</w:t>
      </w:r>
      <w:r w:rsidR="00D838DF" w:rsidRPr="00D838DF">
        <w:rPr>
          <w:rFonts w:ascii="Arial" w:hAnsi="Arial" w:cs="Arial"/>
          <w:color w:val="auto"/>
        </w:rPr>
        <w:t xml:space="preserve"> </w:t>
      </w:r>
      <w:proofErr w:type="gramStart"/>
      <w:r w:rsidR="00452D71">
        <w:rPr>
          <w:rFonts w:ascii="Arial" w:hAnsi="Arial" w:cs="Arial"/>
          <w:color w:val="auto"/>
        </w:rPr>
        <w:t>29</w:t>
      </w:r>
      <w:r w:rsidR="00D838DF" w:rsidRPr="00D838DF">
        <w:rPr>
          <w:rFonts w:ascii="Arial" w:hAnsi="Arial" w:cs="Arial"/>
          <w:color w:val="auto"/>
        </w:rPr>
        <w:t>.</w:t>
      </w:r>
      <w:r w:rsidR="00E46CA4">
        <w:rPr>
          <w:rFonts w:ascii="Arial" w:hAnsi="Arial" w:cs="Arial"/>
          <w:color w:val="auto"/>
        </w:rPr>
        <w:t>5</w:t>
      </w:r>
      <w:r w:rsidR="00D838DF" w:rsidRPr="00D838DF">
        <w:rPr>
          <w:rFonts w:ascii="Arial" w:hAnsi="Arial" w:cs="Arial"/>
          <w:color w:val="auto"/>
        </w:rPr>
        <w:t>.202</w:t>
      </w:r>
      <w:r w:rsidR="00FC5E46">
        <w:rPr>
          <w:rFonts w:ascii="Arial" w:hAnsi="Arial" w:cs="Arial"/>
          <w:color w:val="auto"/>
        </w:rPr>
        <w:t>4</w:t>
      </w:r>
      <w:proofErr w:type="gramEnd"/>
      <w:r w:rsidR="00D838DF" w:rsidRPr="00D838DF">
        <w:rPr>
          <w:rFonts w:ascii="Arial" w:hAnsi="Arial" w:cs="Arial"/>
          <w:color w:val="auto"/>
        </w:rPr>
        <w:t>.</w:t>
      </w:r>
    </w:p>
    <w:p w14:paraId="0B0274FD" w14:textId="5D8182DD" w:rsidR="00ED561F" w:rsidRPr="00D838DF" w:rsidRDefault="000A3B68" w:rsidP="00BF3479">
      <w:pPr>
        <w:pStyle w:val="Bodsmlouvy-211"/>
        <w:numPr>
          <w:ilvl w:val="2"/>
          <w:numId w:val="2"/>
        </w:numPr>
        <w:tabs>
          <w:tab w:val="clear" w:pos="1146"/>
          <w:tab w:val="left" w:pos="993"/>
        </w:tabs>
        <w:spacing w:before="60"/>
        <w:ind w:left="993" w:hanging="426"/>
        <w:jc w:val="left"/>
        <w:rPr>
          <w:rFonts w:ascii="Arial" w:hAnsi="Arial" w:cs="Arial"/>
          <w:color w:val="auto"/>
        </w:rPr>
      </w:pPr>
      <w:r w:rsidRPr="00D838DF">
        <w:rPr>
          <w:rFonts w:ascii="Arial" w:hAnsi="Arial" w:cs="Arial"/>
          <w:color w:val="auto"/>
        </w:rPr>
        <w:t>Touto smlouvou o dílo.</w:t>
      </w:r>
      <w:r w:rsidR="0026518C" w:rsidRPr="00D838DF">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lastRenderedPageBreak/>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33DD3EBD" w14:textId="26DD392C" w:rsidR="000B2BB3" w:rsidRPr="00503F4D" w:rsidRDefault="000B2BB3" w:rsidP="000B2BB3">
      <w:pPr>
        <w:pStyle w:val="Bodsmlouvy-21"/>
        <w:numPr>
          <w:ilvl w:val="1"/>
          <w:numId w:val="1"/>
        </w:numPr>
        <w:tabs>
          <w:tab w:val="clear" w:pos="510"/>
        </w:tabs>
        <w:spacing w:after="60" w:line="100" w:lineRule="atLeast"/>
        <w:ind w:left="567" w:hanging="567"/>
        <w:rPr>
          <w:rFonts w:ascii="Arial" w:hAnsi="Arial" w:cs="Arial"/>
          <w:bCs/>
          <w:szCs w:val="22"/>
        </w:rPr>
      </w:pPr>
      <w:r w:rsidRPr="00503F4D">
        <w:rPr>
          <w:rFonts w:ascii="Arial" w:hAnsi="Arial" w:cs="Arial"/>
          <w:color w:val="auto"/>
        </w:rPr>
        <w:t xml:space="preserve">Stavba bude realizována za </w:t>
      </w:r>
      <w:r>
        <w:rPr>
          <w:rFonts w:ascii="Arial" w:hAnsi="Arial" w:cs="Arial"/>
          <w:color w:val="auto"/>
        </w:rPr>
        <w:t>omezeného</w:t>
      </w:r>
      <w:r w:rsidRPr="00503F4D">
        <w:rPr>
          <w:rFonts w:ascii="Arial" w:hAnsi="Arial" w:cs="Arial"/>
          <w:color w:val="auto"/>
        </w:rPr>
        <w:t xml:space="preserve"> provozu</w:t>
      </w:r>
      <w:r>
        <w:rPr>
          <w:rFonts w:ascii="Arial" w:hAnsi="Arial" w:cs="Arial"/>
          <w:color w:val="auto"/>
        </w:rPr>
        <w:t xml:space="preserve"> plynové kotelny</w:t>
      </w:r>
      <w:r w:rsidRPr="00503F4D">
        <w:rPr>
          <w:rFonts w:ascii="Arial" w:hAnsi="Arial" w:cs="Arial"/>
          <w:color w:val="auto"/>
        </w:rPr>
        <w:t>. Veškeré stavební a montážní práce budou předem konzultovány s</w:t>
      </w:r>
      <w:r>
        <w:rPr>
          <w:rFonts w:ascii="Arial" w:hAnsi="Arial" w:cs="Arial"/>
          <w:color w:val="auto"/>
        </w:rPr>
        <w:t> </w:t>
      </w:r>
      <w:r w:rsidRPr="00503F4D">
        <w:rPr>
          <w:rFonts w:ascii="Arial" w:hAnsi="Arial" w:cs="Arial"/>
          <w:color w:val="auto"/>
        </w:rPr>
        <w:t>nájemcem</w:t>
      </w:r>
      <w:r>
        <w:rPr>
          <w:rFonts w:ascii="Arial" w:hAnsi="Arial" w:cs="Arial"/>
          <w:color w:val="auto"/>
        </w:rPr>
        <w:t xml:space="preserve"> a provozovatelem</w:t>
      </w:r>
      <w:r w:rsidRPr="00503F4D">
        <w:rPr>
          <w:rFonts w:ascii="Arial" w:hAnsi="Arial" w:cs="Arial"/>
          <w:color w:val="auto"/>
        </w:rPr>
        <w:t xml:space="preserve"> – </w:t>
      </w:r>
      <w:r>
        <w:rPr>
          <w:rFonts w:ascii="Arial" w:hAnsi="Arial" w:cs="Arial"/>
          <w:bCs/>
          <w:szCs w:val="22"/>
        </w:rPr>
        <w:t>JIHLAVSKÉ KOTELNY s.r.o., Havlíčkova 2331</w:t>
      </w:r>
      <w:r w:rsidRPr="00503F4D">
        <w:rPr>
          <w:rFonts w:ascii="Arial" w:hAnsi="Arial" w:cs="Arial"/>
          <w:bCs/>
          <w:szCs w:val="22"/>
        </w:rPr>
        <w:t>/</w:t>
      </w:r>
      <w:r>
        <w:rPr>
          <w:rFonts w:ascii="Arial" w:hAnsi="Arial" w:cs="Arial"/>
          <w:bCs/>
          <w:szCs w:val="22"/>
        </w:rPr>
        <w:t>111</w:t>
      </w:r>
      <w:r w:rsidRPr="00503F4D">
        <w:rPr>
          <w:rFonts w:ascii="Arial" w:hAnsi="Arial" w:cs="Arial"/>
          <w:bCs/>
          <w:szCs w:val="22"/>
        </w:rPr>
        <w:t xml:space="preserve">, 586 01 Jihlava, IČO: </w:t>
      </w:r>
      <w:r>
        <w:rPr>
          <w:rFonts w:ascii="Arial" w:hAnsi="Arial" w:cs="Arial"/>
          <w:bCs/>
          <w:szCs w:val="22"/>
        </w:rPr>
        <w:t>607 30 820</w:t>
      </w:r>
      <w:r w:rsidRPr="00503F4D">
        <w:rPr>
          <w:rFonts w:ascii="Arial" w:hAnsi="Arial" w:cs="Arial"/>
          <w:bCs/>
          <w:szCs w:val="22"/>
        </w:rPr>
        <w:t xml:space="preserve">, </w:t>
      </w:r>
      <w:r>
        <w:rPr>
          <w:rFonts w:ascii="Arial" w:hAnsi="Arial" w:cs="Arial"/>
          <w:bCs/>
          <w:szCs w:val="22"/>
        </w:rPr>
        <w:t>zástupce -</w:t>
      </w:r>
      <w:r w:rsidRPr="00503F4D">
        <w:rPr>
          <w:rFonts w:ascii="Arial" w:hAnsi="Arial" w:cs="Arial"/>
          <w:bCs/>
          <w:szCs w:val="22"/>
        </w:rPr>
        <w:t xml:space="preserve"> vedoucí </w:t>
      </w:r>
      <w:r>
        <w:rPr>
          <w:rFonts w:ascii="Arial" w:hAnsi="Arial" w:cs="Arial"/>
          <w:bCs/>
          <w:szCs w:val="22"/>
        </w:rPr>
        <w:t>technického úseku, Ing. Pavel Rychetský</w:t>
      </w:r>
      <w:r w:rsidRPr="00503F4D">
        <w:rPr>
          <w:rFonts w:ascii="Arial" w:hAnsi="Arial" w:cs="Arial"/>
          <w:bCs/>
          <w:szCs w:val="22"/>
        </w:rPr>
        <w:t xml:space="preserve">, </w:t>
      </w:r>
      <w:r>
        <w:rPr>
          <w:rFonts w:ascii="Arial" w:hAnsi="Arial" w:cs="Arial"/>
          <w:bCs/>
          <w:szCs w:val="22"/>
        </w:rPr>
        <w:t>tel. 603 105 678</w:t>
      </w:r>
      <w:r w:rsidRPr="00503F4D">
        <w:rPr>
          <w:rFonts w:ascii="Arial" w:hAnsi="Arial" w:cs="Arial"/>
          <w:bCs/>
          <w:szCs w:val="22"/>
        </w:rPr>
        <w:t xml:space="preserve">, </w:t>
      </w:r>
      <w:r>
        <w:rPr>
          <w:rFonts w:ascii="Arial" w:hAnsi="Arial" w:cs="Arial"/>
          <w:bCs/>
          <w:szCs w:val="22"/>
        </w:rPr>
        <w:t>email:</w:t>
      </w:r>
      <w:r w:rsidRPr="00503F4D">
        <w:rPr>
          <w:rFonts w:ascii="Arial" w:hAnsi="Arial" w:cs="Arial"/>
          <w:bCs/>
          <w:szCs w:val="22"/>
        </w:rPr>
        <w:t xml:space="preserve"> </w:t>
      </w:r>
      <w:r w:rsidR="00F85C43">
        <w:rPr>
          <w:rFonts w:ascii="Arial" w:hAnsi="Arial" w:cs="Arial"/>
          <w:bCs/>
          <w:szCs w:val="22"/>
        </w:rPr>
        <w:t>rychetsky</w:t>
      </w:r>
      <w:r w:rsidR="00F85C43" w:rsidRPr="00503F4D">
        <w:rPr>
          <w:rFonts w:ascii="Arial" w:hAnsi="Arial" w:cs="Arial"/>
          <w:bCs/>
          <w:szCs w:val="22"/>
        </w:rPr>
        <w:t>@</w:t>
      </w:r>
      <w:r w:rsidR="00F85C43">
        <w:rPr>
          <w:rFonts w:ascii="Arial" w:hAnsi="Arial" w:cs="Arial"/>
          <w:bCs/>
          <w:szCs w:val="22"/>
        </w:rPr>
        <w:t>kotelny.cz</w:t>
      </w:r>
      <w:r w:rsidRPr="00503F4D">
        <w:rPr>
          <w:rFonts w:ascii="Arial" w:hAnsi="Arial" w:cs="Arial"/>
          <w:bCs/>
          <w:szCs w:val="22"/>
        </w:rPr>
        <w:t>.</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w:t>
      </w:r>
      <w:proofErr w:type="spellStart"/>
      <w:r w:rsidRPr="003542AA">
        <w:rPr>
          <w:rFonts w:cs="Arial"/>
        </w:rPr>
        <w:t>nacenění</w:t>
      </w:r>
      <w:proofErr w:type="spellEnd"/>
      <w:r w:rsidRPr="003542AA">
        <w:rPr>
          <w:rFonts w:cs="Arial"/>
        </w:rPr>
        <w:t xml:space="preserve"> v jednotkových cenách dle pravidel uvedených </w:t>
      </w:r>
      <w:r w:rsidR="00E417F1" w:rsidRPr="003542AA">
        <w:rPr>
          <w:rFonts w:cs="Arial"/>
        </w:rPr>
        <w:t xml:space="preserve">v čl. IV.2. – </w:t>
      </w:r>
      <w:proofErr w:type="gramStart"/>
      <w:r w:rsidR="00E417F1" w:rsidRPr="003542AA">
        <w:rPr>
          <w:rFonts w:cs="Arial"/>
        </w:rPr>
        <w:t>IV.4. této</w:t>
      </w:r>
      <w:proofErr w:type="gramEnd"/>
      <w:r w:rsidR="00E417F1" w:rsidRPr="003542AA">
        <w:rPr>
          <w:rFonts w:cs="Arial"/>
        </w:rPr>
        <w:t xml:space="preserve">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1E80C68F"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lastRenderedPageBreak/>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w:t>
      </w:r>
      <w:r w:rsidR="00880EEB">
        <w:rPr>
          <w:rFonts w:ascii="Arial" w:hAnsi="Arial" w:cs="Arial"/>
        </w:rPr>
        <w:t>ající závazku zhotovitele uvedeného v této smlouvě.</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B23411">
      <w:pPr>
        <w:pStyle w:val="lnek"/>
        <w:numPr>
          <w:ilvl w:val="0"/>
          <w:numId w:val="32"/>
        </w:numPr>
        <w:spacing w:after="180"/>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08021416" w:rsidR="00816E2D" w:rsidRPr="00DC6DC8" w:rsidRDefault="00DC6DC8" w:rsidP="00DC6DC8">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Pr>
          <w:rFonts w:ascii="Arial" w:hAnsi="Arial" w:cs="Arial"/>
        </w:rPr>
        <w:t>budou zahájeny: dnem předání a převzetí staveniště po nabytí účinnosti této smlouvy (</w:t>
      </w:r>
      <w:r w:rsidR="00D979EB" w:rsidRPr="00D979EB">
        <w:rPr>
          <w:rFonts w:ascii="Arial" w:hAnsi="Arial" w:cs="Arial"/>
          <w:b/>
        </w:rPr>
        <w:t>červen/</w:t>
      </w:r>
      <w:r w:rsidR="00F15688">
        <w:rPr>
          <w:rFonts w:ascii="Arial" w:hAnsi="Arial" w:cs="Arial"/>
          <w:b/>
        </w:rPr>
        <w:t xml:space="preserve">červenec </w:t>
      </w:r>
      <w:r w:rsidRPr="002C3B11">
        <w:rPr>
          <w:rFonts w:ascii="Arial" w:hAnsi="Arial" w:cs="Arial"/>
          <w:b/>
        </w:rPr>
        <w:t>202</w:t>
      </w:r>
      <w:r w:rsidR="00FC5E46">
        <w:rPr>
          <w:rFonts w:ascii="Arial" w:hAnsi="Arial" w:cs="Arial"/>
          <w:b/>
        </w:rPr>
        <w:t>4</w:t>
      </w:r>
      <w:r>
        <w:rPr>
          <w:rFonts w:ascii="Arial" w:hAnsi="Arial" w:cs="Arial"/>
        </w:rPr>
        <w:t>).</w:t>
      </w:r>
    </w:p>
    <w:p w14:paraId="23ABE723" w14:textId="3BC80F1F"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F15688" w:rsidRPr="00F32162">
        <w:rPr>
          <w:rFonts w:ascii="Arial" w:hAnsi="Arial" w:cs="Arial"/>
          <w:b/>
          <w:bCs/>
        </w:rPr>
        <w:t xml:space="preserve">do </w:t>
      </w:r>
      <w:r w:rsidR="00F15688">
        <w:rPr>
          <w:rFonts w:ascii="Arial" w:hAnsi="Arial" w:cs="Arial"/>
          <w:b/>
          <w:bCs/>
        </w:rPr>
        <w:t>75ti dní ode dne předání staveniště</w:t>
      </w:r>
    </w:p>
    <w:p w14:paraId="14CEFB3D" w14:textId="77777777" w:rsidR="00816E2D" w:rsidRPr="00B815B8" w:rsidRDefault="00B815B8" w:rsidP="0073680B">
      <w:pPr>
        <w:pStyle w:val="Bodsmlouvy-21"/>
        <w:numPr>
          <w:ilvl w:val="0"/>
          <w:numId w:val="0"/>
        </w:numPr>
        <w:spacing w:after="120"/>
        <w:ind w:left="567"/>
        <w:rPr>
          <w:rFonts w:ascii="Arial" w:hAnsi="Arial"/>
          <w:b/>
        </w:rPr>
      </w:pPr>
      <w:r>
        <w:rPr>
          <w:rFonts w:ascii="Arial" w:hAnsi="Arial" w:cs="Arial"/>
          <w:bCs/>
        </w:rPr>
        <w:t xml:space="preserve">Zhotovitel je povinen staveniště převzít ve lhůtě </w:t>
      </w:r>
      <w:r w:rsidRPr="00B815B8">
        <w:rPr>
          <w:rFonts w:ascii="Arial" w:hAnsi="Arial" w:cs="Arial"/>
          <w:bCs/>
        </w:rPr>
        <w:t>do 14 kalendářních dnů od doručení výzvy k převzetí staveniště ze strany objednatele</w:t>
      </w:r>
      <w:r w:rsidR="00BA781F">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6C706CB0"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 xml:space="preserve">O předání </w:t>
      </w:r>
      <w:r w:rsidR="00880EEB">
        <w:rPr>
          <w:rFonts w:ascii="Arial" w:hAnsi="Arial"/>
        </w:rPr>
        <w:br/>
      </w:r>
      <w:r w:rsidR="008900F2" w:rsidRPr="00B44B07">
        <w:rPr>
          <w:rFonts w:ascii="Arial" w:hAnsi="Arial"/>
        </w:rPr>
        <w:t>a převzetí staveniště bude sepsán protokol.</w:t>
      </w:r>
    </w:p>
    <w:p w14:paraId="3BCB84DA" w14:textId="77777777"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w:t>
      </w:r>
      <w:proofErr w:type="spellStart"/>
      <w:r w:rsidR="00660CDD" w:rsidRPr="005F1852">
        <w:rPr>
          <w:rFonts w:ascii="Arial" w:hAnsi="Arial"/>
        </w:rPr>
        <w:t>ust</w:t>
      </w:r>
      <w:proofErr w:type="spellEnd"/>
      <w:r w:rsidR="00660CDD" w:rsidRPr="005F1852">
        <w:rPr>
          <w:rFonts w:ascii="Arial" w:hAnsi="Arial"/>
        </w:rPr>
        <w:t>. § 157</w:t>
      </w:r>
      <w:r w:rsidRPr="00B44B07">
        <w:rPr>
          <w:rFonts w:ascii="Arial" w:hAnsi="Arial"/>
        </w:rPr>
        <w:t xml:space="preserve"> zák</w:t>
      </w:r>
      <w:r w:rsidR="00660CDD">
        <w:rPr>
          <w:rFonts w:ascii="Arial" w:hAnsi="Arial"/>
        </w:rPr>
        <w:t xml:space="preserve">ona </w:t>
      </w:r>
      <w:r w:rsidRPr="00B44B07">
        <w:rPr>
          <w:rFonts w:ascii="Arial" w:hAnsi="Arial"/>
        </w:rPr>
        <w:t>č. 183/2006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lastRenderedPageBreak/>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w:t>
      </w:r>
      <w:proofErr w:type="spellStart"/>
      <w:r w:rsidR="00EF31F2" w:rsidRPr="004F345C">
        <w:rPr>
          <w:rFonts w:ascii="Arial" w:hAnsi="Arial"/>
        </w:rPr>
        <w:t>vyhl</w:t>
      </w:r>
      <w:proofErr w:type="spellEnd"/>
      <w:r w:rsidR="00EF31F2" w:rsidRPr="004F345C">
        <w:rPr>
          <w:rFonts w:ascii="Arial" w:hAnsi="Arial"/>
        </w:rPr>
        <w:t>.</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w:t>
      </w:r>
      <w:proofErr w:type="spellStart"/>
      <w:r w:rsidRPr="00F32162">
        <w:rPr>
          <w:color w:val="000000"/>
        </w:rPr>
        <w:t>ust</w:t>
      </w:r>
      <w:proofErr w:type="spellEnd"/>
      <w:r w:rsidRPr="00F32162">
        <w:rPr>
          <w:color w:val="000000"/>
        </w:rPr>
        <w:t xml:space="preserve">.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objednatel bude požadovat dodatečné zkoušky, které budou mít vliv na lhůtu plnění, a které: nenavazují na předchozí neúspěšné zkoušky nebo zjištění objednatele, 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lastRenderedPageBreak/>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B23411">
      <w:pPr>
        <w:pStyle w:val="lnek"/>
        <w:numPr>
          <w:ilvl w:val="0"/>
          <w:numId w:val="32"/>
        </w:numPr>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06A7E29B" w:rsidR="0003579B" w:rsidRPr="00A53F42" w:rsidRDefault="004B041E" w:rsidP="00E34BF9">
      <w:pPr>
        <w:spacing w:before="120" w:line="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r w:rsidR="00E34BF9">
        <w:rPr>
          <w:rFonts w:ascii="Arial" w:hAnsi="Arial"/>
          <w:b/>
          <w:u w:val="single"/>
        </w:rPr>
        <w:t xml:space="preserve"> </w:t>
      </w:r>
      <w:r w:rsidR="00BA375D">
        <w:rPr>
          <w:rFonts w:ascii="Arial" w:hAnsi="Arial"/>
          <w:b/>
          <w:u w:val="single"/>
        </w:rPr>
        <w:t>1.211</w:t>
      </w:r>
      <w:r w:rsidR="00E34BF9">
        <w:rPr>
          <w:rFonts w:ascii="Arial" w:hAnsi="Arial"/>
          <w:b/>
          <w:u w:val="single"/>
        </w:rPr>
        <w:t>.</w:t>
      </w:r>
      <w:r w:rsidR="00BA375D">
        <w:rPr>
          <w:rFonts w:ascii="Arial" w:hAnsi="Arial"/>
          <w:b/>
          <w:u w:val="single"/>
        </w:rPr>
        <w:t>693</w:t>
      </w:r>
      <w:r w:rsidR="00E34BF9">
        <w:rPr>
          <w:rFonts w:ascii="Arial" w:hAnsi="Arial"/>
          <w:b/>
          <w:u w:val="single"/>
        </w:rPr>
        <w:t>,</w:t>
      </w:r>
      <w:r w:rsidR="00BA375D">
        <w:rPr>
          <w:rFonts w:ascii="Arial" w:hAnsi="Arial"/>
          <w:b/>
          <w:u w:val="single"/>
        </w:rPr>
        <w:t>75</w:t>
      </w:r>
      <w:r w:rsidR="00E34BF9">
        <w:rPr>
          <w:rFonts w:ascii="Arial" w:hAnsi="Arial"/>
          <w:b/>
          <w:u w:val="single"/>
        </w:rPr>
        <w:t xml:space="preserve"> </w:t>
      </w:r>
      <w:r w:rsidR="007504E2">
        <w:rPr>
          <w:rFonts w:ascii="Arial" w:hAnsi="Arial"/>
          <w:b/>
          <w:u w:val="single"/>
        </w:rPr>
        <w:t xml:space="preserve">Kč </w:t>
      </w:r>
    </w:p>
    <w:p w14:paraId="6A7F027C" w14:textId="77777777" w:rsidR="00503F4D" w:rsidRDefault="00503F4D" w:rsidP="00E34BF9">
      <w:pPr>
        <w:spacing w:before="120"/>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04C94878" w14:textId="77777777" w:rsidR="009548FE" w:rsidRPr="00B44B07" w:rsidRDefault="004B041E" w:rsidP="00E34BF9">
      <w:pPr>
        <w:pStyle w:val="Zkladntext"/>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B23411">
      <w:pPr>
        <w:pStyle w:val="lnek"/>
        <w:numPr>
          <w:ilvl w:val="0"/>
          <w:numId w:val="32"/>
        </w:numPr>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w:t>
      </w:r>
      <w:r>
        <w:rPr>
          <w:rFonts w:ascii="Arial" w:hAnsi="Arial"/>
        </w:rPr>
        <w:lastRenderedPageBreak/>
        <w:t xml:space="preserve">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B23411">
      <w:pPr>
        <w:pStyle w:val="lnek"/>
        <w:numPr>
          <w:ilvl w:val="0"/>
          <w:numId w:val="32"/>
        </w:numPr>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znění pozdějších předpisů a </w:t>
      </w:r>
      <w:proofErr w:type="spellStart"/>
      <w:r w:rsidRPr="00C13D1B">
        <w:rPr>
          <w:rFonts w:ascii="Arial" w:hAnsi="Arial" w:cs="Arial"/>
        </w:rPr>
        <w:t>nař</w:t>
      </w:r>
      <w:proofErr w:type="spellEnd"/>
      <w:r w:rsidRPr="00C13D1B">
        <w:rPr>
          <w:rFonts w:ascii="Arial" w:hAnsi="Arial" w:cs="Arial"/>
        </w:rPr>
        <w:t xml:space="preserve">. vlády č. 163/2002 </w:t>
      </w:r>
      <w:proofErr w:type="spellStart"/>
      <w:r w:rsidRPr="00C13D1B">
        <w:rPr>
          <w:rFonts w:ascii="Arial" w:hAnsi="Arial" w:cs="Arial"/>
        </w:rPr>
        <w:t>Sb.,</w:t>
      </w:r>
      <w:r w:rsidR="009D0793" w:rsidRPr="00C13D1B">
        <w:rPr>
          <w:rFonts w:ascii="Arial" w:hAnsi="Arial" w:cs="Arial"/>
        </w:rPr>
        <w:t>o</w:t>
      </w:r>
      <w:proofErr w:type="spellEnd"/>
      <w:r w:rsidR="009D0793" w:rsidRPr="00C13D1B">
        <w:rPr>
          <w:rFonts w:ascii="Arial" w:hAnsi="Arial" w:cs="Arial"/>
        </w:rPr>
        <w:t xml:space="preserve">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Objednatel může převzít předmět díla i v případě, že při přejímce bude mít předmět díla takové vady a nedodělky, které dle objednatele nebrání řádnému užívání </w:t>
      </w:r>
      <w:r w:rsidRPr="003D7602">
        <w:rPr>
          <w:rFonts w:ascii="Arial" w:hAnsi="Arial" w:cs="Arial"/>
        </w:rPr>
        <w:lastRenderedPageBreak/>
        <w:t>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B23411">
      <w:pPr>
        <w:pStyle w:val="lnek"/>
        <w:numPr>
          <w:ilvl w:val="0"/>
          <w:numId w:val="32"/>
        </w:numPr>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0C8F06BA" w14:textId="5041C0C4" w:rsidR="007911B4" w:rsidRPr="00B90654" w:rsidRDefault="00A23382" w:rsidP="00B90654">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p>
    <w:p w14:paraId="6601C7B6" w14:textId="77777777" w:rsidR="00E308EB" w:rsidRPr="00B44B07" w:rsidRDefault="004B041E" w:rsidP="00A471CF">
      <w:pPr>
        <w:pStyle w:val="Bodsmlouvy-21"/>
        <w:numPr>
          <w:ilvl w:val="1"/>
          <w:numId w:val="9"/>
        </w:numPr>
        <w:tabs>
          <w:tab w:val="clear" w:pos="510"/>
        </w:tabs>
        <w:spacing w:before="12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2F63FB2F"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w:t>
      </w:r>
      <w:r w:rsidR="00E17CEE">
        <w:rPr>
          <w:rFonts w:ascii="Arial" w:hAnsi="Arial" w:cs="Arial"/>
        </w:rPr>
        <w:t>ž</w:t>
      </w:r>
      <w:r w:rsidR="00B863B8" w:rsidRPr="00B44B07">
        <w:rPr>
          <w:rFonts w:ascii="Arial" w:hAnsi="Arial" w:cs="Arial"/>
        </w:rPr>
        <w:t xml:space="preserve"> VII. 1</w:t>
      </w:r>
      <w:r w:rsidR="00E17CEE">
        <w:rPr>
          <w:rFonts w:ascii="Arial" w:hAnsi="Arial" w:cs="Arial"/>
        </w:rPr>
        <w:t>5</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lastRenderedPageBreak/>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proofErr w:type="spellStart"/>
      <w:r w:rsidRPr="00D509D8">
        <w:rPr>
          <w:rFonts w:ascii="Arial" w:hAnsi="Arial" w:cs="Arial"/>
        </w:rPr>
        <w:t>ust</w:t>
      </w:r>
      <w:proofErr w:type="spellEnd"/>
      <w:r w:rsidRPr="00D509D8">
        <w:rPr>
          <w:rFonts w:ascii="Arial" w:hAnsi="Arial" w:cs="Arial"/>
        </w:rPr>
        <w: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lastRenderedPageBreak/>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B23411">
      <w:pPr>
        <w:pStyle w:val="lnek"/>
        <w:numPr>
          <w:ilvl w:val="0"/>
          <w:numId w:val="32"/>
        </w:numPr>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5BBF773E" w14:textId="4CB548CF" w:rsidR="00400414" w:rsidRDefault="00400414" w:rsidP="00EF1ABC">
      <w:pPr>
        <w:rPr>
          <w:rFonts w:ascii="Arial" w:hAnsi="Arial"/>
          <w:highlight w:val="yellow"/>
        </w:rPr>
      </w:pPr>
    </w:p>
    <w:p w14:paraId="61B71725" w14:textId="77777777" w:rsidR="00A471CF" w:rsidRDefault="00A471CF" w:rsidP="00EF1ABC">
      <w:pPr>
        <w:rPr>
          <w:rFonts w:ascii="Arial" w:hAnsi="Arial"/>
          <w:highlight w:val="yellow"/>
        </w:rPr>
      </w:pPr>
    </w:p>
    <w:tbl>
      <w:tblPr>
        <w:tblW w:w="0" w:type="auto"/>
        <w:tblLook w:val="04A0" w:firstRow="1" w:lastRow="0" w:firstColumn="1" w:lastColumn="0" w:noHBand="0" w:noVBand="1"/>
      </w:tblPr>
      <w:tblGrid>
        <w:gridCol w:w="4031"/>
        <w:gridCol w:w="841"/>
        <w:gridCol w:w="4200"/>
      </w:tblGrid>
      <w:tr w:rsidR="000C1102" w:rsidRPr="00DB7417" w14:paraId="12A535F7" w14:textId="77777777" w:rsidTr="00100769">
        <w:tc>
          <w:tcPr>
            <w:tcW w:w="4031" w:type="dxa"/>
          </w:tcPr>
          <w:p w14:paraId="77E5EC74" w14:textId="51B028B7" w:rsidR="000C1102" w:rsidRPr="00DB7417" w:rsidRDefault="000C1102" w:rsidP="00FC5E46">
            <w:pPr>
              <w:rPr>
                <w:rFonts w:ascii="Arial" w:eastAsia="Calibri" w:hAnsi="Arial" w:cs="Arial"/>
                <w:color w:val="auto"/>
              </w:rPr>
            </w:pPr>
            <w:r>
              <w:rPr>
                <w:rFonts w:ascii="Arial" w:eastAsia="Calibri" w:hAnsi="Arial" w:cs="Arial"/>
                <w:color w:val="auto"/>
              </w:rPr>
              <w:t xml:space="preserve">V </w:t>
            </w:r>
            <w:r w:rsidRPr="00DB7417">
              <w:rPr>
                <w:rFonts w:ascii="Arial" w:eastAsia="Calibri" w:hAnsi="Arial" w:cs="Arial"/>
                <w:color w:val="auto"/>
              </w:rPr>
              <w:t>Jihlav</w:t>
            </w:r>
            <w:r>
              <w:rPr>
                <w:rFonts w:ascii="Arial" w:eastAsia="Calibri" w:hAnsi="Arial" w:cs="Arial"/>
                <w:color w:val="auto"/>
              </w:rPr>
              <w:t xml:space="preserve">ě dne: </w:t>
            </w:r>
            <w:proofErr w:type="gramStart"/>
            <w:r w:rsidR="00433D19">
              <w:rPr>
                <w:rFonts w:ascii="Arial" w:eastAsia="Calibri" w:hAnsi="Arial" w:cs="Arial"/>
                <w:color w:val="auto"/>
              </w:rPr>
              <w:t>10.6.2024</w:t>
            </w:r>
            <w:proofErr w:type="gramEnd"/>
          </w:p>
        </w:tc>
        <w:tc>
          <w:tcPr>
            <w:tcW w:w="841" w:type="dxa"/>
          </w:tcPr>
          <w:p w14:paraId="4AAD1BB9" w14:textId="77777777" w:rsidR="000C1102" w:rsidRPr="00DB7417" w:rsidRDefault="000C1102" w:rsidP="00100769">
            <w:pPr>
              <w:rPr>
                <w:rFonts w:ascii="Arial" w:eastAsia="Calibri" w:hAnsi="Arial" w:cs="Arial"/>
                <w:color w:val="auto"/>
              </w:rPr>
            </w:pPr>
          </w:p>
        </w:tc>
        <w:tc>
          <w:tcPr>
            <w:tcW w:w="4200" w:type="dxa"/>
          </w:tcPr>
          <w:p w14:paraId="6E0D633E" w14:textId="526309BE" w:rsidR="000C1102" w:rsidRPr="00DB7417" w:rsidRDefault="000C1102" w:rsidP="00CB6612">
            <w:pPr>
              <w:rPr>
                <w:rFonts w:ascii="Arial" w:eastAsia="Calibri" w:hAnsi="Arial" w:cs="Arial"/>
                <w:color w:val="auto"/>
              </w:rPr>
            </w:pPr>
            <w:r>
              <w:rPr>
                <w:rFonts w:ascii="Arial" w:eastAsia="Calibri" w:hAnsi="Arial" w:cs="Arial"/>
                <w:color w:val="auto"/>
              </w:rPr>
              <w:t>V</w:t>
            </w:r>
            <w:r w:rsidR="00E34BF9">
              <w:rPr>
                <w:rFonts w:ascii="Arial" w:eastAsia="Calibri" w:hAnsi="Arial" w:cs="Arial"/>
                <w:color w:val="auto"/>
              </w:rPr>
              <w:t xml:space="preserve"> </w:t>
            </w:r>
            <w:r w:rsidR="00CB6612">
              <w:rPr>
                <w:rFonts w:ascii="Arial" w:eastAsia="Calibri" w:hAnsi="Arial" w:cs="Arial"/>
                <w:color w:val="auto"/>
              </w:rPr>
              <w:t>Českých Budějovicích</w:t>
            </w:r>
            <w:r w:rsidR="00E34BF9">
              <w:rPr>
                <w:rFonts w:ascii="Arial" w:eastAsia="Calibri" w:hAnsi="Arial" w:cs="Arial"/>
                <w:color w:val="auto"/>
              </w:rPr>
              <w:t xml:space="preserve"> dne</w:t>
            </w:r>
            <w:r>
              <w:rPr>
                <w:rFonts w:ascii="Arial" w:eastAsia="Calibri" w:hAnsi="Arial" w:cs="Arial"/>
                <w:color w:val="auto"/>
              </w:rPr>
              <w:t xml:space="preserve">: </w:t>
            </w:r>
            <w:bookmarkStart w:id="0" w:name="_GoBack"/>
            <w:bookmarkEnd w:id="0"/>
            <w:r w:rsidR="00433D19">
              <w:rPr>
                <w:rFonts w:ascii="Arial" w:eastAsia="Calibri" w:hAnsi="Arial" w:cs="Arial"/>
                <w:color w:val="auto"/>
              </w:rPr>
              <w:t>14.6.2024</w:t>
            </w:r>
          </w:p>
        </w:tc>
      </w:tr>
      <w:tr w:rsidR="000C1102" w:rsidRPr="00DB7417" w14:paraId="50E55906" w14:textId="77777777" w:rsidTr="00100769">
        <w:tc>
          <w:tcPr>
            <w:tcW w:w="4031" w:type="dxa"/>
          </w:tcPr>
          <w:p w14:paraId="671402B2" w14:textId="77777777" w:rsidR="000C1102" w:rsidRPr="00DB7417" w:rsidRDefault="000C1102" w:rsidP="00100769">
            <w:pPr>
              <w:rPr>
                <w:rFonts w:ascii="Arial" w:eastAsia="Calibri" w:hAnsi="Arial" w:cs="Arial"/>
                <w:color w:val="auto"/>
              </w:rPr>
            </w:pPr>
          </w:p>
        </w:tc>
        <w:tc>
          <w:tcPr>
            <w:tcW w:w="841" w:type="dxa"/>
          </w:tcPr>
          <w:p w14:paraId="05B848D3" w14:textId="77777777" w:rsidR="000C1102" w:rsidRPr="00DB7417" w:rsidRDefault="000C1102" w:rsidP="00100769">
            <w:pPr>
              <w:rPr>
                <w:rFonts w:ascii="Arial" w:eastAsia="Calibri" w:hAnsi="Arial" w:cs="Arial"/>
                <w:color w:val="auto"/>
              </w:rPr>
            </w:pPr>
          </w:p>
        </w:tc>
        <w:tc>
          <w:tcPr>
            <w:tcW w:w="4200" w:type="dxa"/>
          </w:tcPr>
          <w:p w14:paraId="09CE782F" w14:textId="77777777" w:rsidR="000C1102" w:rsidRPr="00DB7417" w:rsidRDefault="000C1102" w:rsidP="00100769">
            <w:pPr>
              <w:rPr>
                <w:rFonts w:ascii="Arial" w:eastAsia="Calibri" w:hAnsi="Arial" w:cs="Arial"/>
                <w:color w:val="auto"/>
              </w:rPr>
            </w:pPr>
          </w:p>
        </w:tc>
      </w:tr>
      <w:tr w:rsidR="000C1102" w:rsidRPr="00DB7417" w14:paraId="1D4BCA6E" w14:textId="77777777" w:rsidTr="00100769">
        <w:tc>
          <w:tcPr>
            <w:tcW w:w="4031" w:type="dxa"/>
            <w:tcBorders>
              <w:bottom w:val="dotted" w:sz="12" w:space="0" w:color="auto"/>
            </w:tcBorders>
          </w:tcPr>
          <w:p w14:paraId="09950CA1" w14:textId="77777777" w:rsidR="000C1102" w:rsidRPr="00DB7417" w:rsidRDefault="000C1102" w:rsidP="00100769">
            <w:pPr>
              <w:rPr>
                <w:rFonts w:ascii="Arial" w:eastAsia="Calibri" w:hAnsi="Arial" w:cs="Arial"/>
                <w:color w:val="auto"/>
              </w:rPr>
            </w:pPr>
          </w:p>
          <w:p w14:paraId="361240F9" w14:textId="77777777" w:rsidR="000C1102" w:rsidRDefault="000C1102" w:rsidP="00100769">
            <w:pPr>
              <w:rPr>
                <w:rFonts w:ascii="Arial" w:eastAsia="Calibri" w:hAnsi="Arial" w:cs="Arial"/>
                <w:color w:val="auto"/>
              </w:rPr>
            </w:pPr>
          </w:p>
          <w:p w14:paraId="1C3E75FE" w14:textId="77777777" w:rsidR="000C1102" w:rsidRDefault="000C1102" w:rsidP="00100769">
            <w:pPr>
              <w:rPr>
                <w:rFonts w:ascii="Arial" w:eastAsia="Calibri" w:hAnsi="Arial" w:cs="Arial"/>
                <w:color w:val="auto"/>
              </w:rPr>
            </w:pPr>
          </w:p>
          <w:p w14:paraId="23414174" w14:textId="77777777" w:rsidR="000C1102" w:rsidRPr="00DB7417" w:rsidRDefault="000C1102" w:rsidP="00100769">
            <w:pPr>
              <w:rPr>
                <w:rFonts w:ascii="Arial" w:eastAsia="Calibri" w:hAnsi="Arial" w:cs="Arial"/>
                <w:color w:val="auto"/>
              </w:rPr>
            </w:pPr>
          </w:p>
        </w:tc>
        <w:tc>
          <w:tcPr>
            <w:tcW w:w="841" w:type="dxa"/>
          </w:tcPr>
          <w:p w14:paraId="1978D11D" w14:textId="77777777" w:rsidR="000C1102" w:rsidRPr="00DB7417" w:rsidRDefault="000C1102" w:rsidP="00100769">
            <w:pPr>
              <w:rPr>
                <w:rFonts w:ascii="Arial" w:eastAsia="Calibri" w:hAnsi="Arial" w:cs="Arial"/>
                <w:color w:val="auto"/>
              </w:rPr>
            </w:pPr>
          </w:p>
        </w:tc>
        <w:tc>
          <w:tcPr>
            <w:tcW w:w="4200" w:type="dxa"/>
            <w:tcBorders>
              <w:bottom w:val="dotted" w:sz="12" w:space="0" w:color="auto"/>
            </w:tcBorders>
          </w:tcPr>
          <w:p w14:paraId="4AFB146F" w14:textId="77777777" w:rsidR="000C1102" w:rsidRPr="00DB7417" w:rsidRDefault="000C1102" w:rsidP="00100769">
            <w:pPr>
              <w:rPr>
                <w:rFonts w:ascii="Arial" w:eastAsia="Calibri" w:hAnsi="Arial" w:cs="Arial"/>
                <w:color w:val="auto"/>
              </w:rPr>
            </w:pPr>
          </w:p>
        </w:tc>
      </w:tr>
      <w:tr w:rsidR="000C1102" w:rsidRPr="00DB7417" w14:paraId="7F7135B8" w14:textId="77777777" w:rsidTr="00100769">
        <w:tc>
          <w:tcPr>
            <w:tcW w:w="4031" w:type="dxa"/>
            <w:tcBorders>
              <w:top w:val="dotted" w:sz="12" w:space="0" w:color="auto"/>
            </w:tcBorders>
          </w:tcPr>
          <w:p w14:paraId="659E8858" w14:textId="6BB7B25C" w:rsidR="00456B1D" w:rsidRDefault="00456B1D" w:rsidP="00456B1D">
            <w:pPr>
              <w:jc w:val="center"/>
              <w:rPr>
                <w:rFonts w:ascii="Arial" w:eastAsia="Calibri" w:hAnsi="Arial" w:cs="Arial"/>
                <w:color w:val="auto"/>
              </w:rPr>
            </w:pPr>
            <w:r>
              <w:rPr>
                <w:rFonts w:ascii="Arial" w:eastAsia="Calibri" w:hAnsi="Arial" w:cs="Arial"/>
                <w:color w:val="auto"/>
              </w:rPr>
              <w:t>Ing.</w:t>
            </w:r>
            <w:r w:rsidR="00B23411">
              <w:rPr>
                <w:rFonts w:ascii="Arial" w:eastAsia="Calibri" w:hAnsi="Arial" w:cs="Arial"/>
                <w:color w:val="auto"/>
              </w:rPr>
              <w:t xml:space="preserve"> </w:t>
            </w:r>
            <w:r>
              <w:rPr>
                <w:rFonts w:ascii="Arial" w:eastAsia="Calibri" w:hAnsi="Arial" w:cs="Arial"/>
                <w:color w:val="auto"/>
              </w:rPr>
              <w:t>arch. Martin Laštovička</w:t>
            </w:r>
          </w:p>
          <w:p w14:paraId="00F20537" w14:textId="77777777" w:rsidR="000C1102" w:rsidRDefault="00456B1D" w:rsidP="00456B1D">
            <w:pPr>
              <w:jc w:val="center"/>
              <w:rPr>
                <w:rFonts w:ascii="Arial" w:eastAsia="Calibri" w:hAnsi="Arial" w:cs="Arial"/>
                <w:color w:val="auto"/>
              </w:rPr>
            </w:pPr>
            <w:r>
              <w:rPr>
                <w:rFonts w:ascii="Arial" w:eastAsia="Calibri" w:hAnsi="Arial" w:cs="Arial"/>
                <w:color w:val="auto"/>
              </w:rPr>
              <w:t>náměstek primátora</w:t>
            </w:r>
          </w:p>
          <w:p w14:paraId="78321ADE" w14:textId="11B02702" w:rsidR="00456B1D" w:rsidRPr="00DB7417" w:rsidRDefault="00456B1D" w:rsidP="00456B1D">
            <w:pPr>
              <w:jc w:val="center"/>
              <w:rPr>
                <w:rFonts w:ascii="Arial" w:eastAsia="Calibri" w:hAnsi="Arial" w:cs="Arial"/>
                <w:color w:val="auto"/>
              </w:rPr>
            </w:pPr>
          </w:p>
        </w:tc>
        <w:tc>
          <w:tcPr>
            <w:tcW w:w="841" w:type="dxa"/>
          </w:tcPr>
          <w:p w14:paraId="353DB85A" w14:textId="77777777" w:rsidR="000C1102" w:rsidRPr="00DB7417" w:rsidRDefault="000C1102" w:rsidP="00100769">
            <w:pPr>
              <w:rPr>
                <w:rFonts w:ascii="Arial" w:eastAsia="Calibri" w:hAnsi="Arial" w:cs="Arial"/>
                <w:color w:val="auto"/>
              </w:rPr>
            </w:pPr>
          </w:p>
        </w:tc>
        <w:tc>
          <w:tcPr>
            <w:tcW w:w="4200" w:type="dxa"/>
            <w:tcBorders>
              <w:top w:val="dotted" w:sz="12" w:space="0" w:color="auto"/>
            </w:tcBorders>
          </w:tcPr>
          <w:p w14:paraId="0C7BE5EC" w14:textId="3AAEB33F" w:rsidR="000C1102" w:rsidRDefault="00CB6612" w:rsidP="00100769">
            <w:pPr>
              <w:jc w:val="center"/>
              <w:rPr>
                <w:rFonts w:ascii="Arial" w:eastAsia="Calibri" w:hAnsi="Arial" w:cs="Arial"/>
                <w:color w:val="auto"/>
              </w:rPr>
            </w:pPr>
            <w:r>
              <w:rPr>
                <w:rFonts w:ascii="Arial" w:eastAsia="Calibri" w:hAnsi="Arial" w:cs="Arial"/>
                <w:color w:val="auto"/>
              </w:rPr>
              <w:t>Michal Mizera, DiS.</w:t>
            </w:r>
          </w:p>
          <w:p w14:paraId="1BD6185C" w14:textId="001ECA0A" w:rsidR="00456B1D" w:rsidRPr="00DB7417" w:rsidRDefault="00FC5E46" w:rsidP="00100769">
            <w:pPr>
              <w:jc w:val="center"/>
              <w:rPr>
                <w:rFonts w:ascii="Arial" w:eastAsia="Calibri" w:hAnsi="Arial" w:cs="Arial"/>
                <w:color w:val="auto"/>
              </w:rPr>
            </w:pPr>
            <w:r>
              <w:rPr>
                <w:rFonts w:ascii="Arial" w:eastAsia="Calibri" w:hAnsi="Arial" w:cs="Arial"/>
                <w:color w:val="auto"/>
              </w:rPr>
              <w:t>jednatel společnosti</w:t>
            </w:r>
          </w:p>
        </w:tc>
      </w:tr>
    </w:tbl>
    <w:p w14:paraId="5B4E7A56" w14:textId="77777777" w:rsidR="00400414" w:rsidRPr="00F2199D" w:rsidRDefault="00400414" w:rsidP="00EF1ABC">
      <w:pPr>
        <w:rPr>
          <w:rFonts w:ascii="Arial" w:hAnsi="Arial"/>
          <w:highlight w:val="yellow"/>
        </w:rPr>
      </w:pPr>
    </w:p>
    <w:sectPr w:rsidR="00400414" w:rsidRPr="00F2199D" w:rsidSect="00A471CF">
      <w:footerReference w:type="even" r:id="rId8"/>
      <w:footerReference w:type="default" r:id="rId9"/>
      <w:headerReference w:type="first" r:id="rId10"/>
      <w:pgSz w:w="11906" w:h="16838"/>
      <w:pgMar w:top="1134" w:right="1417" w:bottom="1418"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6378E4E8"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1CF">
      <w:rPr>
        <w:rStyle w:val="slostrnky"/>
        <w:noProof/>
      </w:rPr>
      <w:t>5</w: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3D85A29C"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433D19">
      <w:rPr>
        <w:rStyle w:val="slostrnky"/>
        <w:rFonts w:ascii="Arial" w:hAnsi="Arial" w:cs="Arial"/>
        <w:noProof/>
      </w:rPr>
      <w:t>10</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50F"/>
    <w:multiLevelType w:val="multilevel"/>
    <w:tmpl w:val="23F61C5E"/>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ED1CCC"/>
    <w:multiLevelType w:val="multilevel"/>
    <w:tmpl w:val="830856C2"/>
    <w:lvl w:ilvl="0">
      <w:start w:val="3"/>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4733BCE"/>
    <w:multiLevelType w:val="multilevel"/>
    <w:tmpl w:val="C2629BEA"/>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B0C066F"/>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4"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5"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8"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4"/>
  </w:num>
  <w:num w:numId="2">
    <w:abstractNumId w:val="12"/>
  </w:num>
  <w:num w:numId="3">
    <w:abstractNumId w:val="26"/>
  </w:num>
  <w:num w:numId="4">
    <w:abstractNumId w:val="9"/>
  </w:num>
  <w:num w:numId="5">
    <w:abstractNumId w:val="7"/>
  </w:num>
  <w:num w:numId="6">
    <w:abstractNumId w:val="25"/>
  </w:num>
  <w:num w:numId="7">
    <w:abstractNumId w:val="8"/>
  </w:num>
  <w:num w:numId="8">
    <w:abstractNumId w:val="15"/>
  </w:num>
  <w:num w:numId="9">
    <w:abstractNumId w:val="22"/>
  </w:num>
  <w:num w:numId="10">
    <w:abstractNumId w:val="18"/>
  </w:num>
  <w:num w:numId="11">
    <w:abstractNumId w:val="5"/>
  </w:num>
  <w:num w:numId="12">
    <w:abstractNumId w:val="21"/>
  </w:num>
  <w:num w:numId="13">
    <w:abstractNumId w:val="11"/>
  </w:num>
  <w:num w:numId="14">
    <w:abstractNumId w:val="6"/>
  </w:num>
  <w:num w:numId="15">
    <w:abstractNumId w:val="4"/>
  </w:num>
  <w:num w:numId="16">
    <w:abstractNumId w:val="24"/>
  </w:num>
  <w:num w:numId="17">
    <w:abstractNumId w:val="10"/>
  </w:num>
  <w:num w:numId="18">
    <w:abstractNumId w:val="20"/>
  </w:num>
  <w:num w:numId="19">
    <w:abstractNumId w:val="28"/>
  </w:num>
  <w:num w:numId="20">
    <w:abstractNumId w:val="8"/>
  </w:num>
  <w:num w:numId="21">
    <w:abstractNumId w:val="3"/>
  </w:num>
  <w:num w:numId="22">
    <w:abstractNumId w:val="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9"/>
  </w:num>
  <w:num w:numId="27">
    <w:abstractNumId w:val="19"/>
  </w:num>
  <w:num w:numId="28">
    <w:abstractNumId w:val="23"/>
  </w:num>
  <w:num w:numId="29">
    <w:abstractNumId w:val="16"/>
  </w:num>
  <w:num w:numId="30">
    <w:abstractNumId w:val="13"/>
  </w:num>
  <w:num w:numId="31">
    <w:abstractNumId w:val="0"/>
  </w:num>
  <w:num w:numId="3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1D5"/>
    <w:rsid w:val="00071CCC"/>
    <w:rsid w:val="000725BB"/>
    <w:rsid w:val="00081F29"/>
    <w:rsid w:val="00082DAC"/>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2BB3"/>
    <w:rsid w:val="000B33C8"/>
    <w:rsid w:val="000B3BD3"/>
    <w:rsid w:val="000B431E"/>
    <w:rsid w:val="000B59CA"/>
    <w:rsid w:val="000B6CA4"/>
    <w:rsid w:val="000B6E63"/>
    <w:rsid w:val="000C0B8A"/>
    <w:rsid w:val="000C1102"/>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1516"/>
    <w:rsid w:val="0014326C"/>
    <w:rsid w:val="0014403C"/>
    <w:rsid w:val="00144708"/>
    <w:rsid w:val="00144765"/>
    <w:rsid w:val="00146A7F"/>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B2E"/>
    <w:rsid w:val="00181793"/>
    <w:rsid w:val="00183B4A"/>
    <w:rsid w:val="0018556B"/>
    <w:rsid w:val="00186A36"/>
    <w:rsid w:val="001878DB"/>
    <w:rsid w:val="00187BDC"/>
    <w:rsid w:val="00190AA5"/>
    <w:rsid w:val="00191D55"/>
    <w:rsid w:val="0019202A"/>
    <w:rsid w:val="001927FC"/>
    <w:rsid w:val="00193987"/>
    <w:rsid w:val="0019435A"/>
    <w:rsid w:val="001945D2"/>
    <w:rsid w:val="0019476B"/>
    <w:rsid w:val="00195857"/>
    <w:rsid w:val="00195D3D"/>
    <w:rsid w:val="001965C2"/>
    <w:rsid w:val="001A0340"/>
    <w:rsid w:val="001A5084"/>
    <w:rsid w:val="001A650C"/>
    <w:rsid w:val="001A6A83"/>
    <w:rsid w:val="001A7AA1"/>
    <w:rsid w:val="001B42CE"/>
    <w:rsid w:val="001C05A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2CEE"/>
    <w:rsid w:val="0031483E"/>
    <w:rsid w:val="00317FD6"/>
    <w:rsid w:val="00320A28"/>
    <w:rsid w:val="00321AFD"/>
    <w:rsid w:val="00323E2D"/>
    <w:rsid w:val="0032405A"/>
    <w:rsid w:val="00325CF1"/>
    <w:rsid w:val="003261A8"/>
    <w:rsid w:val="0032638E"/>
    <w:rsid w:val="00326822"/>
    <w:rsid w:val="00326C1C"/>
    <w:rsid w:val="0032788E"/>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045C"/>
    <w:rsid w:val="0040266A"/>
    <w:rsid w:val="004105A2"/>
    <w:rsid w:val="00412ACB"/>
    <w:rsid w:val="00413F67"/>
    <w:rsid w:val="004153E6"/>
    <w:rsid w:val="00416ACA"/>
    <w:rsid w:val="00417A57"/>
    <w:rsid w:val="004207EE"/>
    <w:rsid w:val="00422730"/>
    <w:rsid w:val="00423198"/>
    <w:rsid w:val="00424ECF"/>
    <w:rsid w:val="0042564B"/>
    <w:rsid w:val="00426053"/>
    <w:rsid w:val="00426649"/>
    <w:rsid w:val="004304AA"/>
    <w:rsid w:val="00431252"/>
    <w:rsid w:val="00431F5C"/>
    <w:rsid w:val="0043218B"/>
    <w:rsid w:val="0043272D"/>
    <w:rsid w:val="004339C3"/>
    <w:rsid w:val="00433D19"/>
    <w:rsid w:val="00441AF3"/>
    <w:rsid w:val="00441C15"/>
    <w:rsid w:val="004475FD"/>
    <w:rsid w:val="00447AA7"/>
    <w:rsid w:val="0045206B"/>
    <w:rsid w:val="00452D71"/>
    <w:rsid w:val="004539C3"/>
    <w:rsid w:val="00456B1D"/>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39"/>
    <w:rsid w:val="005718A3"/>
    <w:rsid w:val="00571C5D"/>
    <w:rsid w:val="00572124"/>
    <w:rsid w:val="005731FD"/>
    <w:rsid w:val="00575988"/>
    <w:rsid w:val="0057725B"/>
    <w:rsid w:val="00583724"/>
    <w:rsid w:val="00585080"/>
    <w:rsid w:val="005910EF"/>
    <w:rsid w:val="005911CA"/>
    <w:rsid w:val="00592013"/>
    <w:rsid w:val="00592A8D"/>
    <w:rsid w:val="005A00A1"/>
    <w:rsid w:val="005A212B"/>
    <w:rsid w:val="005A29B7"/>
    <w:rsid w:val="005A5C2A"/>
    <w:rsid w:val="005A5C45"/>
    <w:rsid w:val="005A6A3F"/>
    <w:rsid w:val="005A7BC9"/>
    <w:rsid w:val="005A7C50"/>
    <w:rsid w:val="005B186E"/>
    <w:rsid w:val="005B4269"/>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2F1A"/>
    <w:rsid w:val="005E3333"/>
    <w:rsid w:val="005E3467"/>
    <w:rsid w:val="005E4E6E"/>
    <w:rsid w:val="005E5AA2"/>
    <w:rsid w:val="005E6807"/>
    <w:rsid w:val="005F03EB"/>
    <w:rsid w:val="005F1852"/>
    <w:rsid w:val="005F3D33"/>
    <w:rsid w:val="005F4BEA"/>
    <w:rsid w:val="005F6FBA"/>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496C"/>
    <w:rsid w:val="006552BD"/>
    <w:rsid w:val="0065569B"/>
    <w:rsid w:val="006556E4"/>
    <w:rsid w:val="006605FE"/>
    <w:rsid w:val="00660CDD"/>
    <w:rsid w:val="00662C17"/>
    <w:rsid w:val="006641B5"/>
    <w:rsid w:val="006651D0"/>
    <w:rsid w:val="0066624A"/>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700C38"/>
    <w:rsid w:val="00701EBC"/>
    <w:rsid w:val="0070232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834"/>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47CF"/>
    <w:rsid w:val="008578D1"/>
    <w:rsid w:val="0086063F"/>
    <w:rsid w:val="00861EE6"/>
    <w:rsid w:val="00861FEF"/>
    <w:rsid w:val="008641E2"/>
    <w:rsid w:val="008652C2"/>
    <w:rsid w:val="00865ABF"/>
    <w:rsid w:val="00867CFF"/>
    <w:rsid w:val="008715E0"/>
    <w:rsid w:val="008735F3"/>
    <w:rsid w:val="00874273"/>
    <w:rsid w:val="0087566A"/>
    <w:rsid w:val="0087735C"/>
    <w:rsid w:val="00880EEB"/>
    <w:rsid w:val="00881853"/>
    <w:rsid w:val="00881E70"/>
    <w:rsid w:val="008820A0"/>
    <w:rsid w:val="00883051"/>
    <w:rsid w:val="008833DB"/>
    <w:rsid w:val="00885E23"/>
    <w:rsid w:val="00887158"/>
    <w:rsid w:val="00887198"/>
    <w:rsid w:val="008900F2"/>
    <w:rsid w:val="008911AC"/>
    <w:rsid w:val="0089478B"/>
    <w:rsid w:val="00896551"/>
    <w:rsid w:val="008971EB"/>
    <w:rsid w:val="008A29CC"/>
    <w:rsid w:val="008A2FE4"/>
    <w:rsid w:val="008A4FA3"/>
    <w:rsid w:val="008A5644"/>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6E69"/>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2707"/>
    <w:rsid w:val="009E312C"/>
    <w:rsid w:val="009E39A7"/>
    <w:rsid w:val="009E4B37"/>
    <w:rsid w:val="009E50A2"/>
    <w:rsid w:val="009E530F"/>
    <w:rsid w:val="009E5690"/>
    <w:rsid w:val="009E714D"/>
    <w:rsid w:val="009E7508"/>
    <w:rsid w:val="009E7FC9"/>
    <w:rsid w:val="009F206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911"/>
    <w:rsid w:val="00A21B64"/>
    <w:rsid w:val="00A22209"/>
    <w:rsid w:val="00A22578"/>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1CF"/>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273"/>
    <w:rsid w:val="00AA55BC"/>
    <w:rsid w:val="00AA648E"/>
    <w:rsid w:val="00AA7223"/>
    <w:rsid w:val="00AA73C6"/>
    <w:rsid w:val="00AB13B4"/>
    <w:rsid w:val="00AB13D7"/>
    <w:rsid w:val="00AB3638"/>
    <w:rsid w:val="00AB3786"/>
    <w:rsid w:val="00AB3FF3"/>
    <w:rsid w:val="00AB5109"/>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11"/>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654"/>
    <w:rsid w:val="00B90ED0"/>
    <w:rsid w:val="00B9152F"/>
    <w:rsid w:val="00B934C2"/>
    <w:rsid w:val="00B939E1"/>
    <w:rsid w:val="00B96FCB"/>
    <w:rsid w:val="00B971CC"/>
    <w:rsid w:val="00BA0E6D"/>
    <w:rsid w:val="00BA1308"/>
    <w:rsid w:val="00BA2077"/>
    <w:rsid w:val="00BA320C"/>
    <w:rsid w:val="00BA3690"/>
    <w:rsid w:val="00BA375D"/>
    <w:rsid w:val="00BA781F"/>
    <w:rsid w:val="00BA7B7C"/>
    <w:rsid w:val="00BA7E42"/>
    <w:rsid w:val="00BB0681"/>
    <w:rsid w:val="00BB15D6"/>
    <w:rsid w:val="00BB174A"/>
    <w:rsid w:val="00BB28B0"/>
    <w:rsid w:val="00BB3580"/>
    <w:rsid w:val="00BB36A9"/>
    <w:rsid w:val="00BB5023"/>
    <w:rsid w:val="00BB595E"/>
    <w:rsid w:val="00BB5E9E"/>
    <w:rsid w:val="00BB6242"/>
    <w:rsid w:val="00BB7543"/>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39"/>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612"/>
    <w:rsid w:val="00CB6D93"/>
    <w:rsid w:val="00CB7641"/>
    <w:rsid w:val="00CC02D9"/>
    <w:rsid w:val="00CC0404"/>
    <w:rsid w:val="00CC073D"/>
    <w:rsid w:val="00CC14CE"/>
    <w:rsid w:val="00CC201D"/>
    <w:rsid w:val="00CC2A8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38DF"/>
    <w:rsid w:val="00D84728"/>
    <w:rsid w:val="00D8492E"/>
    <w:rsid w:val="00D904A3"/>
    <w:rsid w:val="00D9351C"/>
    <w:rsid w:val="00D966A9"/>
    <w:rsid w:val="00D979EB"/>
    <w:rsid w:val="00D97A6A"/>
    <w:rsid w:val="00D97FA0"/>
    <w:rsid w:val="00DA0988"/>
    <w:rsid w:val="00DB1980"/>
    <w:rsid w:val="00DB54ED"/>
    <w:rsid w:val="00DB5E1F"/>
    <w:rsid w:val="00DB6374"/>
    <w:rsid w:val="00DB6DC2"/>
    <w:rsid w:val="00DC001B"/>
    <w:rsid w:val="00DC101E"/>
    <w:rsid w:val="00DC5664"/>
    <w:rsid w:val="00DC6DC8"/>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D4F"/>
    <w:rsid w:val="00E16E52"/>
    <w:rsid w:val="00E176E0"/>
    <w:rsid w:val="00E17CEE"/>
    <w:rsid w:val="00E22653"/>
    <w:rsid w:val="00E22F42"/>
    <w:rsid w:val="00E25DCC"/>
    <w:rsid w:val="00E27B60"/>
    <w:rsid w:val="00E27DA7"/>
    <w:rsid w:val="00E30460"/>
    <w:rsid w:val="00E3078B"/>
    <w:rsid w:val="00E308EB"/>
    <w:rsid w:val="00E30C96"/>
    <w:rsid w:val="00E34BF9"/>
    <w:rsid w:val="00E3652A"/>
    <w:rsid w:val="00E404B7"/>
    <w:rsid w:val="00E417F1"/>
    <w:rsid w:val="00E428EF"/>
    <w:rsid w:val="00E44119"/>
    <w:rsid w:val="00E4653C"/>
    <w:rsid w:val="00E46CA4"/>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0B"/>
    <w:rsid w:val="00E81BF8"/>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1BD4"/>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5688"/>
    <w:rsid w:val="00F16FE6"/>
    <w:rsid w:val="00F17E42"/>
    <w:rsid w:val="00F20AF5"/>
    <w:rsid w:val="00F2199D"/>
    <w:rsid w:val="00F21BD3"/>
    <w:rsid w:val="00F22F80"/>
    <w:rsid w:val="00F231EC"/>
    <w:rsid w:val="00F240BF"/>
    <w:rsid w:val="00F241E0"/>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5C43"/>
    <w:rsid w:val="00F8613C"/>
    <w:rsid w:val="00F870C0"/>
    <w:rsid w:val="00F9094B"/>
    <w:rsid w:val="00F91751"/>
    <w:rsid w:val="00F93657"/>
    <w:rsid w:val="00F940F5"/>
    <w:rsid w:val="00FA2A51"/>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C5E46"/>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46288-BCF9-4413-B3AD-FFA8D205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4572</Words>
  <Characters>26838</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31348</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55</cp:revision>
  <cp:lastPrinted>2023-04-26T06:44:00Z</cp:lastPrinted>
  <dcterms:created xsi:type="dcterms:W3CDTF">2023-03-03T12:57:00Z</dcterms:created>
  <dcterms:modified xsi:type="dcterms:W3CDTF">2024-06-18T06:59:00Z</dcterms:modified>
</cp:coreProperties>
</file>