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923/2022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63" w:lineRule="auto"/>
        <w:ind w:left="0" w:right="0" w:firstLine="2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Bublavský potok Kraslice - úprava koryta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– projektová dokumentace (DSP/DPS)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0" w:line="48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893" w:val="left"/>
          <w:tab w:pos="6542" w:val="center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</w:t>
        <w:tab/>
        <w:t>430 03 Chomutov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zástupce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KV+MV AQUA spol.,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256 84 566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CZ25684566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vedeného Městským soudem v Praze, oddíl C, vložka 60982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  <w:rPr>
          <w:sz w:val="18"/>
          <w:szCs w:val="18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86" w:left="1394" w:right="1384" w:bottom="1132" w:header="0" w:footer="704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Tento dodatek je uzavírán z důvodu: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změny původního zadání předmětu zakázky a časové prodlevy při určování vlastnictví zdí a objektů v části řešeného úseku toku. Na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95" w:lineRule="auto"/>
        <w:ind w:left="0" w:right="0" w:firstLine="6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k SoD 923/2022 základě zjištěných vlastnických poměrů bude rozsah plánované rekonstrukce v tomto úseku upraven.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I. Předmět smlouvy a předmět díla a Čl. III. Termín plnění: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PŘEDMĚT SMLOUVY A PŘEDMĚT DÍLA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veřejné zakázky je zpracování PD na rekonstrukci koryta Bublavského potoka v Kraslicích, ř.km 0,827 – 1,184.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opatření ke zvýšení PPO tohoto území na základě SZÚ a prověřování situace v dané lokalitě. Řešené úseky navazují na již stávající úpravu POh z r. 2003.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Úsek 1 (ř. km 0,827 - ř. km 0,872) – bude provedena kompletní rekonstrukce LB i PB zdi.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380" w:right="0" w:hanging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Úsek 2 (ř. km 0,872 - 1,056) – bude provedeno opevnění LB i PB novou opěrnou zídkou, zachována zůstane „pochozí“ zeď na PB (cca ř. km 0,930 - ř. km 0,950).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380" w:right="0" w:hanging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Úsek 3 (dle PL ř. km 1,056 - 1,184) – úprava opevnění bude provedena pouze v rozsahu cca ř. km 1,056 - 1,100, horní úsek mezi zahradami RD zůstane bez zásahu.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Nivelita dna bude upravena, stupně nahrazeny balvanitými skluzy.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posouzení budou doplněny stabilizační prahy.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tomu, že zde nelze realizovat ochranu na Q100, měla by být kapacita navržena s ohledem na dané prostorové možnosti.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veřejné zakázky je zpracování PD na rekonstrukci koryta Bublavského potoka v Kraslicích,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ř.km 0,860 (0,857) – 1,100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opatření ke zvýšení PPO tohoto území na základě SZÚ a prověřování situace v dané lokalitě.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380" w:right="0" w:hanging="3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Úsek 1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(LB ř. km 0,860 - ř. km 0,872, PB ř. km 0,857 - ř. km 0,872) – bude provedena oprava LB i PB zdi včetně přespárování zdí úseku zakrytého panely.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380" w:right="0" w:hanging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Úsek 2 (ř. km 0,872 - 1,056) – bude provedeno opevnění LB i PB novou opěrnou zídkou, zachována zůstane „pochozí“ zeď na PB (cca ř. km 0,930 - ř. km 0,950).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Úsek 3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(ř. km 1,056 - 1,100) – koryto bude opevněno kamennou rovnaninou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380" w:right="0" w:hanging="38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Dno koryta bude v celém úseku stabilizováno pasy s vyplněním kamenným pohozem nebo rovnaninou do střelky.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tomu, že zde nelze realizovat ochranu na Q100, měla by být kapacita navržena s ohledem na dané prostorové možnosti.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  <w:sectPr>
          <w:headerReference w:type="default" r:id="rId6"/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657" w:left="1389" w:right="1384" w:bottom="1420" w:header="22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  <w:tab w:pos="6375" w:val="left"/>
        </w:tabs>
        <w:bidi w:val="0"/>
        <w:spacing w:before="0" w:line="240" w:lineRule="auto"/>
        <w:ind w:left="380" w:right="0" w:hanging="38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 projektové dokumentace (2 x tištěné + 1 x elektronicky) po projednání na ZVV:</w:t>
        <w:tab/>
        <w:t>nejpozději do 17.06.2024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0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projektové dokumentace (4 x tištěné + 2 x elektronicky):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 projektové dokumentace (2 x tištěné + 1 x elektronicky)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375" w:val="left"/>
        </w:tabs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projednání 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31.03.2025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projektové dokumentace (4 x tištěné + 2 x elektronicky):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22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měsíc po schválení v dokumentační komisi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DK)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Čl. I. a Čl. III. smlouvy o dílo se nemění.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3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0" w:val="left"/>
        </w:tabs>
        <w:bidi w:val="0"/>
        <w:spacing w:before="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0" w:val="left"/>
        </w:tabs>
        <w:bidi w:val="0"/>
        <w:spacing w:before="0" w:line="240" w:lineRule="auto"/>
        <w:ind w:left="380" w:right="0" w:hanging="3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0" w:val="left"/>
        </w:tabs>
        <w:bidi w:val="0"/>
        <w:spacing w:before="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0" w:val="left"/>
        </w:tabs>
        <w:bidi w:val="0"/>
        <w:spacing w:before="0" w:after="440" w:line="240" w:lineRule="auto"/>
        <w:ind w:left="380" w:right="0" w:hanging="38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9" w:h="16838"/>
          <w:pgMar w:top="1056" w:left="1394" w:right="1384" w:bottom="362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819785" cy="22542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7.40000000000003pt;margin-top:1.pt;width:64.549999999999997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7" w:after="10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0" w:right="0" w:bottom="14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ekonomický ředitel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KV+MV AQUA spol.,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1821" w:right="2363" w:bottom="1421" w:header="0" w:footer="3" w:gutter="0"/>
          <w:cols w:num="2" w:space="133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56" w:left="1821" w:right="2363" w:bottom="1421" w:header="0" w:footer="3" w:gutter="0"/>
      <w:cols w:num="2" w:space="133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1.69999999999999pt;margin-top:770.85000000000002pt;width:53.050000000000004pt;height:12.9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435610</wp:posOffset>
              </wp:positionV>
              <wp:extent cx="1825625" cy="1892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2562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3 k SoD 923/2022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1.pt;margin-top:34.300000000000004pt;width:143.75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3 k SoD 923/2022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435610</wp:posOffset>
              </wp:positionV>
              <wp:extent cx="1825625" cy="1892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2562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3 k SoD 923/2022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81.pt;margin-top:34.300000000000004pt;width:143.75pt;height:14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3 k SoD 923/2022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