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M L O U V Y O D Í L 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zhotovitele: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objednatele: 923/2022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díla: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63" w:lineRule="auto"/>
        <w:ind w:left="0" w:right="0" w:firstLine="2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Bublavský potok Kraslice - úprava koryta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– projektová dokumentace (DSP/DPS)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byla uzavřena mezi: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893" w:val="left"/>
        </w:tabs>
        <w:bidi w:val="0"/>
        <w:spacing w:before="0" w:after="0" w:line="48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  <w:tab/>
        <w:t>Povodí Ohře, státní podnik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893" w:val="left"/>
          <w:tab w:pos="6542" w:val="center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Bezručova 4219,</w:t>
        <w:tab/>
        <w:t>430 03 Chomutov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8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70889988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8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CZ70889988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statutární orgán: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ve věcech smluvních: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ve věcech technických: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zástupce objednatele: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 je zapsán v obchodním rejstříku Krajského soudu v Ústí nad Labem v oddílu A, vložce č. 13052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„objednatel“) na straně jedné 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2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KV+MV AQUA spol.,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k podpisu smlouvy: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jednat o věcech smluvních: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oprávněn(i) jednat o věcech technických: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2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256 84 566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2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CZ25684566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rejstříku: vedeného Městským soudem v Praze, oddíl C, vložka 60982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„zhotovitel“) na straně druhé.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podkladě skutečností, které se vyskytly v průběhu plnění této smlouvy, přičemž jejich zajištění je podmínkou pro řádné dokončení díla, se smluvní strany dohodly ve smyslu příslušných smluvních ustanovení na uzavření tohoto dodatku.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  <w:rPr>
          <w:sz w:val="18"/>
          <w:szCs w:val="18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9" w:h="16838"/>
          <w:pgMar w:top="1286" w:left="1394" w:right="1384" w:bottom="1132" w:header="0" w:footer="704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Tento dodatek je uzavírán z důvodu: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změny původního zadání předmětu zakázky a časové prodlevy při určování vlastnictví zdí a objektů v části řešeného úseku toku. Na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Stránka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95" w:lineRule="auto"/>
        <w:ind w:left="0" w:right="0" w:firstLine="6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 k SoD 923/2022 základě zjištěných vlastnických poměrů bude rozsah plánované rekonstrukce v tomto úseku upraven.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dodatkem se mění Čl. I. Předmět smlouvy a předmět díla a Čl. III. Termín plnění: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I. PŘEDMĚT SMLOUVY A PŘEDMĚT DÍLA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veřejné zakázky je zpracování PD na rekonstrukci koryta Bublavského potoka v Kraslicích, ř.km 0,827 – 1,184.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 se o opatření ke zvýšení PPO tohoto území na základě SZÚ a prověřování situace v dané lokalitě. Řešené úseky navazují na již stávající úpravu POh z r. 2003.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Úsek 1 (ř. km 0,827 - ř. km 0,872) – bude provedena kompletní rekonstrukce LB i PB zdi.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380" w:right="0" w:hanging="3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Úsek 2 (ř. km 0,872 - 1,056) – bude provedeno opevnění LB i PB novou opěrnou zídkou, zachována zůstane „pochozí“ zeď na PB (cca ř. km 0,930 - ř. km 0,950).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380" w:right="0" w:hanging="3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Úsek 3 (dle PL ř. km 1,056 - 1,184) – úprava opevnění bude provedena pouze v rozsahu cca ř. km 1,056 - 1,100, horní úsek mezi zahradami RD zůstane bez zásahu.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Nivelita dna bude upravena, stupně nahrazeny balvanitými skluzy.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posouzení budou doplněny stabilizační prahy.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Vzhledem k tomu, že zde nelze realizovat ochranu na Q100, měla by být kapacita navržena s ohledem na dané prostorové možnosti.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znění: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veřejné zakázky je zpracování PD na rekonstrukci koryta Bublavského potoka v Kraslicích,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ř.km 0,860 (0,857) – 1,100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 se o opatření ke zvýšení PPO tohoto území na základě SZÚ a prověřování situace v dané lokalitě.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380" w:right="0" w:hanging="38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Úsek 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(LB ř. km 0,860 - ř. km 0,872, PB ř. km 0,857 - ř. km 0,872) – bude provedena oprava LB i PB zdi včetně přespárování zdí úseku zakrytého panely.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380" w:right="0" w:hanging="3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Úsek 2 (ř. km 0,872 - 1,056) – bude provedeno opevnění LB i PB novou opěrnou zídkou, zachována zůstane „pochozí“ zeď na PB (cca ř. km 0,930 - ř. km 0,950).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Úsek 3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(ř. km 1,056 - 1,100) – koryto bude opevněno kamennou rovnaninou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380" w:right="0" w:hanging="38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^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Dno koryta bude v celém úseku stabilizováno pasy s vyplněním kamenným pohozem nebo rovnaninou do střelky.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Vzhledem k tomu, že zde nelze realizovat ochranu na Q100, měla by být kapacita navržena s ohledem na dané prostorové možnosti.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III. TERMÍNY PLNĚNÍ</w:t>
      </w:r>
      <w:bookmarkEnd w:id="3"/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prací na předmětu plnění: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1909" w:h="16838"/>
          <w:pgMar w:top="657" w:left="1389" w:right="1384" w:bottom="1420" w:header="22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zbytečného odkladu, nejpozději však do 10 týdnů po nabytí účinnosti smlouvy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7" w:val="left"/>
          <w:tab w:pos="6375" w:val="left"/>
        </w:tabs>
        <w:bidi w:val="0"/>
        <w:spacing w:before="0" w:line="240" w:lineRule="auto"/>
        <w:ind w:left="380" w:right="0" w:hanging="38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dílčí termín - předání kompletní projektové dokumentace (2 x tištěné + 1 x elektronicky) po projednání na ZVV:</w:t>
        <w:tab/>
        <w:t>nejpozději do 17.06.2024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0" w:val="left"/>
        </w:tabs>
        <w:bidi w:val="0"/>
        <w:spacing w:before="0" w:after="0" w:line="240" w:lineRule="auto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a převzetí kompletní projektové dokumentace (4 x tištěné + 2 x elektronicky):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měsíc po schválení v dokumentační komisi (dále jen DK)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znění: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prací na předmětu plnění: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zbytečného odkladu, nejpozději však do 10 týdnů po nabytí účinnosti smlouvy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dílčí termín - předání kompletní projektové dokumentace (2 x tištěné + 1 x elektronicky)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75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projednání na ZVV: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nejpozději do 31.03.2025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a převzetí kompletní projektové dokumentace (4 x tištěné + 2 x elektronicky):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22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měsíc po schválení v dokumentační komisi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DK)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Čl. I. a Čl. III. smlouvy o dílo se nemění.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 DODATKU Č. 3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0" w:val="left"/>
        </w:tabs>
        <w:bidi w:val="0"/>
        <w:spacing w:before="0" w:line="240" w:lineRule="auto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předmětné smlouvy zůstávají beze změn.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0" w:val="left"/>
        </w:tabs>
        <w:bidi w:val="0"/>
        <w:spacing w:before="0" w:line="240" w:lineRule="auto"/>
        <w:ind w:left="380" w:right="0" w:hanging="38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svědectví tohoto smluvní strany tímto podepisují tento dodatek ke smlouvě. Dodatek je vyhotoven ve dvou vyhotoveních, z nichž každé má platnost originálu.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0" w:val="left"/>
        </w:tabs>
        <w:bidi w:val="0"/>
        <w:spacing w:before="0" w:line="240" w:lineRule="auto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nepovažují žádné ustanovení smlouvy za obchodní tajemství.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0" w:val="left"/>
        </w:tabs>
        <w:bidi w:val="0"/>
        <w:spacing w:before="0" w:after="440" w:line="240" w:lineRule="auto"/>
        <w:ind w:left="380" w:right="0" w:hanging="38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ke smlouvě nabývá platnosti dnem jeho podpisu poslední ze smluvních stran a účinnosti zveřejněním v Registru smluv, pokud této účinnosti dle příslušných ustanovení smlouvy nenabude později.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9" w:h="16838"/>
          <w:pgMar w:top="1056" w:left="1394" w:right="1384" w:bottom="362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12700</wp:posOffset>
                </wp:positionV>
                <wp:extent cx="819785" cy="22542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7.40000000000003pt;margin-top:1.pt;width:64.549999999999997pt;height:17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dne: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056" w:left="0" w:right="0" w:bottom="142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 ekonomický ředitel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KV+MV AQUA spol., s.r.o.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056" w:left="1821" w:right="2363" w:bottom="1421" w:header="0" w:footer="3" w:gutter="0"/>
          <w:cols w:num="2" w:space="133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056" w:left="1821" w:right="2363" w:bottom="1421" w:header="0" w:footer="3" w:gutter="0"/>
      <w:cols w:num="2" w:space="133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9789795</wp:posOffset>
              </wp:positionV>
              <wp:extent cx="673735" cy="1644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1.69999999999999pt;margin-top:770.85000000000002pt;width:53.050000000000004pt;height:12.9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9789795</wp:posOffset>
              </wp:positionV>
              <wp:extent cx="673735" cy="1644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71.69999999999999pt;margin-top:770.85000000000002pt;width:53.050000000000004pt;height:12.9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4838700</wp:posOffset>
              </wp:positionH>
              <wp:positionV relativeFrom="page">
                <wp:posOffset>435610</wp:posOffset>
              </wp:positionV>
              <wp:extent cx="1825625" cy="1892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5625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Dodatek č. 3 k SoD 923/2022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1.pt;margin-top:34.300000000000004pt;width:143.75pt;height:14.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Dodatek č. 3 k SoD 923/2022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4838700</wp:posOffset>
              </wp:positionH>
              <wp:positionV relativeFrom="page">
                <wp:posOffset>435610</wp:posOffset>
              </wp:positionV>
              <wp:extent cx="1825625" cy="1892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5625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Dodatek č. 3 k SoD 923/2022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81.pt;margin-top:34.300000000000004pt;width:143.75pt;height:14.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Dodatek č. 3 k SoD 923/2022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1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after="2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 M L O U V A   O   D Í L O</dc:title>
  <dc:subject/>
  <dc:creator>RMiskovska</dc:creator>
  <cp:keywords/>
</cp:coreProperties>
</file>