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9C20C" w14:textId="77777777" w:rsidR="007B004D" w:rsidRDefault="001A0B95">
      <w:pPr>
        <w:pStyle w:val="Heading110"/>
        <w:keepNext/>
        <w:keepLines/>
      </w:pPr>
      <w:bookmarkStart w:id="0" w:name="bookmark0"/>
      <w:r>
        <w:rPr>
          <w:rStyle w:val="Heading11"/>
          <w:b/>
          <w:bCs/>
        </w:rPr>
        <w:t>Příkazní smlouva</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2434"/>
        <w:gridCol w:w="5861"/>
      </w:tblGrid>
      <w:tr w:rsidR="007B004D" w14:paraId="2C4F1C67" w14:textId="77777777">
        <w:tblPrEx>
          <w:tblCellMar>
            <w:top w:w="0" w:type="dxa"/>
            <w:bottom w:w="0" w:type="dxa"/>
          </w:tblCellMar>
        </w:tblPrEx>
        <w:trPr>
          <w:trHeight w:hRule="exact" w:val="929"/>
          <w:jc w:val="center"/>
        </w:trPr>
        <w:tc>
          <w:tcPr>
            <w:tcW w:w="2434" w:type="dxa"/>
            <w:shd w:val="clear" w:color="auto" w:fill="auto"/>
          </w:tcPr>
          <w:p w14:paraId="5A663E05" w14:textId="77777777" w:rsidR="007B004D" w:rsidRDefault="001A0B95">
            <w:pPr>
              <w:pStyle w:val="Other10"/>
              <w:spacing w:after="0" w:line="240" w:lineRule="auto"/>
              <w:rPr>
                <w:sz w:val="24"/>
                <w:szCs w:val="24"/>
              </w:rPr>
            </w:pPr>
            <w:r>
              <w:rPr>
                <w:rStyle w:val="Other1"/>
                <w:b/>
                <w:bCs/>
                <w:sz w:val="24"/>
                <w:szCs w:val="24"/>
              </w:rPr>
              <w:t>Název:</w:t>
            </w:r>
          </w:p>
        </w:tc>
        <w:tc>
          <w:tcPr>
            <w:tcW w:w="5861" w:type="dxa"/>
            <w:shd w:val="clear" w:color="auto" w:fill="auto"/>
          </w:tcPr>
          <w:p w14:paraId="1F6622BB" w14:textId="77777777" w:rsidR="007B004D" w:rsidRDefault="001A0B95">
            <w:pPr>
              <w:pStyle w:val="Other10"/>
              <w:spacing w:after="0" w:line="276" w:lineRule="auto"/>
              <w:ind w:left="340"/>
              <w:rPr>
                <w:sz w:val="24"/>
                <w:szCs w:val="24"/>
              </w:rPr>
            </w:pPr>
            <w:r>
              <w:rPr>
                <w:rStyle w:val="Other1"/>
                <w:b/>
                <w:bCs/>
                <w:sz w:val="24"/>
                <w:szCs w:val="24"/>
              </w:rPr>
              <w:t xml:space="preserve">Česká </w:t>
            </w:r>
            <w:proofErr w:type="gramStart"/>
            <w:r>
              <w:rPr>
                <w:rStyle w:val="Other1"/>
                <w:b/>
                <w:bCs/>
                <w:sz w:val="24"/>
                <w:szCs w:val="24"/>
              </w:rPr>
              <w:t>republika - Úřad</w:t>
            </w:r>
            <w:proofErr w:type="gramEnd"/>
            <w:r>
              <w:rPr>
                <w:rStyle w:val="Other1"/>
                <w:b/>
                <w:bCs/>
                <w:sz w:val="24"/>
                <w:szCs w:val="24"/>
              </w:rPr>
              <w:t xml:space="preserve"> pro technickou normalizaci, metrologii a státní zkušebnictví, organizační složka státu</w:t>
            </w:r>
          </w:p>
        </w:tc>
      </w:tr>
      <w:tr w:rsidR="007B004D" w14:paraId="72333D0E" w14:textId="77777777">
        <w:tblPrEx>
          <w:tblCellMar>
            <w:top w:w="0" w:type="dxa"/>
            <w:bottom w:w="0" w:type="dxa"/>
          </w:tblCellMar>
        </w:tblPrEx>
        <w:trPr>
          <w:trHeight w:hRule="exact" w:val="324"/>
          <w:jc w:val="center"/>
        </w:trPr>
        <w:tc>
          <w:tcPr>
            <w:tcW w:w="2434" w:type="dxa"/>
            <w:shd w:val="clear" w:color="auto" w:fill="auto"/>
            <w:vAlign w:val="bottom"/>
          </w:tcPr>
          <w:p w14:paraId="7201654B" w14:textId="77777777" w:rsidR="007B004D" w:rsidRDefault="001A0B95">
            <w:pPr>
              <w:pStyle w:val="Other10"/>
              <w:spacing w:after="0" w:line="240" w:lineRule="auto"/>
              <w:rPr>
                <w:sz w:val="24"/>
                <w:szCs w:val="24"/>
              </w:rPr>
            </w:pPr>
            <w:r>
              <w:rPr>
                <w:rStyle w:val="Other1"/>
                <w:b/>
                <w:bCs/>
                <w:sz w:val="24"/>
                <w:szCs w:val="24"/>
              </w:rPr>
              <w:t>Sídlo:</w:t>
            </w:r>
          </w:p>
        </w:tc>
        <w:tc>
          <w:tcPr>
            <w:tcW w:w="5861" w:type="dxa"/>
            <w:shd w:val="clear" w:color="auto" w:fill="auto"/>
            <w:vAlign w:val="bottom"/>
          </w:tcPr>
          <w:p w14:paraId="3A97F232" w14:textId="77777777" w:rsidR="007B004D" w:rsidRDefault="001A0B95">
            <w:pPr>
              <w:pStyle w:val="Other10"/>
              <w:spacing w:after="0" w:line="240" w:lineRule="auto"/>
              <w:ind w:firstLine="340"/>
              <w:jc w:val="both"/>
            </w:pPr>
            <w:r>
              <w:rPr>
                <w:rStyle w:val="Other1"/>
              </w:rPr>
              <w:t>Biskupský dvůr 1148/5,110 00 Praha 1</w:t>
            </w:r>
          </w:p>
        </w:tc>
      </w:tr>
      <w:tr w:rsidR="007B004D" w14:paraId="35E4A03D" w14:textId="77777777">
        <w:tblPrEx>
          <w:tblCellMar>
            <w:top w:w="0" w:type="dxa"/>
            <w:bottom w:w="0" w:type="dxa"/>
          </w:tblCellMar>
        </w:tblPrEx>
        <w:trPr>
          <w:trHeight w:hRule="exact" w:val="302"/>
          <w:jc w:val="center"/>
        </w:trPr>
        <w:tc>
          <w:tcPr>
            <w:tcW w:w="2434" w:type="dxa"/>
            <w:shd w:val="clear" w:color="auto" w:fill="auto"/>
          </w:tcPr>
          <w:p w14:paraId="32BA3A92" w14:textId="77777777" w:rsidR="007B004D" w:rsidRDefault="001A0B95">
            <w:pPr>
              <w:pStyle w:val="Other10"/>
              <w:spacing w:after="0" w:line="240" w:lineRule="auto"/>
              <w:rPr>
                <w:sz w:val="24"/>
                <w:szCs w:val="24"/>
              </w:rPr>
            </w:pPr>
            <w:r>
              <w:rPr>
                <w:rStyle w:val="Other1"/>
                <w:b/>
                <w:bCs/>
                <w:sz w:val="24"/>
                <w:szCs w:val="24"/>
              </w:rPr>
              <w:t>IČO:</w:t>
            </w:r>
          </w:p>
        </w:tc>
        <w:tc>
          <w:tcPr>
            <w:tcW w:w="5861" w:type="dxa"/>
            <w:shd w:val="clear" w:color="auto" w:fill="auto"/>
          </w:tcPr>
          <w:p w14:paraId="2D65CFE0" w14:textId="77777777" w:rsidR="007B004D" w:rsidRDefault="001A0B95">
            <w:pPr>
              <w:pStyle w:val="Other10"/>
              <w:spacing w:after="0" w:line="240" w:lineRule="auto"/>
              <w:ind w:firstLine="340"/>
              <w:jc w:val="both"/>
            </w:pPr>
            <w:r>
              <w:rPr>
                <w:rStyle w:val="Other1"/>
              </w:rPr>
              <w:t>48135267</w:t>
            </w:r>
          </w:p>
        </w:tc>
      </w:tr>
      <w:tr w:rsidR="007B004D" w14:paraId="53A0C026" w14:textId="77777777">
        <w:tblPrEx>
          <w:tblCellMar>
            <w:top w:w="0" w:type="dxa"/>
            <w:bottom w:w="0" w:type="dxa"/>
          </w:tblCellMar>
        </w:tblPrEx>
        <w:trPr>
          <w:trHeight w:hRule="exact" w:val="353"/>
          <w:jc w:val="center"/>
        </w:trPr>
        <w:tc>
          <w:tcPr>
            <w:tcW w:w="2434" w:type="dxa"/>
            <w:shd w:val="clear" w:color="auto" w:fill="auto"/>
          </w:tcPr>
          <w:p w14:paraId="1EE4122A" w14:textId="77777777" w:rsidR="007B004D" w:rsidRDefault="001A0B95">
            <w:pPr>
              <w:pStyle w:val="Other10"/>
              <w:spacing w:after="0" w:line="240" w:lineRule="auto"/>
              <w:rPr>
                <w:sz w:val="24"/>
                <w:szCs w:val="24"/>
              </w:rPr>
            </w:pPr>
            <w:r>
              <w:rPr>
                <w:rStyle w:val="Other1"/>
                <w:b/>
                <w:bCs/>
                <w:sz w:val="24"/>
                <w:szCs w:val="24"/>
              </w:rPr>
              <w:t>Zástupce:</w:t>
            </w:r>
          </w:p>
        </w:tc>
        <w:tc>
          <w:tcPr>
            <w:tcW w:w="5861" w:type="dxa"/>
            <w:shd w:val="clear" w:color="auto" w:fill="auto"/>
          </w:tcPr>
          <w:p w14:paraId="2E998C1B" w14:textId="77777777" w:rsidR="007B004D" w:rsidRDefault="001A0B95">
            <w:pPr>
              <w:pStyle w:val="Other10"/>
              <w:spacing w:after="0" w:line="240" w:lineRule="auto"/>
              <w:ind w:firstLine="340"/>
              <w:jc w:val="both"/>
            </w:pPr>
            <w:r>
              <w:rPr>
                <w:rStyle w:val="Other1"/>
              </w:rPr>
              <w:t>Ing. Jiří Kratochvíl, předseda ÚNMZ</w:t>
            </w:r>
          </w:p>
        </w:tc>
      </w:tr>
    </w:tbl>
    <w:p w14:paraId="58F85190" w14:textId="77777777" w:rsidR="007B004D" w:rsidRDefault="001A0B95">
      <w:pPr>
        <w:pStyle w:val="Tablecaption10"/>
        <w:rPr>
          <w:sz w:val="24"/>
          <w:szCs w:val="24"/>
        </w:rPr>
      </w:pPr>
      <w:r>
        <w:rPr>
          <w:rStyle w:val="Tablecaption1"/>
        </w:rPr>
        <w:t xml:space="preserve">(dále jen </w:t>
      </w:r>
      <w:r>
        <w:rPr>
          <w:rStyle w:val="Tablecaption1"/>
          <w:b/>
          <w:bCs/>
          <w:sz w:val="24"/>
          <w:szCs w:val="24"/>
        </w:rPr>
        <w:t>„Příkazce")</w:t>
      </w:r>
    </w:p>
    <w:p w14:paraId="495DE065" w14:textId="77777777" w:rsidR="007B004D" w:rsidRDefault="007B004D">
      <w:pPr>
        <w:spacing w:after="319" w:line="1" w:lineRule="exact"/>
      </w:pPr>
    </w:p>
    <w:p w14:paraId="31766FCA" w14:textId="77777777" w:rsidR="007B004D" w:rsidRDefault="001A0B95">
      <w:pPr>
        <w:pStyle w:val="Tablecaption10"/>
      </w:pPr>
      <w:r>
        <w:rPr>
          <w:rStyle w:val="Tablecaption1"/>
        </w:rPr>
        <w:t>a</w:t>
      </w:r>
    </w:p>
    <w:tbl>
      <w:tblPr>
        <w:tblOverlap w:val="never"/>
        <w:tblW w:w="0" w:type="auto"/>
        <w:tblLayout w:type="fixed"/>
        <w:tblCellMar>
          <w:left w:w="10" w:type="dxa"/>
          <w:right w:w="10" w:type="dxa"/>
        </w:tblCellMar>
        <w:tblLook w:val="0000" w:firstRow="0" w:lastRow="0" w:firstColumn="0" w:lastColumn="0" w:noHBand="0" w:noVBand="0"/>
      </w:tblPr>
      <w:tblGrid>
        <w:gridCol w:w="2714"/>
        <w:gridCol w:w="3334"/>
      </w:tblGrid>
      <w:tr w:rsidR="007B004D" w14:paraId="397BCE5E" w14:textId="77777777">
        <w:tblPrEx>
          <w:tblCellMar>
            <w:top w:w="0" w:type="dxa"/>
            <w:bottom w:w="0" w:type="dxa"/>
          </w:tblCellMar>
        </w:tblPrEx>
        <w:trPr>
          <w:trHeight w:hRule="exact" w:val="295"/>
        </w:trPr>
        <w:tc>
          <w:tcPr>
            <w:tcW w:w="2714" w:type="dxa"/>
            <w:shd w:val="clear" w:color="auto" w:fill="auto"/>
          </w:tcPr>
          <w:p w14:paraId="27AB5DD8" w14:textId="77777777" w:rsidR="007B004D" w:rsidRDefault="001A0B95">
            <w:pPr>
              <w:pStyle w:val="Other10"/>
              <w:spacing w:after="0" w:line="240" w:lineRule="auto"/>
              <w:rPr>
                <w:sz w:val="24"/>
                <w:szCs w:val="24"/>
              </w:rPr>
            </w:pPr>
            <w:r>
              <w:rPr>
                <w:rStyle w:val="Other1"/>
                <w:b/>
                <w:bCs/>
                <w:sz w:val="24"/>
                <w:szCs w:val="24"/>
              </w:rPr>
              <w:t>Název/Jméno příjmení:</w:t>
            </w:r>
          </w:p>
        </w:tc>
        <w:tc>
          <w:tcPr>
            <w:tcW w:w="3334" w:type="dxa"/>
            <w:shd w:val="clear" w:color="auto" w:fill="auto"/>
          </w:tcPr>
          <w:p w14:paraId="743BE98D" w14:textId="77777777" w:rsidR="007B004D" w:rsidRDefault="001A0B95">
            <w:pPr>
              <w:pStyle w:val="Other10"/>
              <w:spacing w:after="0" w:line="240" w:lineRule="auto"/>
            </w:pPr>
            <w:r>
              <w:rPr>
                <w:rStyle w:val="Other1"/>
              </w:rPr>
              <w:t>Strojírenský zkušební ústav, s.p.</w:t>
            </w:r>
          </w:p>
        </w:tc>
      </w:tr>
      <w:tr w:rsidR="007B004D" w14:paraId="1C53E31E" w14:textId="77777777">
        <w:tblPrEx>
          <w:tblCellMar>
            <w:top w:w="0" w:type="dxa"/>
            <w:bottom w:w="0" w:type="dxa"/>
          </w:tblCellMar>
        </w:tblPrEx>
        <w:trPr>
          <w:trHeight w:hRule="exact" w:val="310"/>
        </w:trPr>
        <w:tc>
          <w:tcPr>
            <w:tcW w:w="2714" w:type="dxa"/>
            <w:shd w:val="clear" w:color="auto" w:fill="auto"/>
          </w:tcPr>
          <w:p w14:paraId="5DA8C7A2" w14:textId="77777777" w:rsidR="007B004D" w:rsidRDefault="001A0B95">
            <w:pPr>
              <w:pStyle w:val="Other10"/>
              <w:spacing w:after="0" w:line="240" w:lineRule="auto"/>
              <w:rPr>
                <w:sz w:val="24"/>
                <w:szCs w:val="24"/>
              </w:rPr>
            </w:pPr>
            <w:r>
              <w:rPr>
                <w:rStyle w:val="Other1"/>
                <w:b/>
                <w:bCs/>
                <w:sz w:val="24"/>
                <w:szCs w:val="24"/>
              </w:rPr>
              <w:t>Sídlo:</w:t>
            </w:r>
          </w:p>
        </w:tc>
        <w:tc>
          <w:tcPr>
            <w:tcW w:w="3334" w:type="dxa"/>
            <w:shd w:val="clear" w:color="auto" w:fill="auto"/>
          </w:tcPr>
          <w:p w14:paraId="2EFF89BD" w14:textId="77777777" w:rsidR="007B004D" w:rsidRDefault="001A0B95">
            <w:pPr>
              <w:pStyle w:val="Other10"/>
              <w:spacing w:after="0" w:line="240" w:lineRule="auto"/>
            </w:pPr>
            <w:r>
              <w:rPr>
                <w:rStyle w:val="Other1"/>
              </w:rPr>
              <w:t>Brno, Hudcova 424/56 b,621 00</w:t>
            </w:r>
          </w:p>
        </w:tc>
      </w:tr>
      <w:tr w:rsidR="007B004D" w14:paraId="0BC0CC2C" w14:textId="77777777">
        <w:tblPrEx>
          <w:tblCellMar>
            <w:top w:w="0" w:type="dxa"/>
            <w:bottom w:w="0" w:type="dxa"/>
          </w:tblCellMar>
        </w:tblPrEx>
        <w:trPr>
          <w:trHeight w:hRule="exact" w:val="302"/>
        </w:trPr>
        <w:tc>
          <w:tcPr>
            <w:tcW w:w="2714" w:type="dxa"/>
            <w:shd w:val="clear" w:color="auto" w:fill="auto"/>
          </w:tcPr>
          <w:p w14:paraId="593CA600" w14:textId="77777777" w:rsidR="007B004D" w:rsidRDefault="001A0B95">
            <w:pPr>
              <w:pStyle w:val="Other10"/>
              <w:spacing w:after="0" w:line="240" w:lineRule="auto"/>
              <w:rPr>
                <w:sz w:val="24"/>
                <w:szCs w:val="24"/>
              </w:rPr>
            </w:pPr>
            <w:r>
              <w:rPr>
                <w:rStyle w:val="Other1"/>
                <w:b/>
                <w:bCs/>
                <w:sz w:val="24"/>
                <w:szCs w:val="24"/>
              </w:rPr>
              <w:t>IČO:</w:t>
            </w:r>
          </w:p>
        </w:tc>
        <w:tc>
          <w:tcPr>
            <w:tcW w:w="3334" w:type="dxa"/>
            <w:shd w:val="clear" w:color="auto" w:fill="auto"/>
          </w:tcPr>
          <w:p w14:paraId="06B93F5F" w14:textId="77777777" w:rsidR="007B004D" w:rsidRDefault="001A0B95">
            <w:pPr>
              <w:pStyle w:val="Other10"/>
              <w:spacing w:after="0" w:line="240" w:lineRule="auto"/>
            </w:pPr>
            <w:r>
              <w:rPr>
                <w:rStyle w:val="Other1"/>
              </w:rPr>
              <w:t>00001490</w:t>
            </w:r>
          </w:p>
        </w:tc>
      </w:tr>
      <w:tr w:rsidR="007B004D" w14:paraId="4C2D803D" w14:textId="77777777">
        <w:tblPrEx>
          <w:tblCellMar>
            <w:top w:w="0" w:type="dxa"/>
            <w:bottom w:w="0" w:type="dxa"/>
          </w:tblCellMar>
        </w:tblPrEx>
        <w:trPr>
          <w:trHeight w:hRule="exact" w:val="324"/>
        </w:trPr>
        <w:tc>
          <w:tcPr>
            <w:tcW w:w="2714" w:type="dxa"/>
            <w:shd w:val="clear" w:color="auto" w:fill="auto"/>
            <w:vAlign w:val="bottom"/>
          </w:tcPr>
          <w:p w14:paraId="7E657159" w14:textId="77777777" w:rsidR="007B004D" w:rsidRDefault="001A0B95">
            <w:pPr>
              <w:pStyle w:val="Other10"/>
              <w:spacing w:after="0" w:line="240" w:lineRule="auto"/>
              <w:rPr>
                <w:sz w:val="24"/>
                <w:szCs w:val="24"/>
              </w:rPr>
            </w:pPr>
            <w:r>
              <w:rPr>
                <w:rStyle w:val="Other1"/>
                <w:b/>
                <w:bCs/>
                <w:sz w:val="24"/>
                <w:szCs w:val="24"/>
              </w:rPr>
              <w:t>Zástupce:</w:t>
            </w:r>
          </w:p>
        </w:tc>
        <w:tc>
          <w:tcPr>
            <w:tcW w:w="3334" w:type="dxa"/>
            <w:shd w:val="clear" w:color="auto" w:fill="auto"/>
            <w:vAlign w:val="bottom"/>
          </w:tcPr>
          <w:p w14:paraId="14BA5A79" w14:textId="77777777" w:rsidR="007B004D" w:rsidRDefault="001A0B95">
            <w:pPr>
              <w:pStyle w:val="Other10"/>
              <w:spacing w:after="0" w:line="240" w:lineRule="auto"/>
            </w:pPr>
            <w:r>
              <w:rPr>
                <w:rStyle w:val="Other1"/>
              </w:rPr>
              <w:t>Ing. Tomáš Hruška-ředitel</w:t>
            </w:r>
          </w:p>
        </w:tc>
      </w:tr>
      <w:tr w:rsidR="007B004D" w14:paraId="7CBE854D" w14:textId="77777777">
        <w:tblPrEx>
          <w:tblCellMar>
            <w:top w:w="0" w:type="dxa"/>
            <w:bottom w:w="0" w:type="dxa"/>
          </w:tblCellMar>
        </w:tblPrEx>
        <w:trPr>
          <w:trHeight w:hRule="exact" w:val="310"/>
        </w:trPr>
        <w:tc>
          <w:tcPr>
            <w:tcW w:w="2714" w:type="dxa"/>
            <w:shd w:val="clear" w:color="auto" w:fill="auto"/>
            <w:vAlign w:val="bottom"/>
          </w:tcPr>
          <w:p w14:paraId="089D8B6A" w14:textId="77777777" w:rsidR="007B004D" w:rsidRDefault="001A0B95">
            <w:pPr>
              <w:pStyle w:val="Other10"/>
              <w:spacing w:after="0" w:line="240" w:lineRule="auto"/>
              <w:rPr>
                <w:sz w:val="24"/>
                <w:szCs w:val="24"/>
              </w:rPr>
            </w:pPr>
            <w:r>
              <w:rPr>
                <w:rStyle w:val="Other1"/>
                <w:b/>
                <w:bCs/>
                <w:sz w:val="24"/>
                <w:szCs w:val="24"/>
              </w:rPr>
              <w:t>Zápis v rejstříku:</w:t>
            </w:r>
          </w:p>
        </w:tc>
        <w:tc>
          <w:tcPr>
            <w:tcW w:w="3334" w:type="dxa"/>
            <w:shd w:val="clear" w:color="auto" w:fill="auto"/>
            <w:vAlign w:val="bottom"/>
          </w:tcPr>
          <w:p w14:paraId="1EFA2086" w14:textId="77777777" w:rsidR="007B004D" w:rsidRDefault="001A0B95">
            <w:pPr>
              <w:pStyle w:val="Other10"/>
              <w:spacing w:after="0" w:line="240" w:lineRule="auto"/>
            </w:pPr>
            <w:r>
              <w:rPr>
                <w:rStyle w:val="Other1"/>
              </w:rPr>
              <w:t>AXXIV 645 Krajský soud v Brně</w:t>
            </w:r>
          </w:p>
        </w:tc>
      </w:tr>
      <w:tr w:rsidR="007B004D" w14:paraId="43354321" w14:textId="77777777">
        <w:tblPrEx>
          <w:tblCellMar>
            <w:top w:w="0" w:type="dxa"/>
            <w:bottom w:w="0" w:type="dxa"/>
          </w:tblCellMar>
        </w:tblPrEx>
        <w:trPr>
          <w:trHeight w:hRule="exact" w:val="295"/>
        </w:trPr>
        <w:tc>
          <w:tcPr>
            <w:tcW w:w="2714" w:type="dxa"/>
            <w:shd w:val="clear" w:color="auto" w:fill="auto"/>
          </w:tcPr>
          <w:p w14:paraId="340CC5E5" w14:textId="77777777" w:rsidR="007B004D" w:rsidRDefault="001A0B95">
            <w:pPr>
              <w:pStyle w:val="Other10"/>
              <w:spacing w:after="0" w:line="240" w:lineRule="auto"/>
              <w:rPr>
                <w:sz w:val="24"/>
                <w:szCs w:val="24"/>
              </w:rPr>
            </w:pPr>
            <w:r>
              <w:rPr>
                <w:rStyle w:val="Other1"/>
                <w:b/>
                <w:bCs/>
                <w:sz w:val="24"/>
                <w:szCs w:val="24"/>
              </w:rPr>
              <w:t>E-mail:</w:t>
            </w:r>
          </w:p>
        </w:tc>
        <w:tc>
          <w:tcPr>
            <w:tcW w:w="3334" w:type="dxa"/>
            <w:shd w:val="clear" w:color="auto" w:fill="auto"/>
          </w:tcPr>
          <w:p w14:paraId="6910C3D2" w14:textId="77777777" w:rsidR="007B004D" w:rsidRDefault="001A0B95">
            <w:pPr>
              <w:pStyle w:val="Other10"/>
              <w:spacing w:after="0" w:line="240" w:lineRule="auto"/>
            </w:pPr>
            <w:hyperlink r:id="rId7" w:history="1">
              <w:r>
                <w:rPr>
                  <w:rStyle w:val="Other1"/>
                  <w:lang w:val="en-US" w:eastAsia="en-US" w:bidi="en-US"/>
                </w:rPr>
                <w:t>hruska@szutest.cz</w:t>
              </w:r>
            </w:hyperlink>
          </w:p>
        </w:tc>
      </w:tr>
      <w:tr w:rsidR="007B004D" w14:paraId="18FC879B" w14:textId="77777777">
        <w:tblPrEx>
          <w:tblCellMar>
            <w:top w:w="0" w:type="dxa"/>
            <w:bottom w:w="0" w:type="dxa"/>
          </w:tblCellMar>
        </w:tblPrEx>
        <w:trPr>
          <w:trHeight w:hRule="exact" w:val="338"/>
        </w:trPr>
        <w:tc>
          <w:tcPr>
            <w:tcW w:w="2714" w:type="dxa"/>
            <w:shd w:val="clear" w:color="auto" w:fill="auto"/>
          </w:tcPr>
          <w:p w14:paraId="6D5D1BC8" w14:textId="77777777" w:rsidR="007B004D" w:rsidRDefault="001A0B95">
            <w:pPr>
              <w:pStyle w:val="Other10"/>
              <w:spacing w:after="0" w:line="240" w:lineRule="auto"/>
              <w:rPr>
                <w:sz w:val="24"/>
                <w:szCs w:val="24"/>
              </w:rPr>
            </w:pPr>
            <w:r>
              <w:rPr>
                <w:rStyle w:val="Other1"/>
                <w:b/>
                <w:bCs/>
                <w:sz w:val="24"/>
                <w:szCs w:val="24"/>
              </w:rPr>
              <w:t>Kontaktní osoba:</w:t>
            </w:r>
          </w:p>
        </w:tc>
        <w:tc>
          <w:tcPr>
            <w:tcW w:w="3334" w:type="dxa"/>
            <w:shd w:val="clear" w:color="auto" w:fill="auto"/>
          </w:tcPr>
          <w:p w14:paraId="27FFBCD9" w14:textId="77777777" w:rsidR="007B004D" w:rsidRDefault="001A0B95">
            <w:pPr>
              <w:pStyle w:val="Other10"/>
              <w:spacing w:after="0" w:line="240" w:lineRule="auto"/>
            </w:pPr>
            <w:r>
              <w:rPr>
                <w:rStyle w:val="Other1"/>
              </w:rPr>
              <w:t>Bc. Jan Hnilica</w:t>
            </w:r>
          </w:p>
        </w:tc>
      </w:tr>
    </w:tbl>
    <w:p w14:paraId="2AEB16AF" w14:textId="77777777" w:rsidR="007B004D" w:rsidRDefault="001A0B95">
      <w:pPr>
        <w:pStyle w:val="Tablecaption10"/>
        <w:ind w:left="58"/>
        <w:rPr>
          <w:sz w:val="24"/>
          <w:szCs w:val="24"/>
        </w:rPr>
      </w:pPr>
      <w:r>
        <w:rPr>
          <w:rStyle w:val="Tablecaption1"/>
        </w:rPr>
        <w:t xml:space="preserve">(dále jen </w:t>
      </w:r>
      <w:r>
        <w:rPr>
          <w:rStyle w:val="Tablecaption1"/>
          <w:b/>
          <w:bCs/>
          <w:sz w:val="24"/>
          <w:szCs w:val="24"/>
        </w:rPr>
        <w:t>„Příkazník")</w:t>
      </w:r>
    </w:p>
    <w:p w14:paraId="17D1F518" w14:textId="77777777" w:rsidR="007B004D" w:rsidRDefault="007B004D">
      <w:pPr>
        <w:spacing w:after="279" w:line="1" w:lineRule="exact"/>
      </w:pPr>
    </w:p>
    <w:p w14:paraId="6CB45210" w14:textId="77777777" w:rsidR="007B004D" w:rsidRDefault="001A0B95">
      <w:pPr>
        <w:pStyle w:val="Bodytext10"/>
        <w:spacing w:after="280" w:line="300" w:lineRule="auto"/>
        <w:jc w:val="both"/>
      </w:pPr>
      <w:r>
        <w:rPr>
          <w:rStyle w:val="Bodytext1"/>
        </w:rPr>
        <w:t xml:space="preserve">uzavírají, ve smyslu ustanovení § 2430 a násl. zákona č. 89/2012 Sb., občanský zákoník, ve znění </w:t>
      </w:r>
      <w:r>
        <w:rPr>
          <w:rStyle w:val="Bodytext1"/>
        </w:rPr>
        <w:t>pozdějších předpisů, tuto</w:t>
      </w:r>
    </w:p>
    <w:p w14:paraId="5CBD206E" w14:textId="77777777" w:rsidR="007B004D" w:rsidRDefault="001A0B95">
      <w:pPr>
        <w:pStyle w:val="Bodytext10"/>
        <w:spacing w:after="440" w:line="269" w:lineRule="auto"/>
        <w:jc w:val="center"/>
        <w:rPr>
          <w:sz w:val="24"/>
          <w:szCs w:val="24"/>
        </w:rPr>
      </w:pPr>
      <w:r>
        <w:rPr>
          <w:rStyle w:val="Bodytext1"/>
          <w:b/>
          <w:bCs/>
          <w:sz w:val="24"/>
          <w:szCs w:val="24"/>
        </w:rPr>
        <w:t>příkazní smlouvu</w:t>
      </w:r>
      <w:r>
        <w:rPr>
          <w:rStyle w:val="Bodytext1"/>
          <w:b/>
          <w:bCs/>
          <w:sz w:val="24"/>
          <w:szCs w:val="24"/>
        </w:rPr>
        <w:br/>
      </w:r>
      <w:r>
        <w:rPr>
          <w:rStyle w:val="Bodytext1"/>
        </w:rPr>
        <w:t xml:space="preserve">(dále jen </w:t>
      </w:r>
      <w:r>
        <w:rPr>
          <w:rStyle w:val="Bodytext1"/>
          <w:b/>
          <w:bCs/>
          <w:sz w:val="24"/>
          <w:szCs w:val="24"/>
        </w:rPr>
        <w:t>„Smlouva"]</w:t>
      </w:r>
    </w:p>
    <w:p w14:paraId="5E91F619" w14:textId="77777777" w:rsidR="007B004D" w:rsidRDefault="001A0B95">
      <w:pPr>
        <w:pStyle w:val="Heading210"/>
        <w:keepNext/>
        <w:keepLines/>
        <w:numPr>
          <w:ilvl w:val="0"/>
          <w:numId w:val="1"/>
        </w:numPr>
        <w:tabs>
          <w:tab w:val="left" w:pos="338"/>
        </w:tabs>
        <w:spacing w:after="280" w:line="240" w:lineRule="auto"/>
      </w:pPr>
      <w:bookmarkStart w:id="1" w:name="bookmark2"/>
      <w:r>
        <w:rPr>
          <w:rStyle w:val="Heading21"/>
          <w:b/>
          <w:bCs/>
        </w:rPr>
        <w:t>Obecná ustanovení</w:t>
      </w:r>
      <w:bookmarkEnd w:id="1"/>
    </w:p>
    <w:p w14:paraId="209B0AA1" w14:textId="77777777" w:rsidR="007B004D" w:rsidRDefault="001A0B95">
      <w:pPr>
        <w:pStyle w:val="Bodytext10"/>
        <w:numPr>
          <w:ilvl w:val="1"/>
          <w:numId w:val="1"/>
        </w:numPr>
        <w:tabs>
          <w:tab w:val="left" w:pos="670"/>
        </w:tabs>
        <w:spacing w:line="300" w:lineRule="auto"/>
        <w:ind w:left="680" w:hanging="680"/>
        <w:jc w:val="both"/>
      </w:pPr>
      <w:r>
        <w:rPr>
          <w:rStyle w:val="Bodytext1"/>
        </w:rPr>
        <w:t>Smluvní strany prohlašují, že jsou oprávněny uzavřít tuto Smlouvu a plnit povinnosti z ní vyplývající.</w:t>
      </w:r>
    </w:p>
    <w:p w14:paraId="76F38B64" w14:textId="77777777" w:rsidR="007B004D" w:rsidRDefault="001A0B95">
      <w:pPr>
        <w:pStyle w:val="Bodytext10"/>
        <w:numPr>
          <w:ilvl w:val="1"/>
          <w:numId w:val="1"/>
        </w:numPr>
        <w:tabs>
          <w:tab w:val="left" w:pos="670"/>
        </w:tabs>
        <w:ind w:left="680" w:hanging="680"/>
        <w:jc w:val="both"/>
      </w:pPr>
      <w:r>
        <w:rPr>
          <w:rStyle w:val="Bodytext1"/>
        </w:rPr>
        <w:t xml:space="preserve">Příkazce prohlašuje, že je správní úřad se sídlem v Praze, který je </w:t>
      </w:r>
      <w:r>
        <w:rPr>
          <w:rStyle w:val="Bodytext1"/>
        </w:rPr>
        <w:t>podřízen Ministerstvu průmyslu a obchodu, zřízen na základě zákona č. 20/1993 Sb., o zabezpečení výkonu státní správy v oblasti technické normalizace, metrologie a státního zkušebnictví, ve znění pozdějších předpisů.</w:t>
      </w:r>
    </w:p>
    <w:p w14:paraId="78377169" w14:textId="77777777" w:rsidR="007B004D" w:rsidRDefault="001A0B95">
      <w:pPr>
        <w:pStyle w:val="Bodytext10"/>
        <w:numPr>
          <w:ilvl w:val="1"/>
          <w:numId w:val="1"/>
        </w:numPr>
        <w:tabs>
          <w:tab w:val="left" w:pos="670"/>
        </w:tabs>
        <w:spacing w:after="280" w:line="290" w:lineRule="auto"/>
        <w:ind w:left="680" w:hanging="680"/>
        <w:jc w:val="both"/>
        <w:sectPr w:rsidR="007B004D">
          <w:footerReference w:type="default" r:id="rId8"/>
          <w:pgSz w:w="11900" w:h="16840"/>
          <w:pgMar w:top="1892" w:right="1581" w:bottom="1450" w:left="1543" w:header="1464" w:footer="3" w:gutter="0"/>
          <w:pgNumType w:start="1"/>
          <w:cols w:space="720"/>
          <w:noEndnote/>
          <w:docGrid w:linePitch="360"/>
        </w:sectPr>
      </w:pPr>
      <w:r>
        <w:rPr>
          <w:rStyle w:val="Bodytext1"/>
        </w:rPr>
        <w:t xml:space="preserve">Příkazce se ve spolupráci s Ministerstvem průmyslu a obchodu České republiky podílí na rozvoji zkušebnictví v České republice v rámci Programu rozvoje zkušebnictví (PRZ), který vychází z potřeb systému </w:t>
      </w:r>
      <w:r>
        <w:rPr>
          <w:rStyle w:val="Bodytext1"/>
        </w:rPr>
        <w:t>posuzování shody v regulované sféře, zejména pak z potřeb zabezpečení činnosti autorizovaných/notifikovaných osob, oznámených subjektů a uznaných</w:t>
      </w:r>
    </w:p>
    <w:p w14:paraId="0206D38B" w14:textId="77777777" w:rsidR="007B004D" w:rsidRDefault="001A0B95">
      <w:pPr>
        <w:pStyle w:val="Heading210"/>
        <w:keepNext/>
        <w:keepLines/>
        <w:numPr>
          <w:ilvl w:val="0"/>
          <w:numId w:val="2"/>
        </w:numPr>
        <w:tabs>
          <w:tab w:val="left" w:pos="346"/>
        </w:tabs>
        <w:spacing w:line="240" w:lineRule="auto"/>
      </w:pPr>
      <w:bookmarkStart w:id="2" w:name="bookmark4"/>
      <w:r>
        <w:rPr>
          <w:rStyle w:val="Heading21"/>
          <w:b/>
          <w:bCs/>
        </w:rPr>
        <w:lastRenderedPageBreak/>
        <w:t>Odměna</w:t>
      </w:r>
      <w:bookmarkEnd w:id="2"/>
    </w:p>
    <w:p w14:paraId="5AEE1B7D" w14:textId="77777777" w:rsidR="007B004D" w:rsidRDefault="001A0B95">
      <w:pPr>
        <w:pStyle w:val="Bodytext10"/>
        <w:numPr>
          <w:ilvl w:val="1"/>
          <w:numId w:val="2"/>
        </w:numPr>
        <w:tabs>
          <w:tab w:val="left" w:pos="677"/>
        </w:tabs>
        <w:spacing w:line="298" w:lineRule="auto"/>
        <w:ind w:left="660" w:hanging="660"/>
        <w:jc w:val="both"/>
      </w:pPr>
      <w:r>
        <w:rPr>
          <w:rStyle w:val="Bodytext1"/>
        </w:rPr>
        <w:t>Odměna Příkazníka za plnění dle této Smlouvy je stanovena dle jednotlivých pokynů a bude určena a navržena v pokynu Příkazce v souvislosti se zadáním konkrétního Úkolu s tím, že Příkazník je oprávněn o odměně jednat.</w:t>
      </w:r>
    </w:p>
    <w:p w14:paraId="7BA179C1" w14:textId="77777777" w:rsidR="007B004D" w:rsidRDefault="001A0B95">
      <w:pPr>
        <w:pStyle w:val="Bodytext10"/>
        <w:numPr>
          <w:ilvl w:val="1"/>
          <w:numId w:val="2"/>
        </w:numPr>
        <w:tabs>
          <w:tab w:val="left" w:pos="677"/>
        </w:tabs>
        <w:spacing w:after="420" w:line="300" w:lineRule="auto"/>
        <w:ind w:left="660" w:hanging="660"/>
        <w:jc w:val="both"/>
        <w:rPr>
          <w:sz w:val="24"/>
          <w:szCs w:val="24"/>
        </w:rPr>
      </w:pPr>
      <w:r>
        <w:rPr>
          <w:rStyle w:val="Bodytext1"/>
        </w:rPr>
        <w:t xml:space="preserve">Maximální výše celkové odměny Příkazníka dle této Smlouvy činí 509 088 Kč bez DPH (dále jen </w:t>
      </w:r>
      <w:r>
        <w:rPr>
          <w:rStyle w:val="Bodytext1"/>
          <w:b/>
          <w:bCs/>
          <w:sz w:val="24"/>
          <w:szCs w:val="24"/>
        </w:rPr>
        <w:t>„Odměna").</w:t>
      </w:r>
    </w:p>
    <w:p w14:paraId="7CC8CECE" w14:textId="77777777" w:rsidR="007B004D" w:rsidRDefault="001A0B95">
      <w:pPr>
        <w:pStyle w:val="Heading210"/>
        <w:keepNext/>
        <w:keepLines/>
        <w:numPr>
          <w:ilvl w:val="0"/>
          <w:numId w:val="2"/>
        </w:numPr>
        <w:tabs>
          <w:tab w:val="left" w:pos="346"/>
        </w:tabs>
      </w:pPr>
      <w:bookmarkStart w:id="3" w:name="bookmark6"/>
      <w:r>
        <w:rPr>
          <w:rStyle w:val="Heading21"/>
          <w:b/>
          <w:bCs/>
        </w:rPr>
        <w:t>Platební podmínky</w:t>
      </w:r>
      <w:bookmarkEnd w:id="3"/>
    </w:p>
    <w:p w14:paraId="3EB2B20B" w14:textId="77777777" w:rsidR="007B004D" w:rsidRDefault="001A0B95">
      <w:pPr>
        <w:pStyle w:val="Bodytext10"/>
        <w:numPr>
          <w:ilvl w:val="1"/>
          <w:numId w:val="2"/>
        </w:numPr>
        <w:tabs>
          <w:tab w:val="left" w:pos="677"/>
        </w:tabs>
        <w:spacing w:line="298" w:lineRule="auto"/>
        <w:ind w:left="660" w:hanging="660"/>
        <w:jc w:val="both"/>
      </w:pPr>
      <w:r>
        <w:rPr>
          <w:rStyle w:val="Bodytext1"/>
        </w:rPr>
        <w:t>Příkazce je povinen zaplatit Příkazníkovi odměnu za Úkol po řádném splnění a předání daného Úkolu a po potvrzení o splnění Příkazníkovi ze strany Příkazce.</w:t>
      </w:r>
    </w:p>
    <w:p w14:paraId="6865178D" w14:textId="77777777" w:rsidR="007B004D" w:rsidRDefault="001A0B95">
      <w:pPr>
        <w:pStyle w:val="Bodytext10"/>
        <w:numPr>
          <w:ilvl w:val="1"/>
          <w:numId w:val="2"/>
        </w:numPr>
        <w:tabs>
          <w:tab w:val="left" w:pos="677"/>
        </w:tabs>
        <w:spacing w:line="298" w:lineRule="auto"/>
        <w:ind w:left="660" w:hanging="660"/>
        <w:jc w:val="both"/>
      </w:pPr>
      <w:r>
        <w:rPr>
          <w:rStyle w:val="Bodytext1"/>
        </w:rPr>
        <w:t>Poskytnutá dílčí platba bude zúčtována v rámci závěrečného vyúčtování. Součástí závěrečného vyúčtování bude rozpis plnění Úkolu a čerpání nákladů na jeho řešení.</w:t>
      </w:r>
    </w:p>
    <w:p w14:paraId="094567F9" w14:textId="77777777" w:rsidR="007B004D" w:rsidRDefault="001A0B95">
      <w:pPr>
        <w:pStyle w:val="Bodytext10"/>
        <w:numPr>
          <w:ilvl w:val="1"/>
          <w:numId w:val="2"/>
        </w:numPr>
        <w:tabs>
          <w:tab w:val="left" w:pos="677"/>
        </w:tabs>
        <w:spacing w:line="298" w:lineRule="auto"/>
        <w:ind w:left="660" w:hanging="660"/>
        <w:jc w:val="both"/>
      </w:pPr>
      <w:r>
        <w:rPr>
          <w:rStyle w:val="Bodytext1"/>
        </w:rPr>
        <w:t xml:space="preserve">Sjednaná lhůta pro zaplacení smluvní ceny je 30 kalendářních dnů a </w:t>
      </w:r>
      <w:proofErr w:type="gramStart"/>
      <w:r>
        <w:rPr>
          <w:rStyle w:val="Bodytext1"/>
        </w:rPr>
        <w:t>běží</w:t>
      </w:r>
      <w:proofErr w:type="gramEnd"/>
      <w:r>
        <w:rPr>
          <w:rStyle w:val="Bodytext1"/>
        </w:rPr>
        <w:t xml:space="preserve"> ode dne, kdy Příkazce obdrží od Příkazníka vyúčtování provedených prací, které musí obsahovat náležitosti účetního dokladu (faktury) stanovené v § 11 zák. č. 563/1991 Sb., o účetnictví.</w:t>
      </w:r>
    </w:p>
    <w:p w14:paraId="46B27693" w14:textId="77777777" w:rsidR="007B004D" w:rsidRDefault="001A0B95">
      <w:pPr>
        <w:pStyle w:val="Bodytext10"/>
        <w:numPr>
          <w:ilvl w:val="1"/>
          <w:numId w:val="2"/>
        </w:numPr>
        <w:tabs>
          <w:tab w:val="left" w:pos="677"/>
        </w:tabs>
        <w:spacing w:line="298" w:lineRule="auto"/>
        <w:ind w:left="660" w:hanging="660"/>
        <w:jc w:val="both"/>
      </w:pPr>
      <w:r>
        <w:rPr>
          <w:rStyle w:val="Bodytext1"/>
        </w:rPr>
        <w:t xml:space="preserve">Nebude-li účetní doklad (faktura) obsahovat stanovené náležitosti, je Příkazce oprávněn fakturu vrátit k přepracování. V tomto případě neplatí původní lhůta splatnosti, ale celá lhůta splatnosti </w:t>
      </w:r>
      <w:proofErr w:type="gramStart"/>
      <w:r>
        <w:rPr>
          <w:rStyle w:val="Bodytext1"/>
        </w:rPr>
        <w:t>běží</w:t>
      </w:r>
      <w:proofErr w:type="gramEnd"/>
      <w:r>
        <w:rPr>
          <w:rStyle w:val="Bodytext1"/>
        </w:rPr>
        <w:t xml:space="preserve"> znovu ode dne doručení opravené nebo nově vystavené faktury.</w:t>
      </w:r>
    </w:p>
    <w:p w14:paraId="477BCB4E" w14:textId="77777777" w:rsidR="007B004D" w:rsidRDefault="001A0B95">
      <w:pPr>
        <w:pStyle w:val="Bodytext10"/>
        <w:numPr>
          <w:ilvl w:val="1"/>
          <w:numId w:val="2"/>
        </w:numPr>
        <w:tabs>
          <w:tab w:val="left" w:pos="677"/>
        </w:tabs>
        <w:ind w:left="660" w:hanging="660"/>
        <w:jc w:val="both"/>
      </w:pPr>
      <w:r>
        <w:rPr>
          <w:rStyle w:val="Bodytext1"/>
        </w:rPr>
        <w:t>Vyúčtování za plnění Úkolu musí být Příkazci předloženo nejpozději do 14 kalendářních dnů po obdržení potvrzení ze strany Příkazce o splnění Úkolu.</w:t>
      </w:r>
    </w:p>
    <w:p w14:paraId="73334A5F" w14:textId="77777777" w:rsidR="007B004D" w:rsidRDefault="001A0B95">
      <w:pPr>
        <w:pStyle w:val="Bodytext10"/>
        <w:numPr>
          <w:ilvl w:val="1"/>
          <w:numId w:val="2"/>
        </w:numPr>
        <w:tabs>
          <w:tab w:val="left" w:pos="677"/>
        </w:tabs>
        <w:spacing w:line="298" w:lineRule="auto"/>
        <w:ind w:left="660" w:hanging="660"/>
        <w:jc w:val="both"/>
      </w:pPr>
      <w:r>
        <w:rPr>
          <w:rStyle w:val="Bodytext1"/>
        </w:rPr>
        <w:t>Pokud bez zavinění Příkazníka dojde v průběhu plnění Úkolu k nutnosti plnit Úkol odchylně od zadání, a tím i k možnému zvýšení nebo snížení nákladů a zvýšení nebo snížení odměny, mohou být Příkazníkem tyto práce provedeny jen s předchozím písemným souhlasem Příkazce.</w:t>
      </w:r>
    </w:p>
    <w:p w14:paraId="11B912F4" w14:textId="77777777" w:rsidR="007B004D" w:rsidRDefault="001A0B95">
      <w:pPr>
        <w:pStyle w:val="Bodytext10"/>
        <w:numPr>
          <w:ilvl w:val="1"/>
          <w:numId w:val="2"/>
        </w:numPr>
        <w:tabs>
          <w:tab w:val="left" w:pos="677"/>
        </w:tabs>
        <w:spacing w:line="293" w:lineRule="auto"/>
        <w:ind w:left="660" w:hanging="660"/>
        <w:jc w:val="both"/>
      </w:pPr>
      <w:r>
        <w:rPr>
          <w:rStyle w:val="Bodytext1"/>
        </w:rPr>
        <w:t>V případě, že splnění Úkolu neodpovídá zadání nebo požadavkům stanoveným touto Smlouvou nebo Příkazník bez souhlasu Příkazce provedl při plnění Úkolu podstatné změny nebo neprovedl úpravy a opravy ve lhůtě stanovené Příkazcem, je Příkazce oprávněn odměnu sjednanou za Úkol krátit nebo vůbec neproplatit.</w:t>
      </w:r>
    </w:p>
    <w:p w14:paraId="0418D89C" w14:textId="77777777" w:rsidR="007B004D" w:rsidRDefault="001A0B95">
      <w:pPr>
        <w:pStyle w:val="Bodytext10"/>
        <w:numPr>
          <w:ilvl w:val="1"/>
          <w:numId w:val="2"/>
        </w:numPr>
        <w:tabs>
          <w:tab w:val="left" w:pos="677"/>
        </w:tabs>
        <w:spacing w:after="420"/>
        <w:ind w:left="660" w:hanging="660"/>
        <w:jc w:val="both"/>
      </w:pPr>
      <w:r>
        <w:rPr>
          <w:rStyle w:val="Bodytext1"/>
        </w:rPr>
        <w:t xml:space="preserve">V případě, že Příkazník bezdůvodně </w:t>
      </w:r>
      <w:proofErr w:type="gramStart"/>
      <w:r>
        <w:rPr>
          <w:rStyle w:val="Bodytext1"/>
        </w:rPr>
        <w:t>nedodrží</w:t>
      </w:r>
      <w:proofErr w:type="gramEnd"/>
      <w:r>
        <w:rPr>
          <w:rStyle w:val="Bodytext1"/>
        </w:rPr>
        <w:t xml:space="preserve"> dobu plnění stanovenou v pokynu Příkazce, je Příkazník povinen uhradit Příkazci smluvní pokutu ve výši 0,5 % z odměny Úkolu (včetně DPH), a to za každý i započatý den prodlení.</w:t>
      </w:r>
    </w:p>
    <w:p w14:paraId="483A9477" w14:textId="77777777" w:rsidR="007B004D" w:rsidRDefault="001A0B95">
      <w:pPr>
        <w:pStyle w:val="Bodytext10"/>
        <w:numPr>
          <w:ilvl w:val="0"/>
          <w:numId w:val="2"/>
        </w:numPr>
        <w:tabs>
          <w:tab w:val="left" w:pos="346"/>
        </w:tabs>
        <w:spacing w:line="271" w:lineRule="auto"/>
        <w:rPr>
          <w:sz w:val="24"/>
          <w:szCs w:val="24"/>
        </w:rPr>
        <w:sectPr w:rsidR="007B004D">
          <w:footerReference w:type="default" r:id="rId9"/>
          <w:pgSz w:w="11900" w:h="16840"/>
          <w:pgMar w:top="1892" w:right="1581" w:bottom="1450" w:left="1543" w:header="1464" w:footer="3" w:gutter="0"/>
          <w:pgNumType w:start="3"/>
          <w:cols w:space="720"/>
          <w:noEndnote/>
          <w:docGrid w:linePitch="360"/>
        </w:sectPr>
      </w:pPr>
      <w:r>
        <w:rPr>
          <w:rStyle w:val="Bodytext1"/>
          <w:b/>
          <w:bCs/>
          <w:sz w:val="24"/>
          <w:szCs w:val="24"/>
        </w:rPr>
        <w:t xml:space="preserve">Doba trvání Smlouvy a místo plnění </w:t>
      </w:r>
    </w:p>
    <w:p w14:paraId="0A5E7120" w14:textId="77777777" w:rsidR="007B004D" w:rsidRDefault="001A0B95">
      <w:pPr>
        <w:pStyle w:val="Bodytext10"/>
        <w:tabs>
          <w:tab w:val="left" w:pos="346"/>
        </w:tabs>
        <w:spacing w:line="271" w:lineRule="auto"/>
      </w:pPr>
      <w:r>
        <w:rPr>
          <w:rStyle w:val="Bodytext1"/>
        </w:rPr>
        <w:lastRenderedPageBreak/>
        <w:t xml:space="preserve">č. 262/2006 Sb., zákoník práce, ve znění pozdějších předpisů, a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Plnění povinnosti dle předchozí věty se Příkazník zavazuje vyžadovat u všech svých poddodavatelů a spolupracovníků, kteří se podílejí na </w:t>
      </w:r>
      <w:r>
        <w:rPr>
          <w:rStyle w:val="Bodytext1"/>
        </w:rPr>
        <w:t>plnění této Smlouvy.</w:t>
      </w:r>
    </w:p>
    <w:p w14:paraId="64268E92" w14:textId="77777777" w:rsidR="007B004D" w:rsidRDefault="001A0B95">
      <w:pPr>
        <w:pStyle w:val="Bodytext10"/>
        <w:numPr>
          <w:ilvl w:val="1"/>
          <w:numId w:val="3"/>
        </w:numPr>
        <w:tabs>
          <w:tab w:val="left" w:pos="696"/>
        </w:tabs>
        <w:spacing w:line="298" w:lineRule="auto"/>
        <w:ind w:left="680" w:hanging="680"/>
        <w:jc w:val="both"/>
      </w:pPr>
      <w:r>
        <w:rPr>
          <w:rStyle w:val="Bodytext1"/>
        </w:rPr>
        <w:t>Příkazník se zavazuje po dobu plnění této Smlouvy platit svým poddodavatelům, kteří se na ní podílejí. V případě, že se na plnění této Smlouvy podílí poddodavatel Příkazníka, Příkazník se zavazuje, že:</w:t>
      </w:r>
    </w:p>
    <w:p w14:paraId="36386EDA" w14:textId="77777777" w:rsidR="007B004D" w:rsidRDefault="001A0B95">
      <w:pPr>
        <w:pStyle w:val="Bodytext10"/>
        <w:numPr>
          <w:ilvl w:val="2"/>
          <w:numId w:val="3"/>
        </w:numPr>
        <w:tabs>
          <w:tab w:val="left" w:pos="1378"/>
        </w:tabs>
        <w:ind w:left="1380" w:hanging="700"/>
        <w:jc w:val="both"/>
      </w:pPr>
      <w:r>
        <w:rPr>
          <w:rStyle w:val="Bodytext1"/>
        </w:rPr>
        <w:t>si sjedná a bude dodržovat smluvní podmínky se svými poddodavateli srovnatelnými s podmínkami sjednanými ve Smlouvě, a to v rozsahu výše smluvních pokut a délky záruční doby. Uvedené smluvní podmínky se považují za srovnatelné, bude-li výše smluvních pokut a délka záruční doby shodná se Smlouvou;</w:t>
      </w:r>
    </w:p>
    <w:p w14:paraId="2E0165AE" w14:textId="77777777" w:rsidR="007B004D" w:rsidRDefault="001A0B95">
      <w:pPr>
        <w:pStyle w:val="Bodytext10"/>
        <w:numPr>
          <w:ilvl w:val="2"/>
          <w:numId w:val="3"/>
        </w:numPr>
        <w:tabs>
          <w:tab w:val="left" w:pos="1378"/>
        </w:tabs>
        <w:spacing w:after="420"/>
        <w:ind w:left="1380" w:hanging="700"/>
        <w:jc w:val="both"/>
      </w:pPr>
      <w:r>
        <w:rPr>
          <w:rStyle w:val="Bodytext1"/>
        </w:rPr>
        <w:t>bude řádně a včas plnit finanční závazky svým poddodavatelům, kdy za řádné a včasné plnění se považuje plné uhrazení poddodavatelem vystavených faktur za plnění poskytnutá za plnění této Smlouvy (nebo jeho části), a to vždy do 15 dnů od obdržení platby ze strany Příkazce za konkrétní plnění.</w:t>
      </w:r>
    </w:p>
    <w:p w14:paraId="06A69ECE" w14:textId="77777777" w:rsidR="007B004D" w:rsidRDefault="001A0B95">
      <w:pPr>
        <w:pStyle w:val="Heading210"/>
        <w:keepNext/>
        <w:keepLines/>
        <w:numPr>
          <w:ilvl w:val="0"/>
          <w:numId w:val="4"/>
        </w:numPr>
        <w:tabs>
          <w:tab w:val="left" w:pos="346"/>
        </w:tabs>
        <w:spacing w:after="220"/>
      </w:pPr>
      <w:bookmarkStart w:id="4" w:name="bookmark8"/>
      <w:r>
        <w:rPr>
          <w:rStyle w:val="Heading21"/>
          <w:b/>
          <w:bCs/>
        </w:rPr>
        <w:t>Ukončení Smlouvy</w:t>
      </w:r>
      <w:bookmarkEnd w:id="4"/>
    </w:p>
    <w:p w14:paraId="4126E91A" w14:textId="77777777" w:rsidR="007B004D" w:rsidRDefault="001A0B95">
      <w:pPr>
        <w:pStyle w:val="Bodytext10"/>
        <w:numPr>
          <w:ilvl w:val="1"/>
          <w:numId w:val="4"/>
        </w:numPr>
        <w:tabs>
          <w:tab w:val="left" w:pos="696"/>
        </w:tabs>
        <w:spacing w:line="307" w:lineRule="auto"/>
        <w:ind w:left="680" w:hanging="680"/>
        <w:jc w:val="both"/>
      </w:pPr>
      <w:r>
        <w:rPr>
          <w:rStyle w:val="Bodytext1"/>
        </w:rPr>
        <w:t>Příkazce je oprávněn ukončit tuto Smlouvu za podmínek uvedených v ustanovení § 2443 občanského zákoníku.</w:t>
      </w:r>
    </w:p>
    <w:p w14:paraId="0CC960FE" w14:textId="77777777" w:rsidR="007B004D" w:rsidRDefault="001A0B95">
      <w:pPr>
        <w:pStyle w:val="Bodytext10"/>
        <w:numPr>
          <w:ilvl w:val="1"/>
          <w:numId w:val="4"/>
        </w:numPr>
        <w:tabs>
          <w:tab w:val="left" w:pos="696"/>
        </w:tabs>
        <w:ind w:left="680" w:hanging="680"/>
        <w:jc w:val="both"/>
      </w:pPr>
      <w:r>
        <w:rPr>
          <w:rStyle w:val="Bodytext1"/>
        </w:rPr>
        <w:t xml:space="preserve">Příkazce je </w:t>
      </w:r>
      <w:r>
        <w:rPr>
          <w:rStyle w:val="Bodytext1"/>
        </w:rPr>
        <w:t>oprávněn od této Smlouvy odstoupit v případě, že by bylo rozhodnuto o úpadku Příkazníka ve smyslu zákona č. 182/2006 Sb., o úpadku a způsobech jeho řešení (insolvenční zákon), ve znění pozdějších předpisů.</w:t>
      </w:r>
    </w:p>
    <w:p w14:paraId="249A9BE2" w14:textId="77777777" w:rsidR="007B004D" w:rsidRDefault="001A0B95">
      <w:pPr>
        <w:pStyle w:val="Bodytext10"/>
        <w:numPr>
          <w:ilvl w:val="1"/>
          <w:numId w:val="4"/>
        </w:numPr>
        <w:tabs>
          <w:tab w:val="left" w:pos="696"/>
        </w:tabs>
        <w:spacing w:line="300" w:lineRule="auto"/>
        <w:ind w:left="680" w:hanging="680"/>
        <w:jc w:val="both"/>
      </w:pPr>
      <w:r>
        <w:rPr>
          <w:rStyle w:val="Bodytext1"/>
        </w:rPr>
        <w:t xml:space="preserve">Příkazce je oprávněn od této Smlouvy odstoupit, </w:t>
      </w:r>
      <w:proofErr w:type="gramStart"/>
      <w:r>
        <w:rPr>
          <w:rStyle w:val="Bodytext1"/>
        </w:rPr>
        <w:t>poruší</w:t>
      </w:r>
      <w:proofErr w:type="gramEnd"/>
      <w:r>
        <w:rPr>
          <w:rStyle w:val="Bodytext1"/>
        </w:rPr>
        <w:t>-li Příkazník povinnost mlčenlivosti dle této Smlouvy.</w:t>
      </w:r>
    </w:p>
    <w:p w14:paraId="5A5AFC00" w14:textId="77777777" w:rsidR="007B004D" w:rsidRDefault="001A0B95">
      <w:pPr>
        <w:pStyle w:val="Bodytext10"/>
        <w:numPr>
          <w:ilvl w:val="1"/>
          <w:numId w:val="4"/>
        </w:numPr>
        <w:tabs>
          <w:tab w:val="left" w:pos="696"/>
        </w:tabs>
        <w:spacing w:after="420" w:line="298" w:lineRule="auto"/>
        <w:ind w:left="680" w:hanging="680"/>
        <w:jc w:val="both"/>
      </w:pPr>
      <w:r>
        <w:rPr>
          <w:rStyle w:val="Bodytext1"/>
        </w:rPr>
        <w:t>V případě předčasného ukončení této Smlouvy předá Příkazník Příkazci veškeré hmotné výstupy plnění, které získal v rámci obstarávání záležitosti dle této Smlouvy.</w:t>
      </w:r>
    </w:p>
    <w:p w14:paraId="6F82701A" w14:textId="77777777" w:rsidR="007B004D" w:rsidRDefault="001A0B95">
      <w:pPr>
        <w:pStyle w:val="Heading210"/>
        <w:keepNext/>
        <w:keepLines/>
        <w:numPr>
          <w:ilvl w:val="0"/>
          <w:numId w:val="4"/>
        </w:numPr>
        <w:tabs>
          <w:tab w:val="left" w:pos="346"/>
        </w:tabs>
        <w:spacing w:after="220"/>
      </w:pPr>
      <w:bookmarkStart w:id="5" w:name="bookmark10"/>
      <w:r>
        <w:rPr>
          <w:rStyle w:val="Heading21"/>
          <w:b/>
          <w:bCs/>
        </w:rPr>
        <w:t xml:space="preserve">Oprávnění k užití výstupů </w:t>
      </w:r>
      <w:r>
        <w:rPr>
          <w:rStyle w:val="Heading21"/>
          <w:b/>
          <w:bCs/>
        </w:rPr>
        <w:t>plnění Příkazníka</w:t>
      </w:r>
      <w:bookmarkEnd w:id="5"/>
    </w:p>
    <w:p w14:paraId="7A13890E" w14:textId="77777777" w:rsidR="007B004D" w:rsidRDefault="001A0B95">
      <w:pPr>
        <w:pStyle w:val="Bodytext10"/>
        <w:numPr>
          <w:ilvl w:val="1"/>
          <w:numId w:val="4"/>
        </w:numPr>
        <w:tabs>
          <w:tab w:val="left" w:pos="696"/>
        </w:tabs>
        <w:spacing w:line="293" w:lineRule="auto"/>
        <w:ind w:left="680" w:hanging="680"/>
        <w:jc w:val="both"/>
        <w:sectPr w:rsidR="007B004D">
          <w:footerReference w:type="default" r:id="rId10"/>
          <w:pgSz w:w="11900" w:h="16840"/>
          <w:pgMar w:top="1892" w:right="1581" w:bottom="1450" w:left="1543" w:header="1464" w:footer="3" w:gutter="0"/>
          <w:pgNumType w:start="5"/>
          <w:cols w:space="720"/>
          <w:noEndnote/>
          <w:docGrid w:linePitch="360"/>
        </w:sectPr>
      </w:pPr>
      <w:r>
        <w:rPr>
          <w:rStyle w:val="Bodytext1"/>
        </w:rPr>
        <w:t>Vzhledem k tomu, že v rámci obstarávání záležitostí dle této Smlouvy může vzniknout i plnění, které může naplňovat znaky autorského díla ve smyslu zákona č. 121/2000 Sb., o právu autorském, o právech souvisejících s právem autorským a o změně některých zákonů (autorský zákon), ve znění pozdějších předpisů (dále</w:t>
      </w:r>
    </w:p>
    <w:p w14:paraId="5A7DE8C7" w14:textId="77777777" w:rsidR="007B004D" w:rsidRDefault="001A0B95">
      <w:pPr>
        <w:pStyle w:val="Bodytext10"/>
        <w:numPr>
          <w:ilvl w:val="1"/>
          <w:numId w:val="5"/>
        </w:numPr>
        <w:tabs>
          <w:tab w:val="left" w:pos="681"/>
        </w:tabs>
        <w:ind w:left="660" w:hanging="660"/>
        <w:jc w:val="both"/>
      </w:pPr>
      <w:r>
        <w:rPr>
          <w:rStyle w:val="Bodytext1"/>
        </w:rPr>
        <w:lastRenderedPageBreak/>
        <w:t xml:space="preserve">Příkazník se zavazuje, že bude zachovávat mlčenlivost o všech skutečnostech, o kterých se v souvislosti s touto </w:t>
      </w:r>
      <w:r>
        <w:rPr>
          <w:rStyle w:val="Bodytext1"/>
        </w:rPr>
        <w:t>Smlouvou a jejím plnění dozvěděl nebo dozví, a to bez ohledu na to, zda se o těchto skutečnostech dozvěděl v psané či jiné formě, v průběhu jednání o uzavření této Smlouvy nebo v rámci výkonu práv a plnění povinností jí založených.</w:t>
      </w:r>
    </w:p>
    <w:p w14:paraId="2B57FC87" w14:textId="77777777" w:rsidR="007B004D" w:rsidRDefault="001A0B95">
      <w:pPr>
        <w:pStyle w:val="Bodytext10"/>
        <w:numPr>
          <w:ilvl w:val="1"/>
          <w:numId w:val="5"/>
        </w:numPr>
        <w:tabs>
          <w:tab w:val="left" w:pos="681"/>
        </w:tabs>
        <w:ind w:left="660" w:hanging="660"/>
        <w:jc w:val="both"/>
      </w:pPr>
      <w:r>
        <w:rPr>
          <w:rStyle w:val="Bodytext1"/>
        </w:rPr>
        <w:t>Příkazník se zavazuje, že informace, které v souvislosti s plněním této Smlouvy získá, použije výlučně pro její plnění. Příkazník tyto informace zejména nevyužije pro účely jakékoliv třetí osoby či pro své účely. Příkazník zejména bez předchozího, výslovného a písemného souhlasu Příkazce nebude informovat veřejnost nebo jakoukoliv třetí osobu o obsahu plnění dle této Smlouvy, ani o skutečnostech, o kterých se dozví v souvislosti s plněním dle této Smlouvy. Pokud je Příkazník ze zákona povinen vydat určité s</w:t>
      </w:r>
      <w:r>
        <w:rPr>
          <w:rStyle w:val="Bodytext1"/>
        </w:rPr>
        <w:t>dělení nebo informaci, oznámí tuto skutečnost ihned Příkazci.</w:t>
      </w:r>
    </w:p>
    <w:p w14:paraId="697F7F89" w14:textId="77777777" w:rsidR="007B004D" w:rsidRDefault="001A0B95">
      <w:pPr>
        <w:pStyle w:val="Bodytext10"/>
        <w:numPr>
          <w:ilvl w:val="1"/>
          <w:numId w:val="5"/>
        </w:numPr>
        <w:tabs>
          <w:tab w:val="left" w:pos="681"/>
        </w:tabs>
        <w:ind w:left="660" w:hanging="660"/>
        <w:jc w:val="both"/>
      </w:pPr>
      <w:r>
        <w:rPr>
          <w:rStyle w:val="Bodytext1"/>
        </w:rPr>
        <w:t>V případě, že by z donucujícího právního předpisu vyplývala povinnost k ochraně informací v rozsahu jiném než dle tohoto článku, je Příkazník povinen postupovat při ochranně informací v souladu s donucujícím právním předpisem.</w:t>
      </w:r>
    </w:p>
    <w:p w14:paraId="5B4CA952" w14:textId="77777777" w:rsidR="007B004D" w:rsidRDefault="001A0B95">
      <w:pPr>
        <w:pStyle w:val="Bodytext10"/>
        <w:numPr>
          <w:ilvl w:val="1"/>
          <w:numId w:val="5"/>
        </w:numPr>
        <w:tabs>
          <w:tab w:val="left" w:pos="681"/>
        </w:tabs>
        <w:spacing w:after="420"/>
        <w:jc w:val="both"/>
      </w:pPr>
      <w:r>
        <w:rPr>
          <w:rStyle w:val="Bodytext1"/>
        </w:rPr>
        <w:t>Ukončení této Smlouvy nemá vliv na povinnosti Příkazníka dle tohoto článku.</w:t>
      </w:r>
    </w:p>
    <w:p w14:paraId="2708A6FA" w14:textId="77777777" w:rsidR="007B004D" w:rsidRDefault="001A0B95">
      <w:pPr>
        <w:pStyle w:val="Heading210"/>
        <w:keepNext/>
        <w:keepLines/>
        <w:numPr>
          <w:ilvl w:val="0"/>
          <w:numId w:val="6"/>
        </w:numPr>
        <w:tabs>
          <w:tab w:val="left" w:pos="378"/>
        </w:tabs>
      </w:pPr>
      <w:bookmarkStart w:id="6" w:name="bookmark12"/>
      <w:proofErr w:type="gramStart"/>
      <w:r>
        <w:rPr>
          <w:rStyle w:val="Heading21"/>
          <w:b/>
          <w:bCs/>
        </w:rPr>
        <w:t>.Náhrada</w:t>
      </w:r>
      <w:proofErr w:type="gramEnd"/>
      <w:r>
        <w:rPr>
          <w:rStyle w:val="Heading21"/>
          <w:b/>
          <w:bCs/>
        </w:rPr>
        <w:t xml:space="preserve"> škody</w:t>
      </w:r>
      <w:bookmarkEnd w:id="6"/>
    </w:p>
    <w:p w14:paraId="11FA85C9" w14:textId="77777777" w:rsidR="007B004D" w:rsidRDefault="001A0B95">
      <w:pPr>
        <w:pStyle w:val="Bodytext10"/>
        <w:numPr>
          <w:ilvl w:val="1"/>
          <w:numId w:val="6"/>
        </w:numPr>
        <w:tabs>
          <w:tab w:val="left" w:pos="681"/>
        </w:tabs>
        <w:spacing w:after="420"/>
        <w:ind w:left="660" w:hanging="660"/>
        <w:jc w:val="both"/>
      </w:pPr>
      <w:r>
        <w:rPr>
          <w:rStyle w:val="Bodytext1"/>
        </w:rPr>
        <w:t>Příkazník odpovídá Příkazci za škodu, která mu byla způsobena jeho činností v souvislosti s plněním dle této Smlouvy. V případě, že by v důsledku vadného plnění anebo prodlení s plněním Příkazníka (zejména neupozornění Příkazce na nevhodnost jeho pokynů nebo jeho nečinnost, které by mohly mít za následek porušení obecně závazného předpisu nebo vznik škody), došlo ke vzniku škody či jiné újmě Příkazci, zavazuje se Příkazník uhradit tuto škodu či újmu Příkazci v plném rozsahu.</w:t>
      </w:r>
    </w:p>
    <w:p w14:paraId="52EB3600" w14:textId="77777777" w:rsidR="007B004D" w:rsidRDefault="001A0B95">
      <w:pPr>
        <w:pStyle w:val="Heading210"/>
        <w:keepNext/>
        <w:keepLines/>
        <w:numPr>
          <w:ilvl w:val="0"/>
          <w:numId w:val="6"/>
        </w:numPr>
        <w:tabs>
          <w:tab w:val="left" w:pos="370"/>
        </w:tabs>
      </w:pPr>
      <w:bookmarkStart w:id="7" w:name="bookmark14"/>
      <w:r>
        <w:rPr>
          <w:rStyle w:val="Heading21"/>
          <w:b/>
          <w:bCs/>
        </w:rPr>
        <w:t>. Veřejnoprávní povinnosti Příkazce</w:t>
      </w:r>
      <w:bookmarkEnd w:id="7"/>
    </w:p>
    <w:p w14:paraId="248390DE" w14:textId="77777777" w:rsidR="007B004D" w:rsidRDefault="001A0B95">
      <w:pPr>
        <w:pStyle w:val="Bodytext10"/>
        <w:numPr>
          <w:ilvl w:val="1"/>
          <w:numId w:val="6"/>
        </w:numPr>
        <w:tabs>
          <w:tab w:val="left" w:pos="681"/>
        </w:tabs>
        <w:spacing w:line="293" w:lineRule="auto"/>
        <w:ind w:left="660" w:hanging="660"/>
        <w:jc w:val="both"/>
      </w:pPr>
      <w:r>
        <w:rPr>
          <w:rStyle w:val="Bodytext1"/>
        </w:rPr>
        <w:t xml:space="preserve">Příkazník bere výslovně na vědomí, že Příkazce má podle ustanovení § 2 odst. 1 písm. b) zákona č. 340/2015 Sb., o zvláštních podmínkách účinnosti některých smluv, uveřejňování těchto smluv a o registru smluv (zákon o registru smluv), ve znění pozdějších předpisů (dále jen </w:t>
      </w:r>
      <w:r>
        <w:rPr>
          <w:rStyle w:val="Bodytext1"/>
          <w:b/>
          <w:bCs/>
          <w:sz w:val="24"/>
          <w:szCs w:val="24"/>
        </w:rPr>
        <w:t xml:space="preserve">„zákon o registru smluv"), </w:t>
      </w:r>
      <w:r>
        <w:rPr>
          <w:rStyle w:val="Bodytext1"/>
        </w:rPr>
        <w:t>charakter subjektu, s nímž uzavřené soukromoprávní smlouvy, jakož i smlouvy o poskytnutí dotace nebo návratné finanční pomoci podléhají povinnému uveřejnění postupem a za podmínek podle zákona o registru smluv.</w:t>
      </w:r>
    </w:p>
    <w:p w14:paraId="66595995" w14:textId="77777777" w:rsidR="007B004D" w:rsidRDefault="001A0B95">
      <w:pPr>
        <w:pStyle w:val="Bodytext10"/>
        <w:numPr>
          <w:ilvl w:val="1"/>
          <w:numId w:val="6"/>
        </w:numPr>
        <w:tabs>
          <w:tab w:val="left" w:pos="681"/>
        </w:tabs>
        <w:spacing w:after="160" w:line="293" w:lineRule="auto"/>
        <w:ind w:left="660" w:hanging="660"/>
        <w:jc w:val="both"/>
        <w:sectPr w:rsidR="007B004D">
          <w:footerReference w:type="default" r:id="rId11"/>
          <w:pgSz w:w="11900" w:h="16840"/>
          <w:pgMar w:top="1892" w:right="1581" w:bottom="1450" w:left="1543" w:header="1464" w:footer="3" w:gutter="0"/>
          <w:pgNumType w:start="7"/>
          <w:cols w:space="720"/>
          <w:noEndnote/>
          <w:docGrid w:linePitch="360"/>
        </w:sectPr>
      </w:pPr>
      <w:r>
        <w:rPr>
          <w:rStyle w:val="Bodytext1"/>
        </w:rPr>
        <w:t xml:space="preserve">Příkazník je srozuměn a výslovně a bezvýhradně souhlasí s tím, že úplné znění této </w:t>
      </w:r>
      <w:r>
        <w:rPr>
          <w:rStyle w:val="Bodytext1"/>
        </w:rPr>
        <w:t>Smlouvy včetně všech příloh bude uveřejněno v registru smluv, postupem a za podmínek podle zákona o registru smluv. Příkazník bere rovněž na vědomí, že registr smluv je veřejně přístupný informační systém veřejné správy,</w:t>
      </w:r>
    </w:p>
    <w:p w14:paraId="0CCE872B" w14:textId="77777777" w:rsidR="007B004D" w:rsidRDefault="001A0B95">
      <w:pPr>
        <w:pStyle w:val="Heading210"/>
        <w:keepNext/>
        <w:keepLines/>
        <w:spacing w:after="280" w:line="240" w:lineRule="auto"/>
      </w:pPr>
      <w:bookmarkStart w:id="8" w:name="bookmark16"/>
      <w:r>
        <w:rPr>
          <w:rStyle w:val="Heading21"/>
          <w:b/>
          <w:bCs/>
        </w:rPr>
        <w:lastRenderedPageBreak/>
        <w:t>14. Závěrečná ustanovení</w:t>
      </w:r>
      <w:bookmarkEnd w:id="8"/>
    </w:p>
    <w:p w14:paraId="6A242E85" w14:textId="77777777" w:rsidR="007B004D" w:rsidRDefault="001A0B95">
      <w:pPr>
        <w:pStyle w:val="Bodytext10"/>
        <w:numPr>
          <w:ilvl w:val="1"/>
          <w:numId w:val="7"/>
        </w:numPr>
        <w:tabs>
          <w:tab w:val="left" w:pos="670"/>
        </w:tabs>
        <w:spacing w:after="80" w:line="298" w:lineRule="auto"/>
        <w:ind w:left="680" w:hanging="680"/>
        <w:jc w:val="both"/>
      </w:pPr>
      <w:r>
        <w:rPr>
          <w:rStyle w:val="Bodytext1"/>
        </w:rPr>
        <w:t>Příkazce uveřejní tuto Smlouvu v registru smluv dle zák. č. 340/2015 Sb. ve znění pozdějších předpisů, s čímž Příkazník souhlasí. Tato Smlouva nabývá platnosti dnem podpisu a účinnosti dnem jejího uveřejnění v registru smluv.</w:t>
      </w:r>
    </w:p>
    <w:p w14:paraId="0919A379" w14:textId="77777777" w:rsidR="007B004D" w:rsidRDefault="001A0B95">
      <w:pPr>
        <w:pStyle w:val="Bodytext10"/>
        <w:numPr>
          <w:ilvl w:val="1"/>
          <w:numId w:val="7"/>
        </w:numPr>
        <w:tabs>
          <w:tab w:val="left" w:pos="670"/>
        </w:tabs>
        <w:spacing w:after="80"/>
        <w:ind w:left="680" w:hanging="680"/>
        <w:jc w:val="both"/>
      </w:pPr>
      <w:r>
        <w:rPr>
          <w:rStyle w:val="Bodytext1"/>
        </w:rPr>
        <w:t>Nestanoví-li tato Smlouva pro konkrétní případ výslovně jinak, lze ji měnit jen písemným dodatkem, uzavřeným mezi smluvními stranami.</w:t>
      </w:r>
    </w:p>
    <w:p w14:paraId="37A115CD" w14:textId="77777777" w:rsidR="007B004D" w:rsidRDefault="001A0B95">
      <w:pPr>
        <w:pStyle w:val="Bodytext10"/>
        <w:numPr>
          <w:ilvl w:val="1"/>
          <w:numId w:val="7"/>
        </w:numPr>
        <w:tabs>
          <w:tab w:val="left" w:pos="670"/>
        </w:tabs>
        <w:spacing w:after="80" w:line="298" w:lineRule="auto"/>
        <w:ind w:left="680" w:hanging="680"/>
        <w:jc w:val="both"/>
      </w:pPr>
      <w:r>
        <w:rPr>
          <w:rStyle w:val="Bodytext1"/>
        </w:rPr>
        <w:t>Příkazník bere na vědomí, že podle § 2 písm. e) zákona č. 320/2001 Sb., o finanční kontrole, ve znění pozdějších předpisů, je osobou povinnou spolupůsobit při výkonu finanční kontroly, a zavazuje se plnit veškeré povinnosti z uvedeného vyplývající.</w:t>
      </w:r>
    </w:p>
    <w:p w14:paraId="39CE1FD5" w14:textId="77777777" w:rsidR="007B004D" w:rsidRDefault="001A0B95">
      <w:pPr>
        <w:pStyle w:val="Bodytext10"/>
        <w:numPr>
          <w:ilvl w:val="1"/>
          <w:numId w:val="7"/>
        </w:numPr>
        <w:tabs>
          <w:tab w:val="left" w:pos="670"/>
        </w:tabs>
        <w:spacing w:after="80"/>
        <w:ind w:left="680" w:hanging="680"/>
        <w:jc w:val="both"/>
      </w:pPr>
      <w:r>
        <w:rPr>
          <w:rStyle w:val="Bodytext1"/>
        </w:rPr>
        <w:t>Smluvní strany sjednávají, že právní vztah založený touto Smlouvou se řídí právem České republiky s vyloučením jeho kolizních norem.</w:t>
      </w:r>
    </w:p>
    <w:p w14:paraId="33A7F75C" w14:textId="77777777" w:rsidR="007B004D" w:rsidRDefault="001A0B95">
      <w:pPr>
        <w:pStyle w:val="Bodytext10"/>
        <w:numPr>
          <w:ilvl w:val="1"/>
          <w:numId w:val="7"/>
        </w:numPr>
        <w:tabs>
          <w:tab w:val="left" w:pos="670"/>
        </w:tabs>
        <w:spacing w:after="80" w:line="307" w:lineRule="auto"/>
        <w:ind w:left="680" w:hanging="680"/>
        <w:jc w:val="both"/>
      </w:pPr>
      <w:r>
        <w:rPr>
          <w:rStyle w:val="Bodytext1"/>
        </w:rPr>
        <w:t xml:space="preserve">Tato Smlouva je sepsána ve 2 stejnopisech. Každá smluvní strana </w:t>
      </w:r>
      <w:proofErr w:type="gramStart"/>
      <w:r>
        <w:rPr>
          <w:rStyle w:val="Bodytext1"/>
        </w:rPr>
        <w:t>obdrží</w:t>
      </w:r>
      <w:proofErr w:type="gramEnd"/>
      <w:r>
        <w:rPr>
          <w:rStyle w:val="Bodytext1"/>
        </w:rPr>
        <w:t xml:space="preserve"> 1 stejnopis.</w:t>
      </w:r>
    </w:p>
    <w:p w14:paraId="4DC95B1D" w14:textId="77777777" w:rsidR="007B004D" w:rsidRDefault="001A0B95">
      <w:pPr>
        <w:pStyle w:val="Bodytext10"/>
        <w:numPr>
          <w:ilvl w:val="1"/>
          <w:numId w:val="7"/>
        </w:numPr>
        <w:tabs>
          <w:tab w:val="left" w:pos="670"/>
        </w:tabs>
        <w:spacing w:after="400"/>
        <w:ind w:left="680" w:hanging="680"/>
        <w:jc w:val="both"/>
      </w:pPr>
      <w:r>
        <w:rPr>
          <w:rStyle w:val="Bodytext1"/>
        </w:rPr>
        <w:t>Smluvní strany prohlašují, že jsou oprávněny k právnímu jednání dle této Smlouvy, že si Smlouvu před jejím podpisem přečetly a jsou seznámeny s jejím obsahem, že byla uzavřena po vzájemné dohodě, podle jejich vážné a svobodné vůle, dobrovolně, určitě a srozumitelně, což stvrzují svými podpisy.</w:t>
      </w:r>
    </w:p>
    <w:tbl>
      <w:tblPr>
        <w:tblOverlap w:val="never"/>
        <w:tblW w:w="0" w:type="auto"/>
        <w:tblLayout w:type="fixed"/>
        <w:tblCellMar>
          <w:left w:w="10" w:type="dxa"/>
          <w:right w:w="10" w:type="dxa"/>
        </w:tblCellMar>
        <w:tblLook w:val="0000" w:firstRow="0" w:lastRow="0" w:firstColumn="0" w:lastColumn="0" w:noHBand="0" w:noVBand="0"/>
      </w:tblPr>
      <w:tblGrid>
        <w:gridCol w:w="4270"/>
        <w:gridCol w:w="3859"/>
      </w:tblGrid>
      <w:tr w:rsidR="007B004D" w14:paraId="1F7635F8" w14:textId="77777777">
        <w:tblPrEx>
          <w:tblCellMar>
            <w:top w:w="0" w:type="dxa"/>
            <w:bottom w:w="0" w:type="dxa"/>
          </w:tblCellMar>
        </w:tblPrEx>
        <w:trPr>
          <w:trHeight w:hRule="exact" w:val="1145"/>
        </w:trPr>
        <w:tc>
          <w:tcPr>
            <w:tcW w:w="4270" w:type="dxa"/>
            <w:shd w:val="clear" w:color="auto" w:fill="auto"/>
          </w:tcPr>
          <w:p w14:paraId="40B94772" w14:textId="77777777" w:rsidR="007B004D" w:rsidRDefault="001A0B95">
            <w:pPr>
              <w:pStyle w:val="Other10"/>
              <w:framePr w:w="8129" w:h="2779" w:hSpace="101" w:vSpace="634" w:wrap="notBeside" w:vAnchor="text" w:hAnchor="text" w:x="375" w:y="635"/>
              <w:spacing w:after="0" w:line="240" w:lineRule="auto"/>
            </w:pPr>
            <w:r>
              <w:rPr>
                <w:rStyle w:val="Other1"/>
              </w:rPr>
              <w:t>Příkazce:</w:t>
            </w:r>
          </w:p>
          <w:p w14:paraId="1EF6A713" w14:textId="77777777" w:rsidR="007B004D" w:rsidRDefault="001A0B95">
            <w:pPr>
              <w:pStyle w:val="Other10"/>
              <w:framePr w:w="8129" w:h="2779" w:hSpace="101" w:vSpace="634" w:wrap="notBeside" w:vAnchor="text" w:hAnchor="text" w:x="375" w:y="635"/>
              <w:tabs>
                <w:tab w:val="left" w:pos="2343"/>
              </w:tabs>
              <w:spacing w:after="0" w:line="240" w:lineRule="auto"/>
              <w:ind w:left="1040"/>
              <w:rPr>
                <w:sz w:val="14"/>
                <w:szCs w:val="14"/>
              </w:rPr>
            </w:pPr>
            <w:r>
              <w:rPr>
                <w:rStyle w:val="Other1"/>
                <w:rFonts w:ascii="Arial" w:eastAsia="Arial" w:hAnsi="Arial" w:cs="Arial"/>
                <w:b/>
                <w:bCs/>
                <w:sz w:val="17"/>
                <w:szCs w:val="17"/>
              </w:rPr>
              <w:t>Inn liří</w:t>
            </w:r>
            <w:r>
              <w:rPr>
                <w:rStyle w:val="Other1"/>
                <w:rFonts w:ascii="Arial" w:eastAsia="Arial" w:hAnsi="Arial" w:cs="Arial"/>
                <w:b/>
                <w:bCs/>
                <w:sz w:val="17"/>
                <w:szCs w:val="17"/>
              </w:rPr>
              <w:tab/>
            </w:r>
            <w:r>
              <w:rPr>
                <w:rStyle w:val="Other1"/>
                <w:rFonts w:ascii="Arial" w:eastAsia="Arial" w:hAnsi="Arial" w:cs="Arial"/>
                <w:sz w:val="14"/>
                <w:szCs w:val="14"/>
              </w:rPr>
              <w:t>Digitálně podepsal</w:t>
            </w:r>
          </w:p>
          <w:p w14:paraId="77744264" w14:textId="77777777" w:rsidR="007B004D" w:rsidRDefault="001A0B95">
            <w:pPr>
              <w:pStyle w:val="Other10"/>
              <w:framePr w:w="8129" w:h="2779" w:hSpace="101" w:vSpace="634" w:wrap="notBeside" w:vAnchor="text" w:hAnchor="text" w:x="375" w:y="635"/>
              <w:tabs>
                <w:tab w:val="left" w:pos="2343"/>
              </w:tabs>
              <w:spacing w:after="0" w:line="185" w:lineRule="auto"/>
              <w:ind w:left="1040"/>
              <w:rPr>
                <w:sz w:val="14"/>
                <w:szCs w:val="14"/>
              </w:rPr>
            </w:pPr>
            <w:r>
              <w:rPr>
                <w:rStyle w:val="Other1"/>
                <w:rFonts w:ascii="Arial" w:eastAsia="Arial" w:hAnsi="Arial" w:cs="Arial"/>
                <w:b/>
                <w:bCs/>
                <w:sz w:val="17"/>
                <w:szCs w:val="17"/>
              </w:rPr>
              <w:t>lily. JIM</w:t>
            </w:r>
            <w:r>
              <w:rPr>
                <w:rStyle w:val="Other1"/>
                <w:rFonts w:ascii="Arial" w:eastAsia="Arial" w:hAnsi="Arial" w:cs="Arial"/>
                <w:b/>
                <w:bCs/>
                <w:sz w:val="17"/>
                <w:szCs w:val="17"/>
              </w:rPr>
              <w:tab/>
            </w:r>
            <w:proofErr w:type="gramStart"/>
            <w:r>
              <w:rPr>
                <w:rStyle w:val="Other1"/>
                <w:rFonts w:ascii="Arial" w:eastAsia="Arial" w:hAnsi="Arial" w:cs="Arial"/>
                <w:sz w:val="14"/>
                <w:szCs w:val="14"/>
              </w:rPr>
              <w:t>ing.</w:t>
            </w:r>
            <w:proofErr w:type="gramEnd"/>
            <w:r>
              <w:rPr>
                <w:rStyle w:val="Other1"/>
                <w:rFonts w:ascii="Arial" w:eastAsia="Arial" w:hAnsi="Arial" w:cs="Arial"/>
                <w:sz w:val="14"/>
                <w:szCs w:val="14"/>
              </w:rPr>
              <w:t xml:space="preserve"> Jiří Kratochvíl</w:t>
            </w:r>
          </w:p>
          <w:p w14:paraId="4223E2E6" w14:textId="77777777" w:rsidR="007B004D" w:rsidRDefault="001A0B95">
            <w:pPr>
              <w:pStyle w:val="Other10"/>
              <w:framePr w:w="8129" w:h="2779" w:hSpace="101" w:vSpace="634" w:wrap="notBeside" w:vAnchor="text" w:hAnchor="text" w:x="375" w:y="635"/>
              <w:spacing w:after="0" w:line="240" w:lineRule="auto"/>
              <w:ind w:left="2380"/>
              <w:rPr>
                <w:sz w:val="14"/>
                <w:szCs w:val="14"/>
              </w:rPr>
            </w:pPr>
            <w:r>
              <w:rPr>
                <w:rStyle w:val="Other1"/>
                <w:rFonts w:ascii="Arial" w:eastAsia="Arial" w:hAnsi="Arial" w:cs="Arial"/>
                <w:sz w:val="14"/>
                <w:szCs w:val="14"/>
              </w:rPr>
              <w:t>Datum: 2024.06.13</w:t>
            </w:r>
          </w:p>
          <w:p w14:paraId="75C47309" w14:textId="77777777" w:rsidR="007B004D" w:rsidRDefault="001A0B95">
            <w:pPr>
              <w:pStyle w:val="Other10"/>
              <w:framePr w:w="8129" w:h="2779" w:hSpace="101" w:vSpace="634" w:wrap="notBeside" w:vAnchor="text" w:hAnchor="text" w:x="375" w:y="635"/>
              <w:spacing w:after="0" w:line="180" w:lineRule="auto"/>
              <w:ind w:left="1040"/>
              <w:rPr>
                <w:sz w:val="14"/>
                <w:szCs w:val="14"/>
              </w:rPr>
            </w:pPr>
            <w:r>
              <w:rPr>
                <w:rStyle w:val="Other1"/>
                <w:rFonts w:ascii="Arial" w:eastAsia="Arial" w:hAnsi="Arial" w:cs="Arial"/>
                <w:sz w:val="26"/>
                <w:szCs w:val="26"/>
              </w:rPr>
              <w:t xml:space="preserve">KratOChVÍl </w:t>
            </w:r>
            <w:r>
              <w:rPr>
                <w:rStyle w:val="Other1"/>
                <w:rFonts w:ascii="Arial" w:eastAsia="Arial" w:hAnsi="Arial" w:cs="Arial"/>
                <w:sz w:val="14"/>
                <w:szCs w:val="14"/>
              </w:rPr>
              <w:t>07:25:51 +02'00'</w:t>
            </w:r>
          </w:p>
        </w:tc>
        <w:tc>
          <w:tcPr>
            <w:tcW w:w="3859" w:type="dxa"/>
            <w:tcBorders>
              <w:left w:val="single" w:sz="4" w:space="0" w:color="auto"/>
            </w:tcBorders>
            <w:shd w:val="clear" w:color="auto" w:fill="auto"/>
          </w:tcPr>
          <w:p w14:paraId="0C7E062D" w14:textId="77777777" w:rsidR="007B004D" w:rsidRDefault="001A0B95">
            <w:pPr>
              <w:pStyle w:val="Other10"/>
              <w:framePr w:w="8129" w:h="2779" w:hSpace="101" w:vSpace="634" w:wrap="notBeside" w:vAnchor="text" w:hAnchor="text" w:x="375" w:y="635"/>
              <w:tabs>
                <w:tab w:val="left" w:pos="2419"/>
              </w:tabs>
              <w:spacing w:after="0" w:line="240" w:lineRule="auto"/>
              <w:jc w:val="right"/>
              <w:rPr>
                <w:sz w:val="14"/>
                <w:szCs w:val="14"/>
              </w:rPr>
            </w:pPr>
            <w:r>
              <w:rPr>
                <w:rStyle w:val="Other1"/>
              </w:rPr>
              <w:t>Příkazník:</w:t>
            </w:r>
            <w:r>
              <w:rPr>
                <w:rStyle w:val="Other1"/>
              </w:rPr>
              <w:tab/>
            </w:r>
            <w:r>
              <w:rPr>
                <w:rStyle w:val="Other1"/>
                <w:rFonts w:ascii="Arial" w:eastAsia="Arial" w:hAnsi="Arial" w:cs="Arial"/>
                <w:sz w:val="14"/>
                <w:szCs w:val="14"/>
                <w:vertAlign w:val="subscript"/>
              </w:rPr>
              <w:t>Dlgltt</w:t>
            </w:r>
            <w:r>
              <w:rPr>
                <w:rStyle w:val="Other1"/>
                <w:rFonts w:ascii="Arial" w:eastAsia="Arial" w:hAnsi="Arial" w:cs="Arial"/>
                <w:sz w:val="14"/>
                <w:szCs w:val="14"/>
              </w:rPr>
              <w:t>lné podepsal</w:t>
            </w:r>
          </w:p>
          <w:p w14:paraId="59BFA105" w14:textId="77777777" w:rsidR="007B004D" w:rsidRDefault="001A0B95">
            <w:pPr>
              <w:pStyle w:val="Other10"/>
              <w:framePr w:w="8129" w:h="2779" w:hSpace="101" w:vSpace="634" w:wrap="notBeside" w:vAnchor="text" w:hAnchor="text" w:x="375" w:y="635"/>
              <w:spacing w:after="0" w:line="180" w:lineRule="auto"/>
              <w:ind w:left="1240"/>
              <w:rPr>
                <w:sz w:val="14"/>
                <w:szCs w:val="14"/>
              </w:rPr>
            </w:pPr>
            <w:r>
              <w:rPr>
                <w:rStyle w:val="Other1"/>
                <w:rFonts w:ascii="Arial" w:eastAsia="Arial" w:hAnsi="Arial" w:cs="Arial"/>
                <w:sz w:val="26"/>
                <w:szCs w:val="26"/>
              </w:rPr>
              <w:t>Ing. TomaS|</w:t>
            </w:r>
            <w:proofErr w:type="gramStart"/>
            <w:r>
              <w:rPr>
                <w:rStyle w:val="Other1"/>
                <w:rFonts w:ascii="Arial" w:eastAsia="Arial" w:hAnsi="Arial" w:cs="Arial"/>
                <w:sz w:val="26"/>
                <w:szCs w:val="26"/>
                <w:vertAlign w:val="subscript"/>
              </w:rPr>
              <w:t>n</w:t>
            </w:r>
            <w:r>
              <w:rPr>
                <w:rStyle w:val="Other1"/>
                <w:rFonts w:ascii="Arial" w:eastAsia="Arial" w:hAnsi="Arial" w:cs="Arial"/>
                <w:sz w:val="26"/>
                <w:szCs w:val="26"/>
              </w:rPr>
              <w:t>’</w:t>
            </w:r>
            <w:r>
              <w:rPr>
                <w:rStyle w:val="Other1"/>
                <w:rFonts w:ascii="Arial" w:eastAsia="Arial" w:hAnsi="Arial" w:cs="Arial"/>
                <w:sz w:val="26"/>
                <w:szCs w:val="26"/>
                <w:vertAlign w:val="subscript"/>
              </w:rPr>
              <w:t>Tomá</w:t>
            </w:r>
            <w:r>
              <w:rPr>
                <w:rStyle w:val="Other1"/>
                <w:rFonts w:ascii="Arial" w:eastAsia="Arial" w:hAnsi="Arial" w:cs="Arial"/>
                <w:sz w:val="26"/>
                <w:szCs w:val="26"/>
              </w:rPr>
              <w:t>?</w:t>
            </w:r>
            <w:r>
              <w:rPr>
                <w:rStyle w:val="Other1"/>
                <w:rFonts w:ascii="Arial" w:eastAsia="Arial" w:hAnsi="Arial" w:cs="Arial"/>
                <w:sz w:val="14"/>
                <w:szCs w:val="14"/>
              </w:rPr>
              <w:t>Hruška</w:t>
            </w:r>
            <w:proofErr w:type="gramEnd"/>
          </w:p>
          <w:p w14:paraId="27913142" w14:textId="77777777" w:rsidR="007B004D" w:rsidRDefault="001A0B95">
            <w:pPr>
              <w:pStyle w:val="Other10"/>
              <w:framePr w:w="8129" w:h="2779" w:hSpace="101" w:vSpace="634" w:wrap="notBeside" w:vAnchor="text" w:hAnchor="text" w:x="375" w:y="635"/>
              <w:tabs>
                <w:tab w:val="left" w:pos="2486"/>
              </w:tabs>
              <w:spacing w:after="0" w:line="180" w:lineRule="auto"/>
              <w:ind w:left="1240"/>
              <w:rPr>
                <w:sz w:val="14"/>
                <w:szCs w:val="14"/>
              </w:rPr>
            </w:pPr>
            <w:r>
              <w:rPr>
                <w:rStyle w:val="Other1"/>
              </w:rPr>
              <w:t>i |</w:t>
            </w:r>
            <w:r>
              <w:rPr>
                <w:rStyle w:val="Other1"/>
                <w:vertAlign w:val="subscript"/>
              </w:rPr>
              <w:t>r</w:t>
            </w:r>
            <w:r>
              <w:rPr>
                <w:rStyle w:val="Other1"/>
              </w:rPr>
              <w:t>. iřLa</w:t>
            </w:r>
            <w:r>
              <w:rPr>
                <w:rStyle w:val="Other1"/>
              </w:rPr>
              <w:tab/>
            </w:r>
            <w:r>
              <w:rPr>
                <w:rStyle w:val="Other1"/>
                <w:rFonts w:ascii="Arial" w:eastAsia="Arial" w:hAnsi="Arial" w:cs="Arial"/>
                <w:sz w:val="14"/>
                <w:szCs w:val="14"/>
              </w:rPr>
              <w:t>Datum: 2024.06.11</w:t>
            </w:r>
          </w:p>
          <w:p w14:paraId="081B6ECC" w14:textId="77777777" w:rsidR="007B004D" w:rsidRDefault="001A0B95">
            <w:pPr>
              <w:pStyle w:val="Other10"/>
              <w:framePr w:w="8129" w:h="2779" w:hSpace="101" w:vSpace="634" w:wrap="notBeside" w:vAnchor="text" w:hAnchor="text" w:x="375" w:y="635"/>
              <w:tabs>
                <w:tab w:val="left" w:pos="2486"/>
              </w:tabs>
              <w:spacing w:after="0" w:line="180" w:lineRule="auto"/>
              <w:ind w:left="1240"/>
              <w:rPr>
                <w:sz w:val="14"/>
                <w:szCs w:val="14"/>
              </w:rPr>
            </w:pPr>
            <w:r>
              <w:rPr>
                <w:rStyle w:val="Other1"/>
                <w:rFonts w:ascii="Arial" w:eastAsia="Arial" w:hAnsi="Arial" w:cs="Arial"/>
                <w:sz w:val="26"/>
                <w:szCs w:val="26"/>
              </w:rPr>
              <w:t>nrUSKd</w:t>
            </w:r>
            <w:r>
              <w:rPr>
                <w:rStyle w:val="Other1"/>
                <w:rFonts w:ascii="Arial" w:eastAsia="Arial" w:hAnsi="Arial" w:cs="Arial"/>
                <w:sz w:val="26"/>
                <w:szCs w:val="26"/>
              </w:rPr>
              <w:tab/>
            </w:r>
            <w:r>
              <w:rPr>
                <w:rStyle w:val="Other1"/>
                <w:rFonts w:ascii="Arial" w:eastAsia="Arial" w:hAnsi="Arial" w:cs="Arial"/>
                <w:sz w:val="14"/>
                <w:szCs w:val="14"/>
              </w:rPr>
              <w:t>21:12:54+02'00'</w:t>
            </w:r>
          </w:p>
        </w:tc>
      </w:tr>
      <w:tr w:rsidR="007B004D" w14:paraId="7F501652" w14:textId="77777777">
        <w:tblPrEx>
          <w:tblCellMar>
            <w:top w:w="0" w:type="dxa"/>
            <w:bottom w:w="0" w:type="dxa"/>
          </w:tblCellMar>
        </w:tblPrEx>
        <w:trPr>
          <w:trHeight w:hRule="exact" w:val="382"/>
        </w:trPr>
        <w:tc>
          <w:tcPr>
            <w:tcW w:w="4270" w:type="dxa"/>
            <w:tcBorders>
              <w:top w:val="single" w:sz="4" w:space="0" w:color="auto"/>
            </w:tcBorders>
            <w:shd w:val="clear" w:color="auto" w:fill="auto"/>
            <w:vAlign w:val="bottom"/>
          </w:tcPr>
          <w:p w14:paraId="150124DE" w14:textId="77777777" w:rsidR="007B004D" w:rsidRDefault="001A0B95">
            <w:pPr>
              <w:pStyle w:val="Other10"/>
              <w:framePr w:w="8129" w:h="2779" w:hSpace="101" w:vSpace="634" w:wrap="notBeside" w:vAnchor="text" w:hAnchor="text" w:x="375" w:y="635"/>
              <w:spacing w:after="0" w:line="240" w:lineRule="auto"/>
              <w:rPr>
                <w:sz w:val="24"/>
                <w:szCs w:val="24"/>
              </w:rPr>
            </w:pPr>
            <w:r>
              <w:rPr>
                <w:rStyle w:val="Other1"/>
                <w:b/>
                <w:bCs/>
                <w:sz w:val="24"/>
                <w:szCs w:val="24"/>
              </w:rPr>
              <w:t xml:space="preserve">Česká </w:t>
            </w:r>
            <w:proofErr w:type="gramStart"/>
            <w:r>
              <w:rPr>
                <w:rStyle w:val="Other1"/>
                <w:b/>
                <w:bCs/>
                <w:sz w:val="24"/>
                <w:szCs w:val="24"/>
              </w:rPr>
              <w:t>republika - Úřad</w:t>
            </w:r>
            <w:proofErr w:type="gramEnd"/>
            <w:r>
              <w:rPr>
                <w:rStyle w:val="Other1"/>
                <w:b/>
                <w:bCs/>
                <w:sz w:val="24"/>
                <w:szCs w:val="24"/>
              </w:rPr>
              <w:t xml:space="preserve"> pro technickou</w:t>
            </w:r>
          </w:p>
        </w:tc>
        <w:tc>
          <w:tcPr>
            <w:tcW w:w="3859" w:type="dxa"/>
            <w:tcBorders>
              <w:top w:val="single" w:sz="4" w:space="0" w:color="auto"/>
              <w:left w:val="single" w:sz="4" w:space="0" w:color="auto"/>
            </w:tcBorders>
            <w:shd w:val="clear" w:color="auto" w:fill="auto"/>
            <w:vAlign w:val="bottom"/>
          </w:tcPr>
          <w:p w14:paraId="67F00DD8" w14:textId="77777777" w:rsidR="007B004D" w:rsidRDefault="001A0B95">
            <w:pPr>
              <w:pStyle w:val="Other10"/>
              <w:framePr w:w="8129" w:h="2779" w:hSpace="101" w:vSpace="634" w:wrap="notBeside" w:vAnchor="text" w:hAnchor="text" w:x="375" w:y="635"/>
              <w:spacing w:after="0" w:line="240" w:lineRule="auto"/>
              <w:ind w:left="1240"/>
            </w:pPr>
            <w:r>
              <w:rPr>
                <w:rStyle w:val="Other1"/>
              </w:rPr>
              <w:t>Ing. Tomáš Hruška</w:t>
            </w:r>
          </w:p>
        </w:tc>
      </w:tr>
      <w:tr w:rsidR="007B004D" w14:paraId="3CA26E4F" w14:textId="77777777">
        <w:tblPrEx>
          <w:tblCellMar>
            <w:top w:w="0" w:type="dxa"/>
            <w:bottom w:w="0" w:type="dxa"/>
          </w:tblCellMar>
        </w:tblPrEx>
        <w:trPr>
          <w:trHeight w:hRule="exact" w:val="302"/>
        </w:trPr>
        <w:tc>
          <w:tcPr>
            <w:tcW w:w="4270" w:type="dxa"/>
            <w:shd w:val="clear" w:color="auto" w:fill="auto"/>
          </w:tcPr>
          <w:p w14:paraId="3E75357C" w14:textId="77777777" w:rsidR="007B004D" w:rsidRDefault="001A0B95">
            <w:pPr>
              <w:pStyle w:val="Other10"/>
              <w:framePr w:w="8129" w:h="2779" w:hSpace="101" w:vSpace="634" w:wrap="notBeside" w:vAnchor="text" w:hAnchor="text" w:x="375" w:y="635"/>
              <w:spacing w:after="0" w:line="240" w:lineRule="auto"/>
              <w:rPr>
                <w:sz w:val="24"/>
                <w:szCs w:val="24"/>
              </w:rPr>
            </w:pPr>
            <w:r>
              <w:rPr>
                <w:rStyle w:val="Other1"/>
                <w:b/>
                <w:bCs/>
                <w:sz w:val="24"/>
                <w:szCs w:val="24"/>
              </w:rPr>
              <w:t>normalizaci, metrologii a státní</w:t>
            </w:r>
          </w:p>
        </w:tc>
        <w:tc>
          <w:tcPr>
            <w:tcW w:w="3859" w:type="dxa"/>
            <w:tcBorders>
              <w:left w:val="single" w:sz="4" w:space="0" w:color="auto"/>
            </w:tcBorders>
            <w:shd w:val="clear" w:color="auto" w:fill="auto"/>
          </w:tcPr>
          <w:p w14:paraId="3191ACE4" w14:textId="77777777" w:rsidR="007B004D" w:rsidRDefault="001A0B95">
            <w:pPr>
              <w:pStyle w:val="Other10"/>
              <w:framePr w:w="8129" w:h="2779" w:hSpace="101" w:vSpace="634" w:wrap="notBeside" w:vAnchor="text" w:hAnchor="text" w:x="375" w:y="635"/>
              <w:spacing w:after="0" w:line="240" w:lineRule="auto"/>
              <w:jc w:val="center"/>
            </w:pPr>
            <w:r>
              <w:rPr>
                <w:rStyle w:val="Other1"/>
              </w:rPr>
              <w:t>ředitel</w:t>
            </w:r>
          </w:p>
        </w:tc>
      </w:tr>
      <w:tr w:rsidR="007B004D" w14:paraId="62C79543" w14:textId="77777777">
        <w:tblPrEx>
          <w:tblCellMar>
            <w:top w:w="0" w:type="dxa"/>
            <w:bottom w:w="0" w:type="dxa"/>
          </w:tblCellMar>
        </w:tblPrEx>
        <w:trPr>
          <w:trHeight w:hRule="exact" w:val="950"/>
        </w:trPr>
        <w:tc>
          <w:tcPr>
            <w:tcW w:w="4270" w:type="dxa"/>
            <w:shd w:val="clear" w:color="auto" w:fill="auto"/>
          </w:tcPr>
          <w:p w14:paraId="3E6EB17A" w14:textId="77777777" w:rsidR="007B004D" w:rsidRDefault="001A0B95">
            <w:pPr>
              <w:pStyle w:val="Other10"/>
              <w:framePr w:w="8129" w:h="2779" w:hSpace="101" w:vSpace="634" w:wrap="notBeside" w:vAnchor="text" w:hAnchor="text" w:x="375" w:y="635"/>
              <w:spacing w:after="0" w:line="240" w:lineRule="auto"/>
              <w:rPr>
                <w:sz w:val="24"/>
                <w:szCs w:val="24"/>
              </w:rPr>
            </w:pPr>
            <w:r>
              <w:rPr>
                <w:rStyle w:val="Other1"/>
                <w:b/>
                <w:bCs/>
                <w:sz w:val="24"/>
                <w:szCs w:val="24"/>
              </w:rPr>
              <w:t>zkušebnictví, organizační složka státu</w:t>
            </w:r>
          </w:p>
        </w:tc>
        <w:tc>
          <w:tcPr>
            <w:tcW w:w="3859" w:type="dxa"/>
            <w:tcBorders>
              <w:left w:val="single" w:sz="4" w:space="0" w:color="auto"/>
            </w:tcBorders>
            <w:shd w:val="clear" w:color="auto" w:fill="auto"/>
          </w:tcPr>
          <w:p w14:paraId="379B7AED" w14:textId="77777777" w:rsidR="007B004D" w:rsidRDefault="001A0B95">
            <w:pPr>
              <w:pStyle w:val="Other10"/>
              <w:framePr w:w="8129" w:h="2779" w:hSpace="101" w:vSpace="634" w:wrap="notBeside" w:vAnchor="text" w:hAnchor="text" w:x="375" w:y="635"/>
              <w:spacing w:after="0" w:line="240" w:lineRule="auto"/>
              <w:jc w:val="right"/>
              <w:rPr>
                <w:sz w:val="24"/>
                <w:szCs w:val="24"/>
              </w:rPr>
            </w:pPr>
            <w:r>
              <w:rPr>
                <w:rStyle w:val="Other1"/>
                <w:b/>
                <w:bCs/>
                <w:sz w:val="24"/>
                <w:szCs w:val="24"/>
              </w:rPr>
              <w:t xml:space="preserve">Strojírenský zkušební ústav, </w:t>
            </w:r>
            <w:proofErr w:type="gramStart"/>
            <w:r>
              <w:rPr>
                <w:rStyle w:val="Other1"/>
                <w:b/>
                <w:bCs/>
                <w:sz w:val="24"/>
                <w:szCs w:val="24"/>
              </w:rPr>
              <w:t>s.p</w:t>
            </w:r>
            <w:proofErr w:type="gramEnd"/>
          </w:p>
        </w:tc>
      </w:tr>
    </w:tbl>
    <w:p w14:paraId="1DB609E7" w14:textId="77777777" w:rsidR="007B004D" w:rsidRDefault="001A0B95">
      <w:pPr>
        <w:pStyle w:val="Tablecaption10"/>
        <w:framePr w:w="2311" w:h="281" w:hSpace="273" w:wrap="notBeside" w:vAnchor="text" w:hAnchor="text" w:x="274" w:y="9"/>
      </w:pPr>
      <w:r>
        <w:rPr>
          <w:rStyle w:val="Tablecaption1"/>
        </w:rPr>
        <w:t xml:space="preserve">V Praze dne </w:t>
      </w:r>
    </w:p>
    <w:p w14:paraId="6BA69F3C" w14:textId="77777777" w:rsidR="007B004D" w:rsidRDefault="001A0B95">
      <w:pPr>
        <w:pStyle w:val="Tablecaption10"/>
        <w:framePr w:w="2657" w:h="281" w:hSpace="273" w:wrap="notBeside" w:vAnchor="text" w:hAnchor="text" w:x="4342" w:y="1"/>
      </w:pPr>
      <w:r>
        <w:rPr>
          <w:rStyle w:val="Tablecaption1"/>
        </w:rPr>
        <w:t xml:space="preserve">V dne </w:t>
      </w:r>
    </w:p>
    <w:p w14:paraId="7237A31A" w14:textId="77777777" w:rsidR="007B004D" w:rsidRDefault="007B004D">
      <w:pPr>
        <w:spacing w:line="1" w:lineRule="exact"/>
      </w:pPr>
    </w:p>
    <w:sectPr w:rsidR="007B004D">
      <w:footerReference w:type="default" r:id="rId12"/>
      <w:pgSz w:w="11900" w:h="16840"/>
      <w:pgMar w:top="1892" w:right="1581" w:bottom="1450" w:left="1543" w:header="1464" w:footer="3" w:gutter="0"/>
      <w:pgNumType w:start="9"/>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E3AFD" w14:textId="77777777" w:rsidR="001A0B95" w:rsidRDefault="001A0B95">
      <w:r>
        <w:separator/>
      </w:r>
    </w:p>
  </w:endnote>
  <w:endnote w:type="continuationSeparator" w:id="0">
    <w:p w14:paraId="693DBC3E" w14:textId="77777777" w:rsidR="001A0B95" w:rsidRDefault="001A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9A02F" w14:textId="77777777" w:rsidR="007B004D" w:rsidRDefault="001A0B95">
    <w:pPr>
      <w:spacing w:line="1" w:lineRule="exact"/>
    </w:pPr>
    <w:r>
      <w:rPr>
        <w:noProof/>
      </w:rPr>
      <mc:AlternateContent>
        <mc:Choice Requires="wps">
          <w:drawing>
            <wp:anchor distT="0" distB="0" distL="0" distR="0" simplePos="0" relativeHeight="62914690" behindDoc="1" locked="0" layoutInCell="1" allowOverlap="1" wp14:anchorId="53DF68BE" wp14:editId="3CC211F2">
              <wp:simplePos x="0" y="0"/>
              <wp:positionH relativeFrom="page">
                <wp:posOffset>3743325</wp:posOffset>
              </wp:positionH>
              <wp:positionV relativeFrom="page">
                <wp:posOffset>9856470</wp:posOffset>
              </wp:positionV>
              <wp:extent cx="45720"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91440"/>
                      </a:xfrm>
                      <a:prstGeom prst="rect">
                        <a:avLst/>
                      </a:prstGeom>
                      <a:noFill/>
                    </wps:spPr>
                    <wps:txbx>
                      <w:txbxContent>
                        <w:p w14:paraId="2E7B613B" w14:textId="77777777" w:rsidR="007B004D" w:rsidRDefault="001A0B95">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wrap="none" lIns="0" tIns="0" rIns="0" bIns="0">
                      <a:spAutoFit/>
                    </wps:bodyPr>
                  </wps:wsp>
                </a:graphicData>
              </a:graphic>
            </wp:anchor>
          </w:drawing>
        </mc:Choice>
        <mc:Fallback>
          <w:pict>
            <v:shapetype w14:anchorId="53DF68BE" id="_x0000_t202" coordsize="21600,21600" o:spt="202" path="m,l,21600r21600,l21600,xe">
              <v:stroke joinstyle="miter"/>
              <v:path gradientshapeok="t" o:connecttype="rect"/>
            </v:shapetype>
            <v:shape id="Shape 1" o:spid="_x0000_s1026" type="#_x0000_t202" style="position:absolute;margin-left:294.75pt;margin-top:776.1pt;width:3.6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" filled="f" stroked="f">
              <v:textbox style="mso-fit-shape-to-text:t" inset="0,0,0,0">
                <w:txbxContent>
                  <w:p w14:paraId="2E7B613B" w14:textId="77777777" w:rsidR="007B004D" w:rsidRDefault="001A0B95">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97E23" w14:textId="77777777" w:rsidR="007B004D" w:rsidRDefault="001A0B95">
    <w:pPr>
      <w:spacing w:line="1" w:lineRule="exact"/>
    </w:pPr>
    <w:r>
      <w:rPr>
        <w:noProof/>
      </w:rPr>
      <mc:AlternateContent>
        <mc:Choice Requires="wps">
          <w:drawing>
            <wp:anchor distT="0" distB="0" distL="0" distR="0" simplePos="0" relativeHeight="62914692" behindDoc="1" locked="0" layoutInCell="1" allowOverlap="1" wp14:anchorId="7C375158" wp14:editId="71389467">
              <wp:simplePos x="0" y="0"/>
              <wp:positionH relativeFrom="page">
                <wp:posOffset>3729990</wp:posOffset>
              </wp:positionH>
              <wp:positionV relativeFrom="page">
                <wp:posOffset>9851390</wp:posOffset>
              </wp:positionV>
              <wp:extent cx="54610"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14:paraId="1A4E380F" w14:textId="77777777" w:rsidR="007B004D" w:rsidRDefault="001A0B95">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wrap="none" lIns="0" tIns="0" rIns="0" bIns="0">
                      <a:spAutoFit/>
                    </wps:bodyPr>
                  </wps:wsp>
                </a:graphicData>
              </a:graphic>
            </wp:anchor>
          </w:drawing>
        </mc:Choice>
        <mc:Fallback>
          <w:pict>
            <v:shapetype w14:anchorId="7C375158" id="_x0000_t202" coordsize="21600,21600" o:spt="202" path="m,l,21600r21600,l21600,xe">
              <v:stroke joinstyle="miter"/>
              <v:path gradientshapeok="t" o:connecttype="rect"/>
            </v:shapetype>
            <v:shape id="Shape 3" o:spid="_x0000_s1027" type="#_x0000_t202" style="position:absolute;margin-left:293.7pt;margin-top:775.7pt;width:4.3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" filled="f" stroked="f">
              <v:textbox style="mso-fit-shape-to-text:t" inset="0,0,0,0">
                <w:txbxContent>
                  <w:p w14:paraId="1A4E380F" w14:textId="77777777" w:rsidR="007B004D" w:rsidRDefault="001A0B95">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23BA" w14:textId="77777777" w:rsidR="007B004D" w:rsidRDefault="001A0B95">
    <w:pPr>
      <w:spacing w:line="1" w:lineRule="exact"/>
    </w:pPr>
    <w:r>
      <w:rPr>
        <w:noProof/>
      </w:rPr>
      <mc:AlternateContent>
        <mc:Choice Requires="wps">
          <w:drawing>
            <wp:anchor distT="0" distB="0" distL="0" distR="0" simplePos="0" relativeHeight="62914694" behindDoc="1" locked="0" layoutInCell="1" allowOverlap="1" wp14:anchorId="22A221F0" wp14:editId="40FCCB08">
              <wp:simplePos x="0" y="0"/>
              <wp:positionH relativeFrom="page">
                <wp:posOffset>3731895</wp:posOffset>
              </wp:positionH>
              <wp:positionV relativeFrom="page">
                <wp:posOffset>9856470</wp:posOffset>
              </wp:positionV>
              <wp:extent cx="54610" cy="95885"/>
              <wp:effectExtent l="0" t="0" r="0" b="0"/>
              <wp:wrapNone/>
              <wp:docPr id="5" name="Shape 5"/>
              <wp:cNvGraphicFramePr/>
              <a:graphic xmlns:a="http://schemas.openxmlformats.org/drawingml/2006/main">
                <a:graphicData uri="http://schemas.microsoft.com/office/word/2010/wordprocessingShape">
                  <wps:wsp>
                    <wps:cNvSpPr txBox="1"/>
                    <wps:spPr>
                      <a:xfrm>
                        <a:off x="0" y="0"/>
                        <a:ext cx="54610" cy="95885"/>
                      </a:xfrm>
                      <a:prstGeom prst="rect">
                        <a:avLst/>
                      </a:prstGeom>
                      <a:noFill/>
                    </wps:spPr>
                    <wps:txbx>
                      <w:txbxContent>
                        <w:p w14:paraId="58182314" w14:textId="77777777" w:rsidR="007B004D" w:rsidRDefault="001A0B95">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wrap="none" lIns="0" tIns="0" rIns="0" bIns="0">
                      <a:spAutoFit/>
                    </wps:bodyPr>
                  </wps:wsp>
                </a:graphicData>
              </a:graphic>
            </wp:anchor>
          </w:drawing>
        </mc:Choice>
        <mc:Fallback>
          <w:pict>
            <v:shapetype w14:anchorId="22A221F0" id="_x0000_t202" coordsize="21600,21600" o:spt="202" path="m,l,21600r21600,l21600,xe">
              <v:stroke joinstyle="miter"/>
              <v:path gradientshapeok="t" o:connecttype="rect"/>
            </v:shapetype>
            <v:shape id="Shape 5" o:spid="_x0000_s1028" type="#_x0000_t202" style="position:absolute;margin-left:293.85pt;margin-top:776.1pt;width:4.3pt;height:7.5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" filled="f" stroked="f">
              <v:textbox style="mso-fit-shape-to-text:t" inset="0,0,0,0">
                <w:txbxContent>
                  <w:p w14:paraId="58182314" w14:textId="77777777" w:rsidR="007B004D" w:rsidRDefault="001A0B95">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22B31" w14:textId="77777777" w:rsidR="007B004D" w:rsidRDefault="001A0B95">
    <w:pPr>
      <w:spacing w:line="1" w:lineRule="exact"/>
    </w:pPr>
    <w:r>
      <w:rPr>
        <w:noProof/>
      </w:rPr>
      <mc:AlternateContent>
        <mc:Choice Requires="wps">
          <w:drawing>
            <wp:anchor distT="0" distB="0" distL="0" distR="0" simplePos="0" relativeHeight="62914696" behindDoc="1" locked="0" layoutInCell="1" allowOverlap="1" wp14:anchorId="3D05B963" wp14:editId="1FA5EFBF">
              <wp:simplePos x="0" y="0"/>
              <wp:positionH relativeFrom="page">
                <wp:posOffset>3723005</wp:posOffset>
              </wp:positionH>
              <wp:positionV relativeFrom="page">
                <wp:posOffset>9846945</wp:posOffset>
              </wp:positionV>
              <wp:extent cx="54610" cy="86995"/>
              <wp:effectExtent l="0" t="0" r="0" b="0"/>
              <wp:wrapNone/>
              <wp:docPr id="7" name="Shape 7"/>
              <wp:cNvGraphicFramePr/>
              <a:graphic xmlns:a="http://schemas.openxmlformats.org/drawingml/2006/main">
                <a:graphicData uri="http://schemas.microsoft.com/office/word/2010/wordprocessingShape">
                  <wps:wsp>
                    <wps:cNvSpPr txBox="1"/>
                    <wps:spPr>
                      <a:xfrm>
                        <a:off x="0" y="0"/>
                        <a:ext cx="54610" cy="86995"/>
                      </a:xfrm>
                      <a:prstGeom prst="rect">
                        <a:avLst/>
                      </a:prstGeom>
                      <a:noFill/>
                    </wps:spPr>
                    <wps:txbx>
                      <w:txbxContent>
                        <w:p w14:paraId="62ADFAAB" w14:textId="77777777" w:rsidR="007B004D" w:rsidRDefault="001A0B95">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wrap="none" lIns="0" tIns="0" rIns="0" bIns="0">
                      <a:spAutoFit/>
                    </wps:bodyPr>
                  </wps:wsp>
                </a:graphicData>
              </a:graphic>
            </wp:anchor>
          </w:drawing>
        </mc:Choice>
        <mc:Fallback>
          <w:pict>
            <v:shapetype w14:anchorId="3D05B963" id="_x0000_t202" coordsize="21600,21600" o:spt="202" path="m,l,21600r21600,l21600,xe">
              <v:stroke joinstyle="miter"/>
              <v:path gradientshapeok="t" o:connecttype="rect"/>
            </v:shapetype>
            <v:shape id="Shape 7" o:spid="_x0000_s1029" type="#_x0000_t202" style="position:absolute;margin-left:293.15pt;margin-top:775.35pt;width:4.3pt;height:6.8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" filled="f" stroked="f">
              <v:textbox style="mso-fit-shape-to-text:t" inset="0,0,0,0">
                <w:txbxContent>
                  <w:p w14:paraId="62ADFAAB" w14:textId="77777777" w:rsidR="007B004D" w:rsidRDefault="001A0B95">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092D9" w14:textId="77777777" w:rsidR="007B004D" w:rsidRDefault="001A0B95">
    <w:pPr>
      <w:spacing w:line="1" w:lineRule="exact"/>
    </w:pPr>
    <w:r>
      <w:rPr>
        <w:noProof/>
      </w:rPr>
      <mc:AlternateContent>
        <mc:Choice Requires="wps">
          <w:drawing>
            <wp:anchor distT="0" distB="0" distL="0" distR="0" simplePos="0" relativeHeight="62914698" behindDoc="1" locked="0" layoutInCell="1" allowOverlap="1" wp14:anchorId="3BEB31A0" wp14:editId="48DBACA7">
              <wp:simplePos x="0" y="0"/>
              <wp:positionH relativeFrom="page">
                <wp:posOffset>3724910</wp:posOffset>
              </wp:positionH>
              <wp:positionV relativeFrom="page">
                <wp:posOffset>9892665</wp:posOffset>
              </wp:positionV>
              <wp:extent cx="59690"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59690" cy="91440"/>
                      </a:xfrm>
                      <a:prstGeom prst="rect">
                        <a:avLst/>
                      </a:prstGeom>
                      <a:noFill/>
                    </wps:spPr>
                    <wps:txbx>
                      <w:txbxContent>
                        <w:p w14:paraId="25BC2F72" w14:textId="77777777" w:rsidR="007B004D" w:rsidRDefault="001A0B95">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wrap="none" lIns="0" tIns="0" rIns="0" bIns="0">
                      <a:spAutoFit/>
                    </wps:bodyPr>
                  </wps:wsp>
                </a:graphicData>
              </a:graphic>
            </wp:anchor>
          </w:drawing>
        </mc:Choice>
        <mc:Fallback>
          <w:pict>
            <v:shapetype w14:anchorId="3BEB31A0" id="_x0000_t202" coordsize="21600,21600" o:spt="202" path="m,l,21600r21600,l21600,xe">
              <v:stroke joinstyle="miter"/>
              <v:path gradientshapeok="t" o:connecttype="rect"/>
            </v:shapetype>
            <v:shape id="Shape 9" o:spid="_x0000_s1030" type="#_x0000_t202" style="position:absolute;margin-left:293.3pt;margin-top:778.95pt;width:4.7pt;height:7.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" filled="f" stroked="f">
              <v:textbox style="mso-fit-shape-to-text:t" inset="0,0,0,0">
                <w:txbxContent>
                  <w:p w14:paraId="25BC2F72" w14:textId="77777777" w:rsidR="007B004D" w:rsidRDefault="001A0B95">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90B93" w14:textId="77777777" w:rsidR="007B004D" w:rsidRDefault="007B004D"/>
  </w:footnote>
  <w:footnote w:type="continuationSeparator" w:id="0">
    <w:p w14:paraId="08169D5D" w14:textId="77777777" w:rsidR="007B004D" w:rsidRDefault="007B00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0529E"/>
    <w:multiLevelType w:val="multilevel"/>
    <w:tmpl w:val="7E90E748"/>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F46264"/>
    <w:multiLevelType w:val="multilevel"/>
    <w:tmpl w:val="B7664F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383AC6"/>
    <w:multiLevelType w:val="multilevel"/>
    <w:tmpl w:val="12BE7928"/>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446E1E"/>
    <w:multiLevelType w:val="multilevel"/>
    <w:tmpl w:val="72A21182"/>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095274"/>
    <w:multiLevelType w:val="multilevel"/>
    <w:tmpl w:val="C1AEC89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4A5FBE"/>
    <w:multiLevelType w:val="multilevel"/>
    <w:tmpl w:val="8FA4EC9C"/>
    <w:lvl w:ilvl="0">
      <w:start w:val="1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FD05F8"/>
    <w:multiLevelType w:val="multilevel"/>
    <w:tmpl w:val="64883EF8"/>
    <w:lvl w:ilvl="0">
      <w:start w:val="7"/>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4319673">
    <w:abstractNumId w:val="1"/>
  </w:num>
  <w:num w:numId="2" w16cid:durableId="408159869">
    <w:abstractNumId w:val="4"/>
  </w:num>
  <w:num w:numId="3" w16cid:durableId="711153532">
    <w:abstractNumId w:val="6"/>
  </w:num>
  <w:num w:numId="4" w16cid:durableId="1931233265">
    <w:abstractNumId w:val="3"/>
  </w:num>
  <w:num w:numId="5" w16cid:durableId="1354502340">
    <w:abstractNumId w:val="2"/>
  </w:num>
  <w:num w:numId="6" w16cid:durableId="1890606474">
    <w:abstractNumId w:val="0"/>
  </w:num>
  <w:num w:numId="7" w16cid:durableId="1738943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04D"/>
    <w:rsid w:val="001A0B95"/>
    <w:rsid w:val="007B004D"/>
    <w:rsid w:val="00A20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6E76"/>
  <w15:docId w15:val="{ED4CF9DD-60A2-41FE-9B95-80AF2E28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b/>
      <w:bCs/>
      <w:i w:val="0"/>
      <w:iCs w:val="0"/>
      <w:smallCaps w:val="0"/>
      <w:strike w:val="0"/>
      <w:sz w:val="40"/>
      <w:szCs w:val="40"/>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Tablecaption1">
    <w:name w:val="Table caption|1_"/>
    <w:basedOn w:val="Standardnpsmoodstavce"/>
    <w:link w:val="Tablecaption10"/>
    <w:rPr>
      <w:b w:val="0"/>
      <w:bCs w:val="0"/>
      <w:i w:val="0"/>
      <w:iCs w:val="0"/>
      <w:smallCaps w:val="0"/>
      <w:strike w:val="0"/>
      <w:sz w:val="22"/>
      <w:szCs w:val="22"/>
      <w:u w:val="none"/>
    </w:rPr>
  </w:style>
  <w:style w:type="character" w:customStyle="1" w:styleId="Other1">
    <w:name w:val="Other|1_"/>
    <w:basedOn w:val="Standardnpsmoodstavce"/>
    <w:link w:val="Other10"/>
    <w:rPr>
      <w:b w:val="0"/>
      <w:bCs w:val="0"/>
      <w:i w:val="0"/>
      <w:iCs w:val="0"/>
      <w:smallCaps w:val="0"/>
      <w:strike w:val="0"/>
      <w:sz w:val="22"/>
      <w:szCs w:val="22"/>
      <w:u w:val="none"/>
    </w:rPr>
  </w:style>
  <w:style w:type="character" w:customStyle="1" w:styleId="Bodytext1">
    <w:name w:val="Body text|1_"/>
    <w:basedOn w:val="Standardnpsmoodstavce"/>
    <w:link w:val="Bodytext10"/>
    <w:rPr>
      <w:b w:val="0"/>
      <w:bCs w:val="0"/>
      <w:i w:val="0"/>
      <w:iCs w:val="0"/>
      <w:smallCaps w:val="0"/>
      <w:strike w:val="0"/>
      <w:sz w:val="22"/>
      <w:szCs w:val="22"/>
      <w:u w:val="none"/>
    </w:rPr>
  </w:style>
  <w:style w:type="character" w:customStyle="1" w:styleId="Heading21">
    <w:name w:val="Heading #2|1_"/>
    <w:basedOn w:val="Standardnpsmoodstavce"/>
    <w:link w:val="Heading210"/>
    <w:rPr>
      <w:b/>
      <w:bCs/>
      <w:i w:val="0"/>
      <w:iCs w:val="0"/>
      <w:smallCaps w:val="0"/>
      <w:strike w:val="0"/>
      <w:u w:val="none"/>
    </w:rPr>
  </w:style>
  <w:style w:type="paragraph" w:customStyle="1" w:styleId="Heading110">
    <w:name w:val="Heading #1|1"/>
    <w:basedOn w:val="Normln"/>
    <w:link w:val="Heading11"/>
    <w:pPr>
      <w:spacing w:after="720"/>
      <w:jc w:val="center"/>
      <w:outlineLvl w:val="0"/>
    </w:pPr>
    <w:rPr>
      <w:b/>
      <w:bCs/>
      <w:sz w:val="40"/>
      <w:szCs w:val="40"/>
    </w:rPr>
  </w:style>
  <w:style w:type="paragraph" w:customStyle="1" w:styleId="Headerorfooter20">
    <w:name w:val="Header or footer|2"/>
    <w:basedOn w:val="Normln"/>
    <w:link w:val="Headerorfooter2"/>
    <w:rPr>
      <w:sz w:val="20"/>
      <w:szCs w:val="20"/>
    </w:rPr>
  </w:style>
  <w:style w:type="paragraph" w:customStyle="1" w:styleId="Tablecaption10">
    <w:name w:val="Table caption|1"/>
    <w:basedOn w:val="Normln"/>
    <w:link w:val="Tablecaption1"/>
    <w:rPr>
      <w:sz w:val="22"/>
      <w:szCs w:val="22"/>
    </w:rPr>
  </w:style>
  <w:style w:type="paragraph" w:customStyle="1" w:styleId="Other10">
    <w:name w:val="Other|1"/>
    <w:basedOn w:val="Normln"/>
    <w:link w:val="Other1"/>
    <w:pPr>
      <w:spacing w:after="100" w:line="295" w:lineRule="auto"/>
    </w:pPr>
    <w:rPr>
      <w:sz w:val="22"/>
      <w:szCs w:val="22"/>
    </w:rPr>
  </w:style>
  <w:style w:type="paragraph" w:customStyle="1" w:styleId="Bodytext10">
    <w:name w:val="Body text|1"/>
    <w:basedOn w:val="Normln"/>
    <w:link w:val="Bodytext1"/>
    <w:pPr>
      <w:spacing w:after="100" w:line="295" w:lineRule="auto"/>
    </w:pPr>
    <w:rPr>
      <w:sz w:val="22"/>
      <w:szCs w:val="22"/>
    </w:rPr>
  </w:style>
  <w:style w:type="paragraph" w:customStyle="1" w:styleId="Heading210">
    <w:name w:val="Heading #2|1"/>
    <w:basedOn w:val="Normln"/>
    <w:link w:val="Heading21"/>
    <w:pPr>
      <w:spacing w:after="240" w:line="271" w:lineRule="auto"/>
      <w:jc w:val="center"/>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uska@szutest.cz"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1461</Words>
  <Characters>8626</Characters>
  <Application>Microsoft Office Word</Application>
  <DocSecurity>0</DocSecurity>
  <Lines>71</Lines>
  <Paragraphs>20</Paragraphs>
  <ScaleCrop>false</ScaleCrop>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Kůrková Eva</dc:creator>
  <cp:lastModifiedBy>Eva Kůrková</cp:lastModifiedBy>
  <cp:revision>2</cp:revision>
  <dcterms:created xsi:type="dcterms:W3CDTF">2024-06-13T13:15:00Z</dcterms:created>
  <dcterms:modified xsi:type="dcterms:W3CDTF">2024-06-13T13:15:00Z</dcterms:modified>
</cp:coreProperties>
</file>