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BB" w:rsidRDefault="003B0544">
      <w:pPr>
        <w:spacing w:line="360" w:lineRule="auto"/>
        <w:jc w:val="center"/>
        <w:rPr>
          <w:rFonts w:ascii="Times New Roman" w:hAnsi="Times New Roman"/>
          <w:color w:val="000000"/>
          <w:spacing w:val="10"/>
          <w:sz w:val="19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42.25pt;width:486pt;height:7.6pt;z-index:-251658752;mso-wrap-distance-left:0;mso-wrap-distance-right:0" filled="f" stroked="f">
            <v:textbox inset="0,0,0,0">
              <w:txbxContent>
                <w:p w:rsidR="00DF51BB" w:rsidRDefault="003B0544">
                  <w:pPr>
                    <w:spacing w:line="199" w:lineRule="auto"/>
                    <w:ind w:right="72"/>
                    <w:jc w:val="right"/>
                    <w:rPr>
                      <w:rFonts w:ascii="Times New Roman" w:hAnsi="Times New Roman"/>
                      <w:color w:val="000000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0"/>
                      <w:sz w:val="16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>III. Návrh rozpo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 xml:space="preserve">čtu nákladů na archeologický výzkum 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br/>
      </w: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Náklady na záchranný archeologický výzkum nepřekročí částku: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br/>
        <w:t xml:space="preserve">70 000,- Kč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br/>
      </w: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(slovy: </w:t>
      </w:r>
      <w:proofErr w:type="spellStart"/>
      <w:r>
        <w:rPr>
          <w:rFonts w:ascii="Times New Roman" w:hAnsi="Times New Roman"/>
          <w:color w:val="000000"/>
          <w:spacing w:val="5"/>
          <w:sz w:val="19"/>
          <w:lang w:val="cs-CZ"/>
        </w:rPr>
        <w:t>sedmdesáttisíc</w:t>
      </w:r>
      <w:proofErr w:type="spellEnd"/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 korun českých)</w:t>
      </w:r>
    </w:p>
    <w:p w:rsidR="00DF51BB" w:rsidRDefault="003B0544">
      <w:pPr>
        <w:spacing w:before="360"/>
        <w:ind w:right="72"/>
        <w:rPr>
          <w:rFonts w:ascii="Times New Roman" w:hAnsi="Times New Roman"/>
          <w:color w:val="000000"/>
          <w:spacing w:val="10"/>
          <w:sz w:val="19"/>
          <w:lang w:val="cs-CZ"/>
        </w:rPr>
      </w:pPr>
      <w:r>
        <w:rPr>
          <w:rFonts w:ascii="Times New Roman" w:hAnsi="Times New Roman"/>
          <w:color w:val="000000"/>
          <w:spacing w:val="10"/>
          <w:sz w:val="19"/>
          <w:lang w:val="cs-CZ"/>
        </w:rPr>
        <w:t>Fakturace bude provád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 xml:space="preserve">ěna podle skutečně vynaložených nákladů, a to na základě přiloženého přehledu nákladů </w:t>
      </w:r>
      <w:r>
        <w:rPr>
          <w:rFonts w:ascii="Times New Roman" w:hAnsi="Times New Roman"/>
          <w:color w:val="000000"/>
          <w:spacing w:val="7"/>
          <w:sz w:val="19"/>
          <w:lang w:val="cs-CZ"/>
        </w:rPr>
        <w:t>na výzkum. Faktura — spolu s podrobným vyúčtováním — bude zaslána objednateli po skončení zemních prací.</w:t>
      </w:r>
    </w:p>
    <w:p w:rsidR="00DF51BB" w:rsidRDefault="003B0544">
      <w:pPr>
        <w:spacing w:before="144" w:line="266" w:lineRule="auto"/>
        <w:rPr>
          <w:rFonts w:ascii="Times New Roman" w:hAnsi="Times New Roman"/>
          <w:color w:val="000000"/>
          <w:spacing w:val="9"/>
          <w:sz w:val="19"/>
          <w:lang w:val="cs-CZ"/>
        </w:rPr>
      </w:pPr>
      <w:r>
        <w:rPr>
          <w:rFonts w:ascii="Times New Roman" w:hAnsi="Times New Roman"/>
          <w:color w:val="000000"/>
          <w:spacing w:val="9"/>
          <w:sz w:val="19"/>
          <w:lang w:val="cs-CZ"/>
        </w:rPr>
        <w:t>V případě pozdní úhrady bude účtována sankce ve výši 0,05 % z obj</w:t>
      </w:r>
      <w:r>
        <w:rPr>
          <w:rFonts w:ascii="Times New Roman" w:hAnsi="Times New Roman"/>
          <w:color w:val="000000"/>
          <w:spacing w:val="9"/>
          <w:sz w:val="19"/>
          <w:lang w:val="cs-CZ"/>
        </w:rPr>
        <w:t>emu nákladů na výzkum za každý den.</w:t>
      </w:r>
    </w:p>
    <w:p w:rsidR="00DF51BB" w:rsidRDefault="003B0544">
      <w:pPr>
        <w:spacing w:before="108"/>
        <w:ind w:right="72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Potvrzení o provedení záchranného archeologického výzkumu bude vystaveno až po úhradě nákladů na záchranný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archeologický výzkum.</w:t>
      </w:r>
    </w:p>
    <w:p w:rsidR="00DF51BB" w:rsidRDefault="003B0544">
      <w:pPr>
        <w:tabs>
          <w:tab w:val="right" w:pos="6744"/>
        </w:tabs>
        <w:spacing w:before="288"/>
        <w:ind w:left="2880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IV.</w:t>
      </w:r>
      <w:r>
        <w:rPr>
          <w:rFonts w:ascii="Times New Roman" w:hAnsi="Times New Roman"/>
          <w:color w:val="00000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9"/>
          <w:sz w:val="19"/>
          <w:lang w:val="cs-CZ"/>
        </w:rPr>
        <w:t>Zveřejnění smlouvy v registru smluv</w:t>
      </w:r>
    </w:p>
    <w:p w:rsidR="00DF51BB" w:rsidRDefault="003B0544">
      <w:pPr>
        <w:numPr>
          <w:ilvl w:val="0"/>
          <w:numId w:val="1"/>
        </w:numPr>
        <w:tabs>
          <w:tab w:val="clear" w:pos="216"/>
          <w:tab w:val="decimal" w:pos="936"/>
        </w:tabs>
        <w:spacing w:before="468"/>
        <w:ind w:left="0" w:right="72" w:firstLine="720"/>
        <w:jc w:val="both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Smlouva bude v souladu se zákonem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č. 340/2015 Sb., o zvláštních podmínkách účinnosti některých smluv,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t>uveřejňování těchto smluv a o registru smluv („zákon o registru smluv"), zveřejněna v registru smluv. Smluvní strany berou na vědomí, že nebude-li smlouva zveřejněna ani devades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átý den od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jejího uzavření, je následujícím dnem zrušena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od počátku s účinky případného bezdůvodného obohacení.</w:t>
      </w:r>
    </w:p>
    <w:p w:rsidR="00DF51BB" w:rsidRDefault="003B0544">
      <w:pPr>
        <w:numPr>
          <w:ilvl w:val="0"/>
          <w:numId w:val="1"/>
        </w:numPr>
        <w:tabs>
          <w:tab w:val="clear" w:pos="216"/>
          <w:tab w:val="decimal" w:pos="936"/>
        </w:tabs>
        <w:spacing w:before="144"/>
        <w:ind w:left="0" w:right="72" w:firstLine="720"/>
        <w:rPr>
          <w:rFonts w:ascii="Times New Roman" w:hAnsi="Times New Roman"/>
          <w:color w:val="000000"/>
          <w:spacing w:val="6"/>
          <w:sz w:val="19"/>
          <w:lang w:val="cs-CZ"/>
        </w:rPr>
      </w:pPr>
      <w:r>
        <w:rPr>
          <w:rFonts w:ascii="Times New Roman" w:hAnsi="Times New Roman"/>
          <w:color w:val="000000"/>
          <w:spacing w:val="6"/>
          <w:sz w:val="19"/>
          <w:lang w:val="cs-CZ"/>
        </w:rPr>
        <w:t xml:space="preserve">Smluvní strany prohlašují, že žádná část smlouvy nenaplňuje znaky obchodního tajemství (§ 504 z. </w:t>
      </w:r>
      <w:proofErr w:type="gramStart"/>
      <w:r>
        <w:rPr>
          <w:rFonts w:ascii="Times New Roman" w:hAnsi="Times New Roman"/>
          <w:color w:val="000000"/>
          <w:spacing w:val="6"/>
          <w:sz w:val="19"/>
          <w:lang w:val="cs-CZ"/>
        </w:rPr>
        <w:t>č.</w:t>
      </w:r>
      <w:proofErr w:type="gramEnd"/>
      <w:r>
        <w:rPr>
          <w:rFonts w:ascii="Times New Roman" w:hAnsi="Times New Roman"/>
          <w:color w:val="000000"/>
          <w:spacing w:val="6"/>
          <w:sz w:val="19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89/2012 Sb., občanský zákoník).</w:t>
      </w:r>
    </w:p>
    <w:p w:rsidR="00DF51BB" w:rsidRDefault="003B0544">
      <w:pPr>
        <w:numPr>
          <w:ilvl w:val="0"/>
          <w:numId w:val="1"/>
        </w:numPr>
        <w:tabs>
          <w:tab w:val="clear" w:pos="216"/>
          <w:tab w:val="decimal" w:pos="936"/>
        </w:tabs>
        <w:spacing w:before="144"/>
        <w:ind w:left="0" w:firstLine="720"/>
        <w:rPr>
          <w:rFonts w:ascii="Times New Roman" w:hAnsi="Times New Roman"/>
          <w:color w:val="000000"/>
          <w:spacing w:val="10"/>
          <w:sz w:val="19"/>
          <w:lang w:val="cs-CZ"/>
        </w:rPr>
      </w:pPr>
      <w:r>
        <w:rPr>
          <w:rFonts w:ascii="Times New Roman" w:hAnsi="Times New Roman"/>
          <w:color w:val="000000"/>
          <w:spacing w:val="10"/>
          <w:sz w:val="19"/>
          <w:lang w:val="cs-CZ"/>
        </w:rPr>
        <w:t>Smluvní strany se dohodly, že:</w:t>
      </w:r>
    </w:p>
    <w:p w:rsidR="00DF51BB" w:rsidRDefault="003B0544">
      <w:pPr>
        <w:numPr>
          <w:ilvl w:val="0"/>
          <w:numId w:val="2"/>
        </w:numPr>
        <w:tabs>
          <w:tab w:val="clear" w:pos="216"/>
          <w:tab w:val="decimal" w:pos="288"/>
        </w:tabs>
        <w:spacing w:before="144"/>
        <w:ind w:left="0" w:firstLine="72"/>
        <w:rPr>
          <w:rFonts w:ascii="Times New Roman" w:hAnsi="Times New Roman"/>
          <w:color w:val="000000"/>
          <w:spacing w:val="9"/>
          <w:sz w:val="19"/>
          <w:lang w:val="cs-CZ"/>
        </w:rPr>
      </w:pPr>
      <w:r>
        <w:rPr>
          <w:rFonts w:ascii="Times New Roman" w:hAnsi="Times New Roman"/>
          <w:color w:val="000000"/>
          <w:spacing w:val="9"/>
          <w:sz w:val="19"/>
          <w:lang w:val="cs-CZ"/>
        </w:rPr>
        <w:t>smlouva bude zveřejněna v pl</w:t>
      </w:r>
      <w:r>
        <w:rPr>
          <w:rFonts w:ascii="Times New Roman" w:hAnsi="Times New Roman"/>
          <w:color w:val="000000"/>
          <w:spacing w:val="9"/>
          <w:sz w:val="19"/>
          <w:lang w:val="cs-CZ"/>
        </w:rPr>
        <w:t>ném znění</w:t>
      </w:r>
    </w:p>
    <w:p w:rsidR="00DF51BB" w:rsidRDefault="003B0544">
      <w:pPr>
        <w:numPr>
          <w:ilvl w:val="0"/>
          <w:numId w:val="2"/>
        </w:numPr>
        <w:tabs>
          <w:tab w:val="clear" w:pos="216"/>
          <w:tab w:val="decimal" w:pos="288"/>
        </w:tabs>
        <w:spacing w:before="144"/>
        <w:ind w:left="0" w:right="72" w:firstLine="72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uveřejnění v registru smluv na dobu neurčitou provede Regionální muzeum ve Vysokém Mýtě, a to bezodkladně po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uzavření této smlouvy, nejpozději však do 30 dní od uzavření smlouvy.</w:t>
      </w:r>
    </w:p>
    <w:p w:rsidR="00DF51BB" w:rsidRDefault="003B0544">
      <w:pPr>
        <w:tabs>
          <w:tab w:val="right" w:pos="6029"/>
        </w:tabs>
        <w:spacing w:before="828"/>
        <w:ind w:left="3600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V.</w:t>
      </w:r>
      <w:r>
        <w:rPr>
          <w:rFonts w:ascii="Times New Roman" w:hAnsi="Times New Roman"/>
          <w:color w:val="00000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19"/>
          <w:lang w:val="cs-CZ"/>
        </w:rPr>
        <w:t>Záv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>ěrečná ujednání</w:t>
      </w:r>
    </w:p>
    <w:p w:rsidR="00DF51BB" w:rsidRDefault="003B0544">
      <w:pPr>
        <w:spacing w:before="360" w:line="196" w:lineRule="auto"/>
        <w:ind w:left="439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V</w:t>
      </w:r>
      <w:r>
        <w:rPr>
          <w:rFonts w:ascii="Times New Roman" w:hAnsi="Times New Roman"/>
          <w:color w:val="000000"/>
          <w:w w:val="135"/>
          <w:sz w:val="20"/>
          <w:lang w:val="cs-CZ"/>
        </w:rPr>
        <w:t>I.</w:t>
      </w:r>
    </w:p>
    <w:p w:rsidR="00DF51BB" w:rsidRDefault="003B0544">
      <w:pPr>
        <w:spacing w:before="180"/>
        <w:ind w:right="72"/>
        <w:jc w:val="both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V případě, že stavebními či se stavbou souvisejícími pracemi budou narušeny archeologické situace v takovém rozsahu, že náklady na záchranný archeologický výzkum přesáhnou částku uvedenou v bodě III., zavazují se strany dohody vejít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v neodkladné jednání cílené k řešení této skutečnosti.</w:t>
      </w:r>
    </w:p>
    <w:p w:rsidR="00DF51BB" w:rsidRDefault="003B0544">
      <w:pPr>
        <w:spacing w:before="180"/>
        <w:ind w:right="72"/>
        <w:jc w:val="both"/>
        <w:rPr>
          <w:rFonts w:ascii="Times New Roman" w:hAnsi="Times New Roman"/>
          <w:color w:val="000000"/>
          <w:spacing w:val="7"/>
          <w:sz w:val="19"/>
          <w:lang w:val="cs-CZ"/>
        </w:rPr>
      </w:pPr>
      <w:r>
        <w:rPr>
          <w:rFonts w:ascii="Times New Roman" w:hAnsi="Times New Roman"/>
          <w:color w:val="000000"/>
          <w:spacing w:val="7"/>
          <w:sz w:val="19"/>
          <w:lang w:val="cs-CZ"/>
        </w:rPr>
        <w:t xml:space="preserve">Dohoda nabývá platnosti dnem podpisu obou stran a je vypracována ve čtyřech stejnopisech, každý v platnosti originálu, z </w:t>
      </w:r>
      <w:proofErr w:type="gramStart"/>
      <w:r>
        <w:rPr>
          <w:rFonts w:ascii="Times New Roman" w:hAnsi="Times New Roman"/>
          <w:color w:val="000000"/>
          <w:spacing w:val="7"/>
          <w:sz w:val="19"/>
          <w:lang w:val="cs-CZ"/>
        </w:rPr>
        <w:t>nichž</w:t>
      </w:r>
      <w:proofErr w:type="gramEnd"/>
      <w:r>
        <w:rPr>
          <w:rFonts w:ascii="Times New Roman" w:hAnsi="Times New Roman"/>
          <w:color w:val="000000"/>
          <w:spacing w:val="7"/>
          <w:sz w:val="19"/>
          <w:lang w:val="cs-CZ"/>
        </w:rPr>
        <w:t xml:space="preserve"> dva obdrží objednatel a dva zhotovitel. Dohoda nabývá účinnosti dnem písem</w:t>
      </w:r>
      <w:r>
        <w:rPr>
          <w:rFonts w:ascii="Times New Roman" w:hAnsi="Times New Roman"/>
          <w:color w:val="000000"/>
          <w:spacing w:val="7"/>
          <w:sz w:val="19"/>
          <w:lang w:val="cs-CZ"/>
        </w:rPr>
        <w:t xml:space="preserve">ného oznámení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faktického zahájení zemních prací (viz část II. této dohody).</w:t>
      </w:r>
    </w:p>
    <w:p w:rsidR="00DF51BB" w:rsidRDefault="003B0544">
      <w:pPr>
        <w:spacing w:before="108" w:after="288"/>
        <w:ind w:right="72"/>
        <w:rPr>
          <w:rFonts w:ascii="Times New Roman" w:hAnsi="Times New Roman"/>
          <w:color w:val="000000"/>
          <w:spacing w:val="5"/>
          <w:sz w:val="19"/>
          <w:lang w:val="cs-CZ"/>
        </w:rPr>
      </w:pP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Změny dohody lze provádět pouze písemnými dodatky odsouhlasenými objednatelem a zhotovitelem. Pokud není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stanoveno jinak, v ostatním se tato dohoda řídí příslušnými ustanoveními ob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ecně platných právních předpisů.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"/>
        <w:gridCol w:w="3364"/>
        <w:gridCol w:w="2444"/>
        <w:gridCol w:w="3389"/>
      </w:tblGrid>
      <w:tr w:rsidR="00DF51BB">
        <w:tblPrEx>
          <w:tblCellMar>
            <w:top w:w="0" w:type="dxa"/>
            <w:bottom w:w="0" w:type="dxa"/>
          </w:tblCellMar>
        </w:tblPrEx>
        <w:trPr>
          <w:trHeight w:hRule="exact" w:val="1381"/>
        </w:trPr>
        <w:tc>
          <w:tcPr>
            <w:tcW w:w="35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51BB" w:rsidRDefault="003B0544" w:rsidP="003B0544">
            <w:pPr>
              <w:ind w:right="2102"/>
              <w:jc w:val="right"/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 xml:space="preserve">Vysoké Mýto dne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>17.6.2024</w:t>
            </w:r>
            <w:proofErr w:type="gramEnd"/>
          </w:p>
        </w:tc>
        <w:tc>
          <w:tcPr>
            <w:tcW w:w="24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51BB" w:rsidRDefault="00DF51BB"/>
        </w:tc>
        <w:tc>
          <w:tcPr>
            <w:tcW w:w="338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DF51BB" w:rsidRDefault="003B0544"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>Vysoké Mýto dne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>14.6.2024</w:t>
            </w:r>
            <w:proofErr w:type="gramEnd"/>
          </w:p>
        </w:tc>
      </w:tr>
      <w:tr w:rsidR="00DF51BB">
        <w:tblPrEx>
          <w:tblCellMar>
            <w:top w:w="0" w:type="dxa"/>
            <w:bottom w:w="0" w:type="dxa"/>
          </w:tblCellMar>
        </w:tblPrEx>
        <w:trPr>
          <w:trHeight w:hRule="exact" w:val="10"/>
        </w:trPr>
        <w:tc>
          <w:tcPr>
            <w:tcW w:w="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51BB" w:rsidRDefault="00DF51BB"/>
        </w:tc>
        <w:tc>
          <w:tcPr>
            <w:tcW w:w="336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51BB" w:rsidRDefault="00DF51BB"/>
        </w:tc>
        <w:tc>
          <w:tcPr>
            <w:tcW w:w="24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51BB" w:rsidRDefault="00DF51BB"/>
        </w:tc>
        <w:tc>
          <w:tcPr>
            <w:tcW w:w="338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51BB" w:rsidRDefault="00DF51BB"/>
        </w:tc>
      </w:tr>
    </w:tbl>
    <w:p w:rsidR="00DF51BB" w:rsidRDefault="00DF51BB">
      <w:pPr>
        <w:spacing w:after="268" w:line="20" w:lineRule="exact"/>
      </w:pPr>
    </w:p>
    <w:p w:rsidR="00DF51BB" w:rsidRDefault="003B0544">
      <w:pPr>
        <w:tabs>
          <w:tab w:val="right" w:pos="8534"/>
        </w:tabs>
        <w:ind w:left="1152"/>
        <w:rPr>
          <w:rFonts w:ascii="Times New Roman" w:hAnsi="Times New Roman"/>
          <w:color w:val="000000"/>
          <w:spacing w:val="-8"/>
          <w:w w:val="110"/>
          <w:sz w:val="21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21"/>
          <w:lang w:val="cs-CZ"/>
        </w:rPr>
        <w:t>Mgr. Jiří Junek</w:t>
      </w:r>
      <w:r>
        <w:rPr>
          <w:rFonts w:ascii="Times New Roman" w:hAnsi="Times New Roman"/>
          <w:color w:val="000000"/>
          <w:spacing w:val="-8"/>
          <w:w w:val="110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10"/>
          <w:sz w:val="21"/>
          <w:lang w:val="cs-CZ"/>
        </w:rPr>
        <w:t>Ing. Michal Satrapa</w:t>
      </w:r>
    </w:p>
    <w:p w:rsidR="00DF51BB" w:rsidRDefault="003B0544">
      <w:pPr>
        <w:tabs>
          <w:tab w:val="right" w:pos="8721"/>
        </w:tabs>
        <w:ind w:left="1512"/>
        <w:rPr>
          <w:rFonts w:ascii="Times New Roman" w:hAnsi="Times New Roman"/>
          <w:color w:val="000000"/>
          <w:spacing w:val="-12"/>
          <w:w w:val="110"/>
          <w:sz w:val="21"/>
          <w:lang w:val="cs-CZ"/>
        </w:rPr>
      </w:pPr>
      <w:r>
        <w:rPr>
          <w:rFonts w:ascii="Times New Roman" w:hAnsi="Times New Roman"/>
          <w:color w:val="000000"/>
          <w:spacing w:val="-12"/>
          <w:w w:val="110"/>
          <w:sz w:val="21"/>
          <w:lang w:val="cs-CZ"/>
        </w:rPr>
        <w:t>Ředitel</w:t>
      </w:r>
      <w:r>
        <w:rPr>
          <w:rFonts w:ascii="Times New Roman" w:hAnsi="Times New Roman"/>
          <w:color w:val="000000"/>
          <w:spacing w:val="-12"/>
          <w:w w:val="110"/>
          <w:sz w:val="21"/>
          <w:lang w:val="cs-CZ"/>
        </w:rPr>
        <w:tab/>
      </w:r>
      <w:proofErr w:type="spellStart"/>
      <w:r>
        <w:rPr>
          <w:rFonts w:ascii="Times New Roman" w:hAnsi="Times New Roman"/>
          <w:color w:val="000000"/>
          <w:spacing w:val="-4"/>
          <w:w w:val="110"/>
          <w:sz w:val="21"/>
          <w:lang w:val="cs-CZ"/>
        </w:rPr>
        <w:t>Chief</w:t>
      </w:r>
      <w:proofErr w:type="spellEnd"/>
      <w:r>
        <w:rPr>
          <w:rFonts w:ascii="Times New Roman" w:hAnsi="Times New Roman"/>
          <w:color w:val="000000"/>
          <w:spacing w:val="-4"/>
          <w:w w:val="110"/>
          <w:sz w:val="21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10"/>
          <w:sz w:val="21"/>
          <w:lang w:val="cs-CZ"/>
        </w:rPr>
        <w:t>Executive</w:t>
      </w:r>
      <w:proofErr w:type="spellEnd"/>
      <w:r>
        <w:rPr>
          <w:rFonts w:ascii="Times New Roman" w:hAnsi="Times New Roman"/>
          <w:color w:val="000000"/>
          <w:spacing w:val="-4"/>
          <w:w w:val="110"/>
          <w:sz w:val="21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10"/>
          <w:sz w:val="21"/>
          <w:lang w:val="cs-CZ"/>
        </w:rPr>
        <w:t>Officer</w:t>
      </w:r>
      <w:proofErr w:type="spellEnd"/>
    </w:p>
    <w:p w:rsidR="00DF51BB" w:rsidRDefault="003B0544">
      <w:pPr>
        <w:tabs>
          <w:tab w:val="right" w:pos="8285"/>
        </w:tabs>
        <w:ind w:left="1224"/>
        <w:rPr>
          <w:rFonts w:ascii="Times New Roman" w:hAnsi="Times New Roman"/>
          <w:color w:val="000000"/>
          <w:spacing w:val="-10"/>
          <w:w w:val="110"/>
          <w:sz w:val="21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21"/>
          <w:lang w:val="cs-CZ"/>
        </w:rPr>
        <w:t>za zhotovitele</w:t>
      </w:r>
      <w:r>
        <w:rPr>
          <w:rFonts w:ascii="Times New Roman" w:hAnsi="Times New Roman"/>
          <w:color w:val="000000"/>
          <w:spacing w:val="-10"/>
          <w:w w:val="110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10"/>
          <w:sz w:val="21"/>
          <w:lang w:val="cs-CZ"/>
        </w:rPr>
        <w:t>za objednatele</w:t>
      </w:r>
    </w:p>
    <w:sectPr w:rsidR="00DF51BB">
      <w:pgSz w:w="11918" w:h="16854"/>
      <w:pgMar w:top="1620" w:right="1006" w:bottom="16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1367"/>
    <w:multiLevelType w:val="multilevel"/>
    <w:tmpl w:val="F696A19C"/>
    <w:lvl w:ilvl="0">
      <w:start w:val="1"/>
      <w:numFmt w:val="lowerLetter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C5794"/>
    <w:multiLevelType w:val="multilevel"/>
    <w:tmpl w:val="3F6C9E3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1BB"/>
    <w:rsid w:val="003B0544"/>
    <w:rsid w:val="00D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35820"/>
  <w15:docId w15:val="{FD271810-EC0D-4541-9A7E-2B387A06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2024-06-17T07:56:00Z</dcterms:created>
  <dcterms:modified xsi:type="dcterms:W3CDTF">2024-06-17T07:57:00Z</dcterms:modified>
</cp:coreProperties>
</file>