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96" w:rsidRDefault="00041E62">
      <w:pPr>
        <w:pStyle w:val="Nadpis10"/>
        <w:framePr w:w="9134" w:h="385" w:hRule="exact" w:wrap="none" w:vAnchor="page" w:hAnchor="page" w:x="1384" w:y="1231"/>
        <w:shd w:val="clear" w:color="auto" w:fill="auto"/>
        <w:spacing w:after="0" w:line="320" w:lineRule="exact"/>
      </w:pPr>
      <w:bookmarkStart w:id="0" w:name="bookmark0"/>
      <w:r>
        <w:t>DODATEK Č. 1 KE SMLOUVĚ O DÍLO</w:t>
      </w:r>
      <w:bookmarkEnd w:id="0"/>
    </w:p>
    <w:p w:rsidR="00450C96" w:rsidRDefault="00041E62">
      <w:pPr>
        <w:pStyle w:val="Nadpis30"/>
        <w:framePr w:w="9134" w:h="4569" w:hRule="exact" w:wrap="none" w:vAnchor="page" w:hAnchor="page" w:x="1384" w:y="2442"/>
        <w:shd w:val="clear" w:color="auto" w:fill="auto"/>
        <w:spacing w:before="0"/>
        <w:ind w:left="400"/>
      </w:pPr>
      <w:bookmarkStart w:id="1" w:name="bookmark1"/>
      <w:r>
        <w:t>Hřbitovy a pohřební služby hl. m. Prahy, p. o.</w:t>
      </w:r>
      <w:bookmarkEnd w:id="1"/>
    </w:p>
    <w:p w:rsidR="00450C96" w:rsidRDefault="00041E62">
      <w:pPr>
        <w:pStyle w:val="Zkladntext20"/>
        <w:framePr w:w="9134" w:h="4569" w:hRule="exact" w:wrap="none" w:vAnchor="page" w:hAnchor="page" w:x="1384" w:y="2442"/>
        <w:shd w:val="clear" w:color="auto" w:fill="auto"/>
        <w:ind w:right="4980" w:firstLine="0"/>
      </w:pPr>
      <w:r>
        <w:t>Sídlo: Pobřežní 72/339, 186 00 Praha 8 IČ: 45245801 DIČ: CZ45245801</w:t>
      </w:r>
    </w:p>
    <w:p w:rsidR="00450C96" w:rsidRDefault="00041E62">
      <w:pPr>
        <w:pStyle w:val="Zkladntext20"/>
        <w:framePr w:w="9134" w:h="4569" w:hRule="exact" w:wrap="none" w:vAnchor="page" w:hAnchor="page" w:x="1384" w:y="2442"/>
        <w:shd w:val="clear" w:color="auto" w:fill="auto"/>
        <w:spacing w:after="235"/>
        <w:ind w:right="980" w:firstLine="0"/>
      </w:pPr>
      <w:r>
        <w:t>Zastoupený: ve věcech smluvních: Ing. Miroslavem Vackem, pověřeným řízením organizace Bankovní spojení: ČSOB,</w:t>
      </w:r>
      <w:r>
        <w:t xml:space="preserve"> a.s., č. účtu: 685329/0300</w:t>
      </w:r>
    </w:p>
    <w:p w:rsidR="00450C96" w:rsidRDefault="00041E62">
      <w:pPr>
        <w:pStyle w:val="Zkladntext20"/>
        <w:framePr w:w="9134" w:h="4569" w:hRule="exact" w:wrap="none" w:vAnchor="page" w:hAnchor="page" w:x="1384" w:y="2442"/>
        <w:shd w:val="clear" w:color="auto" w:fill="auto"/>
        <w:spacing w:after="199" w:line="200" w:lineRule="exact"/>
        <w:ind w:left="400"/>
      </w:pPr>
      <w:r>
        <w:t>a</w:t>
      </w:r>
    </w:p>
    <w:p w:rsidR="00450C96" w:rsidRDefault="00041E62">
      <w:pPr>
        <w:pStyle w:val="Nadpis30"/>
        <w:framePr w:w="9134" w:h="4569" w:hRule="exact" w:wrap="none" w:vAnchor="page" w:hAnchor="page" w:x="1384" w:y="2442"/>
        <w:shd w:val="clear" w:color="auto" w:fill="auto"/>
        <w:spacing w:before="0"/>
        <w:ind w:left="400"/>
      </w:pPr>
      <w:bookmarkStart w:id="2" w:name="bookmark2"/>
      <w:r>
        <w:t>F1 facility CZ s.r.o.</w:t>
      </w:r>
      <w:bookmarkEnd w:id="2"/>
    </w:p>
    <w:p w:rsidR="00450C96" w:rsidRDefault="00041E62">
      <w:pPr>
        <w:pStyle w:val="Zkladntext20"/>
        <w:framePr w:w="9134" w:h="4569" w:hRule="exact" w:wrap="none" w:vAnchor="page" w:hAnchor="page" w:x="1384" w:y="2442"/>
        <w:shd w:val="clear" w:color="auto" w:fill="auto"/>
        <w:ind w:right="980" w:firstLine="0"/>
      </w:pPr>
      <w:r>
        <w:t>Městský soud v Praze, spis. zn. C 247381 Sídlo: 17. listopadu 119, 284 01 Kutná Hora IČ: 04462319 DIČ: CZ04462319</w:t>
      </w:r>
    </w:p>
    <w:p w:rsidR="00450C96" w:rsidRDefault="00041E62">
      <w:pPr>
        <w:pStyle w:val="Zkladntext20"/>
        <w:framePr w:w="9134" w:h="4569" w:hRule="exact" w:wrap="none" w:vAnchor="page" w:hAnchor="page" w:x="1384" w:y="2442"/>
        <w:shd w:val="clear" w:color="auto" w:fill="auto"/>
        <w:ind w:right="980" w:firstLine="0"/>
      </w:pPr>
      <w:r>
        <w:t xml:space="preserve">Zastoupený: </w:t>
      </w:r>
      <w:r w:rsidR="00507A1D">
        <w:t>XXXXXXXXXXXXXXXXXX</w:t>
      </w:r>
      <w:r>
        <w:t>, jednatelem Bankovní spojení: ČSOB, č. ú. 272032436</w:t>
      </w:r>
      <w:r>
        <w:t xml:space="preserve">/0300 Tel.: </w:t>
      </w:r>
      <w:r w:rsidR="00507A1D">
        <w:t>XXXXXXXXXXX</w:t>
      </w:r>
    </w:p>
    <w:p w:rsidR="00450C96" w:rsidRDefault="00041E62">
      <w:pPr>
        <w:pStyle w:val="Nadpis30"/>
        <w:framePr w:w="9134" w:h="1085" w:hRule="exact" w:wrap="none" w:vAnchor="page" w:hAnchor="page" w:x="1384" w:y="7266"/>
        <w:shd w:val="clear" w:color="auto" w:fill="auto"/>
        <w:spacing w:before="0" w:line="514" w:lineRule="exact"/>
        <w:ind w:firstLine="0"/>
        <w:jc w:val="center"/>
      </w:pPr>
      <w:bookmarkStart w:id="3" w:name="bookmark3"/>
      <w:r>
        <w:rPr>
          <w:rStyle w:val="Nadpis310ptNetun"/>
        </w:rPr>
        <w:t>uzavřeli níže uvedeného dne a roku tento</w:t>
      </w:r>
      <w:r>
        <w:rPr>
          <w:rStyle w:val="Nadpis310ptNetun"/>
        </w:rPr>
        <w:br/>
      </w:r>
      <w:r>
        <w:t>Dodatek č. 1 ke Smlouvě o dílo č. 23-086-S</w:t>
      </w:r>
      <w:bookmarkEnd w:id="3"/>
    </w:p>
    <w:p w:rsidR="00450C96" w:rsidRDefault="00041E62">
      <w:pPr>
        <w:pStyle w:val="Nadpis30"/>
        <w:framePr w:w="9134" w:h="1605" w:hRule="exact" w:wrap="none" w:vAnchor="page" w:hAnchor="page" w:x="1384" w:y="8752"/>
        <w:shd w:val="clear" w:color="auto" w:fill="auto"/>
        <w:spacing w:before="0" w:after="22" w:line="220" w:lineRule="exact"/>
        <w:ind w:firstLine="0"/>
        <w:jc w:val="center"/>
      </w:pPr>
      <w:bookmarkStart w:id="4" w:name="bookmark4"/>
      <w:r>
        <w:t>Článek I.</w:t>
      </w:r>
      <w:bookmarkEnd w:id="4"/>
    </w:p>
    <w:p w:rsidR="00450C96" w:rsidRDefault="00041E62">
      <w:pPr>
        <w:pStyle w:val="Nadpis30"/>
        <w:framePr w:w="9134" w:h="1605" w:hRule="exact" w:wrap="none" w:vAnchor="page" w:hAnchor="page" w:x="1384" w:y="8752"/>
        <w:shd w:val="clear" w:color="auto" w:fill="auto"/>
        <w:spacing w:before="0" w:after="199" w:line="220" w:lineRule="exact"/>
        <w:ind w:firstLine="0"/>
        <w:jc w:val="center"/>
      </w:pPr>
      <w:bookmarkStart w:id="5" w:name="bookmark5"/>
      <w:r>
        <w:t>Úvodní ustanovení</w:t>
      </w:r>
      <w:bookmarkEnd w:id="5"/>
    </w:p>
    <w:p w:rsidR="00450C96" w:rsidRDefault="00041E62">
      <w:pPr>
        <w:pStyle w:val="Zkladntext20"/>
        <w:framePr w:w="9134" w:h="1605" w:hRule="exact" w:wrap="none" w:vAnchor="page" w:hAnchor="page" w:x="1384" w:y="8752"/>
        <w:numPr>
          <w:ilvl w:val="0"/>
          <w:numId w:val="1"/>
        </w:numPr>
        <w:shd w:val="clear" w:color="auto" w:fill="auto"/>
        <w:tabs>
          <w:tab w:val="left" w:pos="350"/>
        </w:tabs>
        <w:ind w:left="400"/>
        <w:jc w:val="both"/>
      </w:pPr>
      <w:r>
        <w:t xml:space="preserve">Smluvní strany uzavřely dne 26. 10. 2023 smlouvu o dílo s názvem „HPS/Hřbitov Olšany - rekonstrukce záchodů" (dále jen </w:t>
      </w:r>
      <w:r>
        <w:t>„smlouva"). Smluvní strany se dohodly na změně ceny, za účelem čehož smluvní strany uzavírají tento dodatek č. 1.</w:t>
      </w:r>
    </w:p>
    <w:p w:rsidR="00450C96" w:rsidRDefault="00041E62">
      <w:pPr>
        <w:pStyle w:val="Nadpis30"/>
        <w:framePr w:w="9134" w:h="606" w:hRule="exact" w:wrap="none" w:vAnchor="page" w:hAnchor="page" w:x="1384" w:y="11043"/>
        <w:shd w:val="clear" w:color="auto" w:fill="auto"/>
        <w:spacing w:before="0" w:line="274" w:lineRule="exact"/>
        <w:ind w:firstLine="0"/>
        <w:jc w:val="center"/>
      </w:pPr>
      <w:bookmarkStart w:id="6" w:name="bookmark6"/>
      <w:r>
        <w:t>Článek II.</w:t>
      </w:r>
      <w:r>
        <w:br/>
        <w:t>Předmět dodatku</w:t>
      </w:r>
      <w:bookmarkEnd w:id="6"/>
    </w:p>
    <w:p w:rsidR="00450C96" w:rsidRDefault="00041E62">
      <w:pPr>
        <w:pStyle w:val="Zkladntext20"/>
        <w:framePr w:w="9134" w:h="2169" w:hRule="exact" w:wrap="none" w:vAnchor="page" w:hAnchor="page" w:x="1384" w:y="12094"/>
        <w:shd w:val="clear" w:color="auto" w:fill="auto"/>
        <w:ind w:left="400"/>
      </w:pPr>
      <w:r>
        <w:rPr>
          <w:rStyle w:val="Zkladntext21"/>
        </w:rPr>
        <w:t>1. Smluvní strany se dohodly na základě nově vzniklých skutečností v průběhu stavby na změně čl. V - Cena díla. V o</w:t>
      </w:r>
      <w:r>
        <w:rPr>
          <w:rStyle w:val="Zkladntext21"/>
        </w:rPr>
        <w:t>dst. 1 smlouvy bude nově uvedeno:</w:t>
      </w:r>
    </w:p>
    <w:p w:rsidR="00450C96" w:rsidRDefault="00041E62">
      <w:pPr>
        <w:pStyle w:val="Zkladntext20"/>
        <w:framePr w:w="9134" w:h="2169" w:hRule="exact" w:wrap="none" w:vAnchor="page" w:hAnchor="page" w:x="1384" w:y="12094"/>
        <w:shd w:val="clear" w:color="auto" w:fill="auto"/>
        <w:tabs>
          <w:tab w:val="left" w:pos="3582"/>
        </w:tabs>
        <w:spacing w:line="509" w:lineRule="exact"/>
        <w:ind w:left="400" w:firstLine="0"/>
        <w:jc w:val="both"/>
      </w:pPr>
      <w:r>
        <w:t>cena díla bez DPH</w:t>
      </w:r>
      <w:r>
        <w:tab/>
        <w:t>1 402 491,00 Kč</w:t>
      </w:r>
    </w:p>
    <w:p w:rsidR="00450C96" w:rsidRDefault="00041E62">
      <w:pPr>
        <w:pStyle w:val="Zkladntext20"/>
        <w:framePr w:w="9134" w:h="2169" w:hRule="exact" w:wrap="none" w:vAnchor="page" w:hAnchor="page" w:x="1384" w:y="12094"/>
        <w:shd w:val="clear" w:color="auto" w:fill="auto"/>
        <w:tabs>
          <w:tab w:val="left" w:pos="3582"/>
        </w:tabs>
        <w:spacing w:line="509" w:lineRule="exact"/>
        <w:ind w:left="400" w:firstLine="0"/>
        <w:jc w:val="both"/>
      </w:pPr>
      <w:r>
        <w:t>DPH 21 % v Kč</w:t>
      </w:r>
      <w:r>
        <w:tab/>
        <w:t>294 523,11 Kč</w:t>
      </w:r>
    </w:p>
    <w:p w:rsidR="00450C96" w:rsidRDefault="00041E62">
      <w:pPr>
        <w:pStyle w:val="Zkladntext20"/>
        <w:framePr w:w="9134" w:h="2169" w:hRule="exact" w:wrap="none" w:vAnchor="page" w:hAnchor="page" w:x="1384" w:y="12094"/>
        <w:shd w:val="clear" w:color="auto" w:fill="auto"/>
        <w:tabs>
          <w:tab w:val="left" w:pos="3582"/>
        </w:tabs>
        <w:spacing w:line="509" w:lineRule="exact"/>
        <w:ind w:left="400" w:firstLine="0"/>
        <w:jc w:val="both"/>
      </w:pPr>
      <w:r>
        <w:t>cena celkem za dílo vč. DPH</w:t>
      </w:r>
      <w:r>
        <w:tab/>
        <w:t>1 697 014,11 Kč</w:t>
      </w:r>
    </w:p>
    <w:p w:rsidR="00450C96" w:rsidRDefault="00041E62">
      <w:pPr>
        <w:pStyle w:val="ZhlavneboZpat0"/>
        <w:framePr w:wrap="none" w:vAnchor="page" w:hAnchor="page" w:x="5416" w:y="15824"/>
        <w:shd w:val="clear" w:color="auto" w:fill="auto"/>
        <w:spacing w:line="190" w:lineRule="exact"/>
      </w:pPr>
      <w:r>
        <w:t xml:space="preserve">Stránka </w:t>
      </w:r>
      <w:r>
        <w:rPr>
          <w:rStyle w:val="ZhlavneboZpatCalibri95pt"/>
          <w:b w:val="0"/>
          <w:bCs w:val="0"/>
        </w:rPr>
        <w:t>1</w:t>
      </w:r>
      <w:r>
        <w:rPr>
          <w:rStyle w:val="ZhlavneboZpatCalibri95pt0"/>
        </w:rPr>
        <w:t xml:space="preserve"> </w:t>
      </w:r>
      <w:r>
        <w:t xml:space="preserve">z </w:t>
      </w:r>
      <w:r>
        <w:rPr>
          <w:rStyle w:val="ZhlavneboZpatCalibri95pt"/>
          <w:b w:val="0"/>
          <w:bCs w:val="0"/>
        </w:rPr>
        <w:t>2</w:t>
      </w:r>
    </w:p>
    <w:p w:rsidR="00450C96" w:rsidRDefault="00450C96">
      <w:pPr>
        <w:rPr>
          <w:sz w:val="2"/>
          <w:szCs w:val="2"/>
        </w:rPr>
        <w:sectPr w:rsidR="00450C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0C96" w:rsidRDefault="00507A1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6343650</wp:posOffset>
                </wp:positionV>
                <wp:extent cx="1463040" cy="0"/>
                <wp:effectExtent l="10160" t="9525" r="1270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B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1.3pt;margin-top:499.5pt;width:115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6343650</wp:posOffset>
                </wp:positionV>
                <wp:extent cx="1463040" cy="0"/>
                <wp:effectExtent l="9525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CA8E" id="AutoShape 2" o:spid="_x0000_s1026" type="#_x0000_t32" style="position:absolute;margin-left:390pt;margin-top:499.5pt;width:115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50C96" w:rsidRDefault="00041E62">
      <w:pPr>
        <w:pStyle w:val="Zkladntext20"/>
        <w:framePr w:w="9125" w:h="1387" w:hRule="exact" w:wrap="none" w:vAnchor="page" w:hAnchor="page" w:x="1389" w:y="1188"/>
        <w:numPr>
          <w:ilvl w:val="0"/>
          <w:numId w:val="1"/>
        </w:numPr>
        <w:shd w:val="clear" w:color="auto" w:fill="auto"/>
        <w:tabs>
          <w:tab w:val="left" w:pos="356"/>
        </w:tabs>
        <w:spacing w:line="264" w:lineRule="exact"/>
        <w:ind w:left="400"/>
        <w:jc w:val="both"/>
      </w:pPr>
      <w:r>
        <w:t xml:space="preserve">Změny byly vyvolány méněpracemi a vícepracemi, jejichž seznam je nedílnou </w:t>
      </w:r>
      <w:r>
        <w:t>přílohou dodatku č. 1. Méněpráce zahrnují truhlářské konstrukce jednokřídlých dveří, zámečnické konstrukce ztužení zděného pilíře a ostatní konstrukce a práce na trubním vedení. Vícepráce zahrnují zemní práce, přesun hmot a zprůchodnění kanalizace s kamero</w:t>
      </w:r>
      <w:r>
        <w:t>vou kontrolou s vyhotovením zprávy a záznamem.</w:t>
      </w:r>
    </w:p>
    <w:p w:rsidR="00450C96" w:rsidRDefault="00041E62">
      <w:pPr>
        <w:pStyle w:val="Nadpis30"/>
        <w:framePr w:w="9125" w:h="4211" w:hRule="exact" w:wrap="none" w:vAnchor="page" w:hAnchor="page" w:x="1389" w:y="2824"/>
        <w:shd w:val="clear" w:color="auto" w:fill="auto"/>
        <w:spacing w:before="0" w:line="220" w:lineRule="exact"/>
        <w:ind w:firstLine="0"/>
        <w:jc w:val="center"/>
      </w:pPr>
      <w:bookmarkStart w:id="7" w:name="bookmark7"/>
      <w:r>
        <w:t>Článek III.</w:t>
      </w:r>
      <w:bookmarkEnd w:id="7"/>
    </w:p>
    <w:p w:rsidR="00450C96" w:rsidRDefault="00041E62">
      <w:pPr>
        <w:pStyle w:val="Zkladntext30"/>
        <w:framePr w:w="9125" w:h="4211" w:hRule="exact" w:wrap="none" w:vAnchor="page" w:hAnchor="page" w:x="1389" w:y="2824"/>
        <w:shd w:val="clear" w:color="auto" w:fill="auto"/>
        <w:spacing w:before="0" w:after="190" w:line="220" w:lineRule="exact"/>
      </w:pPr>
      <w:r>
        <w:t>Závěrečná ustanovení</w:t>
      </w:r>
    </w:p>
    <w:p w:rsidR="00450C96" w:rsidRDefault="00041E62">
      <w:pPr>
        <w:pStyle w:val="Zkladntext20"/>
        <w:framePr w:w="9125" w:h="4211" w:hRule="exact" w:wrap="none" w:vAnchor="page" w:hAnchor="page" w:x="1389" w:y="2824"/>
        <w:numPr>
          <w:ilvl w:val="0"/>
          <w:numId w:val="2"/>
        </w:numPr>
        <w:shd w:val="clear" w:color="auto" w:fill="auto"/>
        <w:tabs>
          <w:tab w:val="left" w:pos="356"/>
        </w:tabs>
        <w:spacing w:after="235"/>
        <w:ind w:left="400"/>
        <w:jc w:val="both"/>
      </w:pPr>
      <w:r>
        <w:t xml:space="preserve">Smluvní strany shodně prohlašují, že si tento dodatek před jeho podpisem přečetly, a že byl uzavřen po vzájemném projednání dle jejich pravé a svobodné vůle určitě, vážně a </w:t>
      </w:r>
      <w:r>
        <w:t>srozumitelně a jeho autentičnost stvrzují svými podpisy.</w:t>
      </w:r>
    </w:p>
    <w:p w:rsidR="00450C96" w:rsidRDefault="00041E62">
      <w:pPr>
        <w:pStyle w:val="Zkladntext20"/>
        <w:framePr w:w="9125" w:h="4211" w:hRule="exact" w:wrap="none" w:vAnchor="page" w:hAnchor="page" w:x="1389" w:y="2824"/>
        <w:numPr>
          <w:ilvl w:val="0"/>
          <w:numId w:val="2"/>
        </w:numPr>
        <w:shd w:val="clear" w:color="auto" w:fill="auto"/>
        <w:tabs>
          <w:tab w:val="left" w:pos="356"/>
        </w:tabs>
        <w:spacing w:after="194" w:line="200" w:lineRule="exact"/>
        <w:ind w:left="400"/>
        <w:jc w:val="both"/>
      </w:pPr>
      <w:r>
        <w:t>Dodatek nabývá účinnosti dnem jeho uveřejněním v registru smluv.</w:t>
      </w:r>
    </w:p>
    <w:p w:rsidR="00450C96" w:rsidRDefault="00041E62">
      <w:pPr>
        <w:pStyle w:val="Zkladntext20"/>
        <w:framePr w:w="9125" w:h="4211" w:hRule="exact" w:wrap="none" w:vAnchor="page" w:hAnchor="page" w:x="1389" w:y="2824"/>
        <w:numPr>
          <w:ilvl w:val="0"/>
          <w:numId w:val="2"/>
        </w:numPr>
        <w:shd w:val="clear" w:color="auto" w:fill="auto"/>
        <w:tabs>
          <w:tab w:val="left" w:pos="356"/>
        </w:tabs>
        <w:spacing w:after="180"/>
        <w:ind w:left="400"/>
        <w:jc w:val="both"/>
      </w:pPr>
      <w:r>
        <w:t>Smluvní strany berou na vědomí, že tento dodatek bude zveřejněn v registru smluv dle zákona č. 340/2015 Sb., o registru smluv, jelikož</w:t>
      </w:r>
      <w:r>
        <w:t xml:space="preserve"> je objednatel povinnou osobou ve smyslu tohoto zákona, a s jeho zveřejněním souhlasí. Zveřejnění se zavazuje zajistit objednatel do 10 dnů od podpisu tohoto dodatku oběma smluvními stranami.</w:t>
      </w:r>
    </w:p>
    <w:p w:rsidR="00450C96" w:rsidRDefault="00041E62">
      <w:pPr>
        <w:pStyle w:val="Zkladntext20"/>
        <w:framePr w:w="9125" w:h="4211" w:hRule="exact" w:wrap="none" w:vAnchor="page" w:hAnchor="page" w:x="1389" w:y="2824"/>
        <w:numPr>
          <w:ilvl w:val="0"/>
          <w:numId w:val="2"/>
        </w:numPr>
        <w:shd w:val="clear" w:color="auto" w:fill="auto"/>
        <w:tabs>
          <w:tab w:val="left" w:pos="356"/>
        </w:tabs>
        <w:ind w:left="400"/>
        <w:jc w:val="both"/>
      </w:pPr>
      <w:r>
        <w:t>Tento dodatek je vyhotoven ve čtyřech stejnopisech, z nichž obje</w:t>
      </w:r>
      <w:r>
        <w:t>dnatel obdrží dva stejnopisy a zhotovitel obdrží dva stejnopisy.</w:t>
      </w:r>
    </w:p>
    <w:p w:rsidR="00450C96" w:rsidRDefault="00041E62">
      <w:pPr>
        <w:pStyle w:val="Zkladntext20"/>
        <w:framePr w:wrap="none" w:vAnchor="page" w:hAnchor="page" w:x="1389" w:y="7781"/>
        <w:shd w:val="clear" w:color="auto" w:fill="auto"/>
        <w:spacing w:line="200" w:lineRule="exact"/>
        <w:ind w:left="400"/>
        <w:jc w:val="both"/>
      </w:pPr>
      <w:r>
        <w:t>V Praze dne 16 .5. 2024</w:t>
      </w:r>
    </w:p>
    <w:p w:rsidR="00450C96" w:rsidRDefault="00041E62">
      <w:pPr>
        <w:pStyle w:val="Zkladntext20"/>
        <w:framePr w:w="9125" w:h="1565" w:hRule="exact" w:wrap="none" w:vAnchor="page" w:hAnchor="page" w:x="1389" w:y="10087"/>
        <w:shd w:val="clear" w:color="auto" w:fill="auto"/>
        <w:spacing w:line="509" w:lineRule="exact"/>
        <w:ind w:left="100" w:right="6461" w:firstLine="0"/>
        <w:jc w:val="center"/>
      </w:pPr>
      <w:r>
        <w:t>Za objednatele</w:t>
      </w:r>
      <w:r>
        <w:br/>
        <w:t>Ing. Miroslav Vacek</w:t>
      </w:r>
      <w:r>
        <w:br/>
        <w:t>pověřený řízením organizace</w:t>
      </w:r>
    </w:p>
    <w:p w:rsidR="00450C96" w:rsidRDefault="00041E62">
      <w:pPr>
        <w:pStyle w:val="Zkladntext20"/>
        <w:framePr w:w="1891" w:h="1570" w:hRule="exact" w:wrap="none" w:vAnchor="page" w:hAnchor="page" w:x="8166" w:y="10087"/>
        <w:shd w:val="clear" w:color="auto" w:fill="auto"/>
        <w:spacing w:line="509" w:lineRule="exact"/>
        <w:ind w:left="20" w:firstLine="0"/>
        <w:jc w:val="center"/>
      </w:pPr>
      <w:r>
        <w:t>Za zhotovitele</w:t>
      </w:r>
      <w:r>
        <w:br/>
      </w:r>
      <w:r w:rsidR="00507A1D">
        <w:t>XXXXXXXXXX</w:t>
      </w:r>
      <w:bookmarkStart w:id="8" w:name="_GoBack"/>
      <w:bookmarkEnd w:id="8"/>
      <w:r>
        <w:br/>
        <w:t>jednatel</w:t>
      </w:r>
    </w:p>
    <w:p w:rsidR="00450C96" w:rsidRDefault="00041E62">
      <w:pPr>
        <w:pStyle w:val="ZhlavneboZpat0"/>
        <w:framePr w:wrap="none" w:vAnchor="page" w:hAnchor="page" w:x="5416" w:y="15824"/>
        <w:shd w:val="clear" w:color="auto" w:fill="auto"/>
        <w:spacing w:line="190" w:lineRule="exact"/>
      </w:pPr>
      <w:r>
        <w:t xml:space="preserve">Stránka </w:t>
      </w:r>
      <w:r>
        <w:rPr>
          <w:rStyle w:val="ZhlavneboZpatCalibri95pt"/>
          <w:b w:val="0"/>
          <w:bCs w:val="0"/>
        </w:rPr>
        <w:t>2</w:t>
      </w:r>
      <w:r>
        <w:rPr>
          <w:rStyle w:val="ZhlavneboZpatCalibri95pt0"/>
        </w:rPr>
        <w:t xml:space="preserve"> </w:t>
      </w:r>
      <w:r>
        <w:t xml:space="preserve">z </w:t>
      </w:r>
      <w:r>
        <w:rPr>
          <w:rStyle w:val="ZhlavneboZpatCalibri95pt"/>
          <w:b w:val="0"/>
          <w:bCs w:val="0"/>
        </w:rPr>
        <w:t>2</w:t>
      </w:r>
    </w:p>
    <w:p w:rsidR="00450C96" w:rsidRDefault="00450C96">
      <w:pPr>
        <w:rPr>
          <w:sz w:val="2"/>
          <w:szCs w:val="2"/>
        </w:rPr>
      </w:pPr>
    </w:p>
    <w:sectPr w:rsidR="00450C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62" w:rsidRDefault="00041E62">
      <w:r>
        <w:separator/>
      </w:r>
    </w:p>
  </w:endnote>
  <w:endnote w:type="continuationSeparator" w:id="0">
    <w:p w:rsidR="00041E62" w:rsidRDefault="0004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62" w:rsidRDefault="00041E62"/>
  </w:footnote>
  <w:footnote w:type="continuationSeparator" w:id="0">
    <w:p w:rsidR="00041E62" w:rsidRDefault="00041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032"/>
    <w:multiLevelType w:val="multilevel"/>
    <w:tmpl w:val="093CC3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436DB"/>
    <w:multiLevelType w:val="multilevel"/>
    <w:tmpl w:val="39EA3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6"/>
    <w:rsid w:val="00041E62"/>
    <w:rsid w:val="00450C96"/>
    <w:rsid w:val="005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705C"/>
  <w15:docId w15:val="{DA343FD3-BF92-4534-9B7B-989AF9FD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0ptNetun">
    <w:name w:val="Nadpis #3 + 10 pt;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95pt">
    <w:name w:val="Záhlaví nebo Zápatí + Calibri;9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libri95pt0">
    <w:name w:val="Záhlaví nebo Zápatí + Calibri;9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line="269" w:lineRule="exact"/>
      <w:ind w:hanging="40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75" w:lineRule="exact"/>
    </w:pPr>
    <w:rPr>
      <w:rFonts w:ascii="Calibri" w:eastAsia="Calibri" w:hAnsi="Calibri" w:cs="Calibri"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3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3" w:lineRule="exac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2024-06-14T06:58:00Z</dcterms:created>
  <dcterms:modified xsi:type="dcterms:W3CDTF">2024-06-14T06:58:00Z</dcterms:modified>
</cp:coreProperties>
</file>