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20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M L O U V Y O D Í L O</w:t>
      </w:r>
      <w:bookmarkEnd w:id="3"/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zhotovitele: VP 09/2023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objednatele: 1541/2023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díla: „VT Vitický potok - Dalovice - zdi, ulice U Kostela“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(PL 1 02 23 031, akce č. 102 815)</w:t>
      </w:r>
    </w:p>
    <w:tbl>
      <w:tblPr>
        <w:tblOverlap w:val="never"/>
        <w:jc w:val="center"/>
        <w:tblLayout w:type="fixed"/>
      </w:tblPr>
      <w:tblGrid>
        <w:gridCol w:w="3667"/>
        <w:gridCol w:w="5616"/>
      </w:tblGrid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Tato smlouva byla uzavřena mezi: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Povodí Ohře, státní podnik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Bezručova 4219, 430 03 Chomutov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statutární orgán: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generální ředitel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zástupce ve věcech 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závodu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zástupce ve věcech 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vedoucí technické skupiny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manažer projektu: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staveb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70889988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CZ70889988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obchodním rejstříku: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Ústí nad Labem, oddíl A, vložka 13052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(dále jen „objednatel“)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“VP PROJEKTING“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Přemyslova 84/3, Vyšehrad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zástupce ve věcech 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zástupce ve věcech 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mobil: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odpovědný autorizovaný architekt: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63676907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CZ63676907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obchodním rejstříku: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Spisová značka: C37180 vedená u Městského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soudu v Praze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(dále jen „zhotovitel“)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dodatku:</w:t>
      </w:r>
      <w:bookmarkEnd w:id="6"/>
      <w:bookmarkEnd w:id="7"/>
      <w:bookmarkEnd w:id="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skutečností, které se vyskytly v průběhu plnění této smlouvy, se smluvní strany dohodly ve smyslu příslušných smluvních ustanovení na uzavření tohoto dodatku. Dodatek je uzavřen kvůli prodlení v doplnění dokladové části PD z důvodu vytíženosti úřadů.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Tímto dodatkem se mění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Čl. III. TERMÍNY PLNĚNÍ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předmětné smlouvy takto: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  <w:bookmarkEnd w:id="10"/>
      <w:bookmarkEnd w:id="11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Dílčí plnění: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kompletní PD (3 x tištěné + 1 x elektronicky) po projednání na závěrečném VV nejpozději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14.06. 2024.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znění:</w:t>
      </w:r>
      <w:bookmarkEnd w:id="12"/>
      <w:bookmarkEnd w:id="13"/>
      <w:bookmarkEnd w:id="1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Dílčí plnění: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kompletní PD (3 x tištěné + 1 x elektronicky) po projednání na závěrečném VV nejpozději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15.07. 2024.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Čl. III. smlouvy o dílo 1541/2023 se tímto dodatkem nemění.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 DODATKU Č. 2</w:t>
      </w:r>
      <w:bookmarkEnd w:id="15"/>
      <w:bookmarkEnd w:id="16"/>
      <w:bookmarkEnd w:id="17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80" w:line="240" w:lineRule="auto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předmětné smlouvy č. 1541/2023 zůstávají beze změn.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80" w:line="240" w:lineRule="auto"/>
        <w:ind w:left="440" w:right="0" w:hanging="44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svědectví tohoto smluvní strany tímto podepisují tento dodatek ke smlouvě. Dodatek je vyhotoven ve dvou vyhotoveních, z nichž každé má platnost originálu.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180" w:line="240" w:lineRule="auto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nepovažují žádné ustanovení smlouvy za obchodní tajemství.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8"/>
          <w:pgMar w:top="1373" w:left="1354" w:right="1270" w:bottom="2803" w:header="0" w:footer="3" w:gutter="0"/>
          <w:pgNumType w:start="1"/>
          <w:cols w:space="720"/>
          <w:noEndnote/>
          <w:rtlGutter w:val="0"/>
          <w:docGrid w:linePitch="360"/>
        </w:sectPr>
      </w:pPr>
      <w:bookmarkStart w:id="21" w:name="bookmark21"/>
      <w:bookmarkEnd w:id="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ke smlouvě nabývá platnosti dnem jeho podpisu poslední ze smluvních stran a účinnosti zveřejněním v Registru smluv, pokud této účinnosti dle příslušných ustanovení smlouvy nenabude později.</w:t>
      </w: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73" w:left="0" w:right="0" w:bottom="1421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Karlových Varech, dne 14.6.2024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 ředitel závodu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Praze, dne 14.6.2024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……………………………………. jednatel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“VP PROJEKTING“ s.r.o.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73" w:left="1394" w:right="2364" w:bottom="1421" w:header="0" w:footer="3" w:gutter="0"/>
          <w:cols w:num="2" w:space="720" w:equalWidth="0">
            <w:col w:w="3518" w:space="1435"/>
            <w:col w:w="3197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73" w:left="1394" w:right="2364" w:bottom="1421" w:header="0" w:footer="3" w:gutter="0"/>
      <w:cols w:num="2" w:space="720" w:equalWidth="0">
        <w:col w:w="3518" w:space="1435"/>
        <w:col w:w="3197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5965190</wp:posOffset>
              </wp:positionH>
              <wp:positionV relativeFrom="page">
                <wp:posOffset>9789795</wp:posOffset>
              </wp:positionV>
              <wp:extent cx="673735" cy="1644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9.69999999999999pt;margin-top:770.85000000000002pt;width:53.050000000000004pt;height:12.9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5057140</wp:posOffset>
              </wp:positionH>
              <wp:positionV relativeFrom="page">
                <wp:posOffset>438785</wp:posOffset>
              </wp:positionV>
              <wp:extent cx="1581785" cy="1555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178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Dodatek č. 2 k SOD 1541/2023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.19999999999999pt;margin-top:34.550000000000004pt;width:124.55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Dodatek č. 2 k SOD 1541/2023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before="100" w:after="9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1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 M L O U V A   O   D Í L O</dc:title>
  <dc:subject/>
  <dc:creator>RMiskovska</dc:creator>
  <cp:keywords/>
</cp:coreProperties>
</file>