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8"/>
        <w:keepNext/>
        <w:keepLines/>
        <w:widowControl w:val="0"/>
        <w:shd w:val="clear" w:color="auto" w:fill="auto"/>
        <w:bidi w:val="0"/>
        <w:spacing w:before="0" w:line="240" w:lineRule="auto"/>
        <w:ind w:left="0" w:firstLine="0"/>
        <w:jc w:val="right"/>
      </w:pPr>
      <w:bookmarkStart w:id="0" w:name="bookmark0"/>
      <w:r>
        <w:rPr>
          <w:rStyle w:val="CharStyle19"/>
        </w:rPr>
        <w:t>■HWH</w:t>
      </w:r>
      <w:bookmarkEnd w:id="0"/>
    </w:p>
    <w:p>
      <w:pPr>
        <w:pStyle w:val="Style20"/>
        <w:keepNext w:val="0"/>
        <w:keepLines w:val="0"/>
        <w:widowControl w:val="0"/>
        <w:shd w:val="clear" w:color="auto" w:fill="auto"/>
        <w:bidi w:val="0"/>
        <w:spacing w:before="0" w:line="240" w:lineRule="auto"/>
        <w:ind w:left="0" w:firstLine="0"/>
        <w:jc w:val="right"/>
      </w:pPr>
      <w:r>
        <w:rPr>
          <w:rStyle w:val="CharStyle21"/>
        </w:rPr>
        <w:t>2024004661</w:t>
      </w:r>
    </w:p>
    <w:p>
      <w:pPr>
        <w:pStyle w:val="Style15"/>
        <w:keepNext w:val="0"/>
        <w:keepLines w:val="0"/>
        <w:widowControl w:val="0"/>
        <w:shd w:val="clear" w:color="auto" w:fill="auto"/>
        <w:bidi w:val="0"/>
        <w:spacing w:before="0" w:after="160" w:line="295" w:lineRule="auto"/>
        <w:ind w:left="0" w:right="0" w:firstLine="0"/>
        <w:jc w:val="center"/>
      </w:pPr>
      <w:r>
        <w:rPr>
          <w:rStyle w:val="CharStyle16"/>
          <w:b/>
          <w:bCs/>
          <w:u w:val="single"/>
        </w:rPr>
        <w:t>KUPNÍ SMLOUVA</w:t>
      </w:r>
    </w:p>
    <w:p>
      <w:pPr>
        <w:pStyle w:val="Style15"/>
        <w:keepNext w:val="0"/>
        <w:keepLines w:val="0"/>
        <w:widowControl w:val="0"/>
        <w:shd w:val="clear" w:color="auto" w:fill="auto"/>
        <w:bidi w:val="0"/>
        <w:spacing w:before="0" w:after="260" w:line="295" w:lineRule="auto"/>
        <w:ind w:left="0" w:right="0" w:firstLine="0"/>
        <w:jc w:val="center"/>
      </w:pPr>
      <w:r>
        <w:rPr>
          <w:rStyle w:val="CharStyle16"/>
        </w:rPr>
        <w:t>podle ustanovení § 2079 a násl. zákona č. 89/2012 Sb., občanský zákoník,</w:t>
        <w:br/>
        <w:t>uzavřená mezi</w:t>
      </w:r>
    </w:p>
    <w:tbl>
      <w:tblPr>
        <w:tblOverlap w:val="never"/>
        <w:jc w:val="center"/>
        <w:tblLayout w:type="fixed"/>
      </w:tblPr>
      <w:tblGrid>
        <w:gridCol w:w="2630"/>
        <w:gridCol w:w="6106"/>
      </w:tblGrid>
      <w:tr>
        <w:trPr>
          <w:trHeight w:val="518" w:hRule="exact"/>
        </w:trPr>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Jméno:</w:t>
            </w:r>
          </w:p>
        </w:tc>
        <w:tc>
          <w:tcPr>
            <w:tcBorders/>
            <w:shd w:val="clear" w:color="auto" w:fill="auto"/>
            <w:vAlign w:val="bottom"/>
          </w:tcPr>
          <w:p>
            <w:pPr>
              <w:pStyle w:val="Style27"/>
              <w:keepNext w:val="0"/>
              <w:keepLines w:val="0"/>
              <w:widowControl w:val="0"/>
              <w:shd w:val="clear" w:color="auto" w:fill="auto"/>
              <w:bidi w:val="0"/>
              <w:spacing w:before="0" w:after="0" w:line="300" w:lineRule="auto"/>
              <w:ind w:left="0" w:right="0" w:firstLine="0"/>
              <w:jc w:val="left"/>
            </w:pPr>
            <w:r>
              <w:rPr>
                <w:rStyle w:val="CharStyle28"/>
                <w:b/>
                <w:bCs/>
              </w:rPr>
              <w:t>Zdravotnická záchranná služba Jihomoravského kraje, příspěvková organizace</w:t>
            </w:r>
          </w:p>
        </w:tc>
      </w:tr>
      <w:tr>
        <w:trPr>
          <w:trHeight w:val="235" w:hRule="exact"/>
        </w:trPr>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Sídlo:</w:t>
            </w:r>
          </w:p>
        </w:tc>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Kamenice 798/1 d, 625 00 Brno</w:t>
            </w:r>
          </w:p>
        </w:tc>
      </w:tr>
      <w:tr>
        <w:trPr>
          <w:trHeight w:val="259" w:hRule="exact"/>
        </w:trPr>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Jednající:</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MUDr. Hana Albrechtová, ředitelka</w:t>
            </w:r>
          </w:p>
        </w:tc>
      </w:tr>
      <w:tr>
        <w:trPr>
          <w:trHeight w:val="514" w:hRule="exact"/>
        </w:trPr>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Kontaktní osoba:</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shd w:val="clear" w:color="auto" w:fill="000000"/>
              </w:rPr>
              <w:t>.......​</w:t>
            </w:r>
            <w:r>
              <w:rPr>
                <w:rStyle w:val="CharStyle28"/>
                <w:spacing w:val="3"/>
                <w:shd w:val="clear" w:color="auto" w:fill="000000"/>
              </w:rPr>
              <w:t>........</w:t>
            </w:r>
            <w:r>
              <w:rPr>
                <w:rStyle w:val="CharStyle28"/>
                <w:spacing w:val="4"/>
                <w:shd w:val="clear" w:color="auto" w:fill="000000"/>
              </w:rPr>
              <w:t>....</w:t>
            </w:r>
            <w:r>
              <w:rPr>
                <w:rStyle w:val="CharStyle28"/>
                <w:shd w:val="clear" w:color="auto" w:fill="000000"/>
              </w:rPr>
              <w:t>​..</w:t>
            </w:r>
            <w:r>
              <w:rPr>
                <w:rStyle w:val="CharStyle28"/>
                <w:spacing w:val="1"/>
                <w:shd w:val="clear" w:color="auto" w:fill="000000"/>
              </w:rPr>
              <w:t>..........</w:t>
            </w:r>
            <w:r>
              <w:rPr>
                <w:rStyle w:val="CharStyle28"/>
                <w:shd w:val="clear" w:color="auto" w:fill="000000"/>
              </w:rPr>
              <w:t>​</w:t>
            </w:r>
            <w:r>
              <w:rPr>
                <w:rStyle w:val="CharStyle28"/>
                <w:spacing w:val="6"/>
                <w:shd w:val="clear" w:color="auto" w:fill="000000"/>
              </w:rPr>
              <w:t>..</w:t>
            </w:r>
            <w:r>
              <w:rPr>
                <w:rStyle w:val="CharStyle28"/>
                <w:spacing w:val="7"/>
                <w:shd w:val="clear" w:color="auto" w:fill="000000"/>
              </w:rPr>
              <w:t>....</w:t>
            </w:r>
          </w:p>
          <w:p>
            <w:pPr>
              <w:pStyle w:val="Style27"/>
              <w:keepNext w:val="0"/>
              <w:keepLines w:val="0"/>
              <w:widowControl w:val="0"/>
              <w:shd w:val="clear" w:color="auto" w:fill="auto"/>
              <w:bidi w:val="0"/>
              <w:spacing w:before="0" w:after="0" w:line="240" w:lineRule="auto"/>
              <w:ind w:left="0" w:right="0" w:firstLine="0"/>
              <w:jc w:val="left"/>
            </w:pPr>
            <w:r>
              <w:rPr>
                <w:rStyle w:val="CharStyle28"/>
                <w:spacing w:val="3"/>
                <w:shd w:val="clear" w:color="auto" w:fill="000000"/>
              </w:rPr>
              <w:t>..</w:t>
            </w:r>
            <w:r>
              <w:rPr>
                <w:rStyle w:val="CharStyle28"/>
                <w:spacing w:val="4"/>
                <w:shd w:val="clear" w:color="auto" w:fill="000000"/>
              </w:rPr>
              <w:t>.</w:t>
            </w:r>
            <w:r>
              <w:rPr>
                <w:rStyle w:val="CharStyle28"/>
                <w:shd w:val="clear" w:color="auto" w:fill="000000"/>
              </w:rPr>
              <w:t>​</w:t>
            </w:r>
            <w:r>
              <w:rPr>
                <w:rStyle w:val="CharStyle28"/>
                <w:spacing w:val="3"/>
                <w:shd w:val="clear" w:color="auto" w:fill="000000"/>
              </w:rPr>
              <w:t>..</w:t>
            </w:r>
            <w:r>
              <w:rPr>
                <w:rStyle w:val="CharStyle28"/>
                <w:spacing w:val="4"/>
                <w:shd w:val="clear" w:color="auto" w:fill="000000"/>
              </w:rPr>
              <w:t>......</w:t>
            </w:r>
            <w:r>
              <w:rPr>
                <w:rStyle w:val="CharStyle28"/>
                <w:u w:val="single"/>
                <w:shd w:val="clear" w:color="auto" w:fill="000000"/>
                <w:lang w:val="en-US" w:eastAsia="en-US" w:bidi="en-US"/>
              </w:rPr>
              <w:t>​</w:t>
            </w:r>
            <w:r>
              <w:rPr>
                <w:rStyle w:val="CharStyle28"/>
                <w:spacing w:val="1"/>
                <w:u w:val="single"/>
                <w:shd w:val="clear" w:color="auto" w:fill="000000"/>
                <w:lang w:val="en-US" w:eastAsia="en-US" w:bidi="en-US"/>
              </w:rPr>
              <w:t>............................</w:t>
            </w:r>
            <w:r>
              <w:rPr>
                <w:rStyle w:val="CharStyle28"/>
                <w:spacing w:val="2"/>
                <w:u w:val="single"/>
                <w:shd w:val="clear" w:color="auto" w:fill="000000"/>
                <w:lang w:val="en-US" w:eastAsia="en-US" w:bidi="en-US"/>
              </w:rPr>
              <w:t>..</w:t>
            </w:r>
            <w:r>
              <w:rPr>
                <w:rStyle w:val="CharStyle28"/>
                <w:u w:val="single"/>
                <w:shd w:val="clear" w:color="auto" w:fill="000000"/>
                <w:lang w:val="en-US" w:eastAsia="en-US" w:bidi="en-US"/>
              </w:rPr>
              <w:t>.</w:t>
            </w:r>
            <w:r>
              <w:rPr>
                <w:rStyle w:val="CharStyle28"/>
                <w:shd w:val="clear" w:color="auto" w:fill="000000"/>
                <w:lang w:val="en-US" w:eastAsia="en-US" w:bidi="en-US"/>
              </w:rPr>
              <w:t>.</w:t>
            </w:r>
            <w:r>
              <w:rPr>
                <w:rStyle w:val="CharStyle28"/>
                <w:shd w:val="clear" w:color="auto" w:fill="000000"/>
              </w:rPr>
              <w:t>​</w:t>
            </w:r>
            <w:r>
              <w:rPr>
                <w:rStyle w:val="CharStyle28"/>
                <w:spacing w:val="8"/>
                <w:shd w:val="clear" w:color="auto" w:fill="000000"/>
              </w:rPr>
              <w:t>.....</w:t>
            </w:r>
            <w:r>
              <w:rPr>
                <w:rStyle w:val="CharStyle28"/>
                <w:shd w:val="clear" w:color="auto" w:fill="000000"/>
              </w:rPr>
              <w:t>​.......​.......​......</w:t>
            </w:r>
          </w:p>
        </w:tc>
      </w:tr>
      <w:tr>
        <w:trPr>
          <w:trHeight w:val="768" w:hRule="exact"/>
        </w:trPr>
        <w:tc>
          <w:tcPr>
            <w:tcBorders/>
            <w:shd w:val="clear" w:color="auto" w:fill="auto"/>
            <w:vAlign w:val="bottom"/>
          </w:tcPr>
          <w:p>
            <w:pPr>
              <w:pStyle w:val="Style27"/>
              <w:keepNext w:val="0"/>
              <w:keepLines w:val="0"/>
              <w:widowControl w:val="0"/>
              <w:shd w:val="clear" w:color="auto" w:fill="auto"/>
              <w:bidi w:val="0"/>
              <w:spacing w:before="0" w:after="40" w:line="240" w:lineRule="auto"/>
              <w:ind w:left="0" w:right="0" w:firstLine="0"/>
              <w:jc w:val="left"/>
            </w:pPr>
            <w:r>
              <w:rPr>
                <w:rStyle w:val="CharStyle28"/>
              </w:rPr>
              <w:t>IČO:</w:t>
            </w:r>
          </w:p>
          <w:p>
            <w:pPr>
              <w:pStyle w:val="Style27"/>
              <w:keepNext w:val="0"/>
              <w:keepLines w:val="0"/>
              <w:widowControl w:val="0"/>
              <w:shd w:val="clear" w:color="auto" w:fill="auto"/>
              <w:bidi w:val="0"/>
              <w:spacing w:before="0" w:after="40" w:line="240" w:lineRule="auto"/>
              <w:ind w:left="0" w:right="0" w:firstLine="0"/>
              <w:jc w:val="left"/>
            </w:pPr>
            <w:r>
              <w:rPr>
                <w:rStyle w:val="CharStyle28"/>
              </w:rPr>
              <w:t>DIČ:</w:t>
            </w:r>
          </w:p>
          <w:p>
            <w:pPr>
              <w:pStyle w:val="Style27"/>
              <w:keepNext w:val="0"/>
              <w:keepLines w:val="0"/>
              <w:widowControl w:val="0"/>
              <w:shd w:val="clear" w:color="auto" w:fill="auto"/>
              <w:bidi w:val="0"/>
              <w:spacing w:before="0" w:after="40" w:line="240" w:lineRule="auto"/>
              <w:ind w:left="0" w:right="0" w:firstLine="0"/>
              <w:jc w:val="left"/>
            </w:pPr>
            <w:r>
              <w:rPr>
                <w:rStyle w:val="CharStyle28"/>
              </w:rPr>
              <w:t>Zápis v OR:</w:t>
            </w:r>
          </w:p>
        </w:tc>
        <w:tc>
          <w:tcPr>
            <w:tcBorders>
              <w:top w:val="single" w:sz="4"/>
            </w:tcBorders>
            <w:shd w:val="clear" w:color="auto" w:fill="auto"/>
            <w:vAlign w:val="bottom"/>
          </w:tcPr>
          <w:p>
            <w:pPr>
              <w:pStyle w:val="Style27"/>
              <w:keepNext w:val="0"/>
              <w:keepLines w:val="0"/>
              <w:widowControl w:val="0"/>
              <w:shd w:val="clear" w:color="auto" w:fill="auto"/>
              <w:bidi w:val="0"/>
              <w:spacing w:before="0" w:after="40" w:line="240" w:lineRule="auto"/>
              <w:ind w:left="0" w:right="0" w:firstLine="0"/>
              <w:jc w:val="left"/>
            </w:pPr>
            <w:r>
              <w:rPr>
                <w:rStyle w:val="CharStyle28"/>
              </w:rPr>
              <w:t>00346292</w:t>
            </w:r>
          </w:p>
          <w:p>
            <w:pPr>
              <w:pStyle w:val="Style27"/>
              <w:keepNext w:val="0"/>
              <w:keepLines w:val="0"/>
              <w:widowControl w:val="0"/>
              <w:shd w:val="clear" w:color="auto" w:fill="auto"/>
              <w:bidi w:val="0"/>
              <w:spacing w:before="0" w:after="40" w:line="240" w:lineRule="auto"/>
              <w:ind w:left="0" w:right="0" w:firstLine="0"/>
              <w:jc w:val="left"/>
            </w:pPr>
            <w:r>
              <w:rPr>
                <w:rStyle w:val="CharStyle28"/>
              </w:rPr>
              <w:t>CZ00346292</w:t>
            </w:r>
          </w:p>
          <w:p>
            <w:pPr>
              <w:pStyle w:val="Style27"/>
              <w:keepNext w:val="0"/>
              <w:keepLines w:val="0"/>
              <w:widowControl w:val="0"/>
              <w:shd w:val="clear" w:color="auto" w:fill="auto"/>
              <w:bidi w:val="0"/>
              <w:spacing w:before="0" w:after="40" w:line="240" w:lineRule="auto"/>
              <w:ind w:left="0" w:right="0" w:firstLine="0"/>
              <w:jc w:val="left"/>
            </w:pPr>
            <w:r>
              <w:rPr>
                <w:rStyle w:val="CharStyle28"/>
              </w:rPr>
              <w:t>Krajský soud v Brně sp. zn. Pr 1245</w:t>
            </w:r>
          </w:p>
        </w:tc>
      </w:tr>
      <w:tr>
        <w:trPr>
          <w:trHeight w:val="398" w:hRule="exact"/>
        </w:trPr>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Bankovní spojení (číslo účtu):</w:t>
            </w:r>
          </w:p>
        </w:tc>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MONETA Money Bank, a.s., č. ú. 117203514/0600</w:t>
            </w:r>
          </w:p>
        </w:tc>
      </w:tr>
    </w:tbl>
    <w:p>
      <w:pPr>
        <w:pStyle w:val="Style23"/>
        <w:keepNext w:val="0"/>
        <w:keepLines w:val="0"/>
        <w:widowControl w:val="0"/>
        <w:shd w:val="clear" w:color="auto" w:fill="auto"/>
        <w:bidi w:val="0"/>
        <w:spacing w:before="0" w:after="0" w:line="240" w:lineRule="auto"/>
        <w:ind w:left="14" w:right="0" w:firstLine="0"/>
        <w:jc w:val="left"/>
        <w:rPr>
          <w:sz w:val="18"/>
          <w:szCs w:val="18"/>
        </w:rPr>
      </w:pPr>
      <w:r>
        <w:rPr>
          <w:rStyle w:val="CharStyle24"/>
          <w:sz w:val="18"/>
          <w:szCs w:val="18"/>
        </w:rPr>
        <w:t xml:space="preserve">(dále jen </w:t>
      </w:r>
      <w:r>
        <w:rPr>
          <w:rStyle w:val="CharStyle24"/>
          <w:b/>
          <w:bCs/>
          <w:i/>
          <w:iCs/>
          <w:sz w:val="18"/>
          <w:szCs w:val="18"/>
        </w:rPr>
        <w:t>„kupující )</w:t>
      </w:r>
    </w:p>
    <w:p>
      <w:pPr>
        <w:widowControl w:val="0"/>
        <w:spacing w:after="319" w:line="1" w:lineRule="exact"/>
      </w:pPr>
    </w:p>
    <w:p>
      <w:pPr>
        <w:widowControl w:val="0"/>
        <w:spacing w:line="1" w:lineRule="exact"/>
      </w:pPr>
    </w:p>
    <w:tbl>
      <w:tblPr>
        <w:tblOverlap w:val="never"/>
        <w:jc w:val="center"/>
        <w:tblLayout w:type="fixed"/>
      </w:tblPr>
      <w:tblGrid>
        <w:gridCol w:w="2630"/>
        <w:gridCol w:w="6101"/>
      </w:tblGrid>
      <w:tr>
        <w:trPr>
          <w:trHeight w:val="610" w:hRule="exact"/>
        </w:trPr>
        <w:tc>
          <w:tcPr>
            <w:tcBorders/>
            <w:shd w:val="clear" w:color="auto" w:fill="auto"/>
            <w:vAlign w:val="top"/>
          </w:tcPr>
          <w:p>
            <w:pPr>
              <w:pStyle w:val="Style27"/>
              <w:keepNext w:val="0"/>
              <w:keepLines w:val="0"/>
              <w:widowControl w:val="0"/>
              <w:shd w:val="clear" w:color="auto" w:fill="auto"/>
              <w:bidi w:val="0"/>
              <w:spacing w:before="0" w:after="260" w:line="240" w:lineRule="auto"/>
              <w:ind w:left="0" w:right="0" w:firstLine="0"/>
              <w:jc w:val="left"/>
            </w:pPr>
            <w:r>
              <w:rPr>
                <w:rStyle w:val="CharStyle28"/>
              </w:rPr>
              <w:t>a</w:t>
            </w:r>
          </w:p>
          <w:p>
            <w:pPr>
              <w:pStyle w:val="Style27"/>
              <w:keepNext w:val="0"/>
              <w:keepLines w:val="0"/>
              <w:widowControl w:val="0"/>
              <w:shd w:val="clear" w:color="auto" w:fill="auto"/>
              <w:bidi w:val="0"/>
              <w:spacing w:before="0" w:after="0" w:line="240" w:lineRule="auto"/>
              <w:ind w:left="0" w:right="0" w:firstLine="0"/>
              <w:jc w:val="left"/>
            </w:pPr>
            <w:r>
              <w:rPr>
                <w:rStyle w:val="CharStyle28"/>
              </w:rPr>
              <w:t>Jméno:</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VH-COM, s.r.o.</w:t>
            </w:r>
          </w:p>
        </w:tc>
      </w:tr>
      <w:tr>
        <w:trPr>
          <w:trHeight w:val="254" w:hRule="exact"/>
        </w:trPr>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Sídlo:</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Za Mototechnou 1619/1, 155 00 Praha 5-Stodůlky</w:t>
            </w:r>
          </w:p>
        </w:tc>
      </w:tr>
      <w:tr>
        <w:trPr>
          <w:trHeight w:val="269" w:hRule="exact"/>
        </w:trPr>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Jednající:</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Milan Dvořáček, jednatel</w:t>
            </w:r>
          </w:p>
        </w:tc>
      </w:tr>
      <w:tr>
        <w:trPr>
          <w:trHeight w:val="499" w:hRule="exact"/>
        </w:trPr>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Kontaktní osoba:</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shd w:val="clear" w:color="auto" w:fill="000000"/>
              </w:rPr>
              <w:t>........​</w:t>
            </w:r>
            <w:r>
              <w:rPr>
                <w:rStyle w:val="CharStyle28"/>
                <w:spacing w:val="6"/>
                <w:shd w:val="clear" w:color="auto" w:fill="000000"/>
              </w:rPr>
              <w:t>..</w:t>
            </w:r>
            <w:r>
              <w:rPr>
                <w:rStyle w:val="CharStyle28"/>
                <w:spacing w:val="7"/>
                <w:shd w:val="clear" w:color="auto" w:fill="000000"/>
              </w:rPr>
              <w:t>....</w:t>
            </w:r>
            <w:r>
              <w:rPr>
                <w:rStyle w:val="CharStyle28"/>
                <w:shd w:val="clear" w:color="auto" w:fill="000000"/>
              </w:rPr>
              <w:t>​</w:t>
            </w:r>
            <w:r>
              <w:rPr>
                <w:rStyle w:val="CharStyle28"/>
                <w:spacing w:val="2"/>
                <w:shd w:val="clear" w:color="auto" w:fill="000000"/>
              </w:rPr>
              <w:t>............</w:t>
            </w:r>
            <w:r>
              <w:rPr>
                <w:rStyle w:val="CharStyle28"/>
                <w:spacing w:val="3"/>
                <w:shd w:val="clear" w:color="auto" w:fill="000000"/>
              </w:rPr>
              <w:t>..</w:t>
            </w:r>
          </w:p>
          <w:p>
            <w:pPr>
              <w:pStyle w:val="Style27"/>
              <w:keepNext w:val="0"/>
              <w:keepLines w:val="0"/>
              <w:widowControl w:val="0"/>
              <w:shd w:val="clear" w:color="auto" w:fill="auto"/>
              <w:bidi w:val="0"/>
              <w:spacing w:before="0" w:after="0" w:line="240" w:lineRule="auto"/>
              <w:ind w:left="0" w:right="0" w:firstLine="0"/>
              <w:jc w:val="left"/>
            </w:pPr>
            <w:r>
              <w:rPr>
                <w:rStyle w:val="CharStyle28"/>
                <w:spacing w:val="3"/>
                <w:shd w:val="clear" w:color="auto" w:fill="000000"/>
              </w:rPr>
              <w:t>..</w:t>
            </w:r>
            <w:r>
              <w:rPr>
                <w:rStyle w:val="CharStyle28"/>
                <w:spacing w:val="4"/>
                <w:shd w:val="clear" w:color="auto" w:fill="000000"/>
              </w:rPr>
              <w:t>.</w:t>
            </w:r>
            <w:r>
              <w:rPr>
                <w:rStyle w:val="CharStyle28"/>
                <w:shd w:val="clear" w:color="auto" w:fill="000000"/>
              </w:rPr>
              <w:t>​</w:t>
            </w:r>
            <w:r>
              <w:rPr>
                <w:rStyle w:val="CharStyle28"/>
                <w:spacing w:val="3"/>
                <w:shd w:val="clear" w:color="auto" w:fill="000000"/>
              </w:rPr>
              <w:t>..</w:t>
            </w:r>
            <w:r>
              <w:rPr>
                <w:rStyle w:val="CharStyle28"/>
                <w:spacing w:val="4"/>
                <w:shd w:val="clear" w:color="auto" w:fill="000000"/>
              </w:rPr>
              <w:t>......</w:t>
            </w:r>
            <w:r>
              <w:rPr>
                <w:rStyle w:val="CharStyle28"/>
                <w:shd w:val="clear" w:color="auto" w:fill="000000"/>
                <w:lang w:val="en-US" w:eastAsia="en-US" w:bidi="en-US"/>
              </w:rPr>
              <w:t>​</w:t>
            </w:r>
            <w:r>
              <w:rPr>
                <w:rStyle w:val="CharStyle28"/>
                <w:spacing w:val="1"/>
                <w:shd w:val="clear" w:color="auto" w:fill="000000"/>
                <w:lang w:val="en-US" w:eastAsia="en-US" w:bidi="en-US"/>
              </w:rPr>
              <w:t>................</w:t>
            </w:r>
            <w:r>
              <w:rPr>
                <w:rStyle w:val="CharStyle28"/>
                <w:spacing w:val="2"/>
                <w:shd w:val="clear" w:color="auto" w:fill="000000"/>
                <w:lang w:val="en-US" w:eastAsia="en-US" w:bidi="en-US"/>
              </w:rPr>
              <w:t>........</w:t>
            </w:r>
            <w:r>
              <w:rPr>
                <w:rStyle w:val="CharStyle28"/>
                <w:shd w:val="clear" w:color="auto" w:fill="000000"/>
                <w:lang w:val="en-US" w:eastAsia="en-US" w:bidi="en-US"/>
              </w:rPr>
              <w:t>..</w:t>
            </w:r>
            <w:r>
              <w:rPr>
                <w:rStyle w:val="CharStyle28"/>
                <w:shd w:val="clear" w:color="auto" w:fill="000000"/>
              </w:rPr>
              <w:t>​</w:t>
            </w:r>
            <w:r>
              <w:rPr>
                <w:rStyle w:val="CharStyle28"/>
                <w:spacing w:val="8"/>
                <w:shd w:val="clear" w:color="auto" w:fill="000000"/>
              </w:rPr>
              <w:t>.....</w:t>
            </w:r>
            <w:r>
              <w:rPr>
                <w:rStyle w:val="CharStyle28"/>
                <w:shd w:val="clear" w:color="auto" w:fill="000000"/>
              </w:rPr>
              <w:t>​....</w:t>
            </w:r>
            <w:r>
              <w:rPr>
                <w:rStyle w:val="CharStyle28"/>
                <w:spacing w:val="1"/>
                <w:shd w:val="clear" w:color="auto" w:fill="000000"/>
              </w:rPr>
              <w:t>.....</w:t>
            </w:r>
            <w:r>
              <w:rPr>
                <w:rStyle w:val="CharStyle28"/>
                <w:shd w:val="clear" w:color="auto" w:fill="000000"/>
              </w:rPr>
              <w:t>​.......​.......​......</w:t>
            </w:r>
          </w:p>
        </w:tc>
      </w:tr>
      <w:tr>
        <w:trPr>
          <w:trHeight w:val="773" w:hRule="exact"/>
        </w:trPr>
        <w:tc>
          <w:tcPr>
            <w:tcBorders/>
            <w:shd w:val="clear" w:color="auto" w:fill="auto"/>
            <w:vAlign w:val="bottom"/>
          </w:tcPr>
          <w:p>
            <w:pPr>
              <w:pStyle w:val="Style27"/>
              <w:keepNext w:val="0"/>
              <w:keepLines w:val="0"/>
              <w:widowControl w:val="0"/>
              <w:shd w:val="clear" w:color="auto" w:fill="auto"/>
              <w:bidi w:val="0"/>
              <w:spacing w:before="0" w:after="40" w:line="240" w:lineRule="auto"/>
              <w:ind w:left="0" w:right="0" w:firstLine="0"/>
              <w:jc w:val="left"/>
            </w:pPr>
            <w:r>
              <w:rPr>
                <w:rStyle w:val="CharStyle28"/>
              </w:rPr>
              <w:t>IČO:</w:t>
            </w:r>
          </w:p>
          <w:p>
            <w:pPr>
              <w:pStyle w:val="Style27"/>
              <w:keepNext w:val="0"/>
              <w:keepLines w:val="0"/>
              <w:widowControl w:val="0"/>
              <w:shd w:val="clear" w:color="auto" w:fill="auto"/>
              <w:bidi w:val="0"/>
              <w:spacing w:before="0" w:after="40" w:line="240" w:lineRule="auto"/>
              <w:ind w:left="0" w:right="0" w:firstLine="0"/>
              <w:jc w:val="left"/>
            </w:pPr>
            <w:r>
              <w:rPr>
                <w:rStyle w:val="CharStyle28"/>
              </w:rPr>
              <w:t>DIČ:</w:t>
            </w:r>
          </w:p>
          <w:p>
            <w:pPr>
              <w:pStyle w:val="Style27"/>
              <w:keepNext w:val="0"/>
              <w:keepLines w:val="0"/>
              <w:widowControl w:val="0"/>
              <w:shd w:val="clear" w:color="auto" w:fill="auto"/>
              <w:bidi w:val="0"/>
              <w:spacing w:before="0" w:after="40" w:line="240" w:lineRule="auto"/>
              <w:ind w:left="0" w:right="0" w:firstLine="0"/>
              <w:jc w:val="left"/>
            </w:pPr>
            <w:r>
              <w:rPr>
                <w:rStyle w:val="CharStyle28"/>
              </w:rPr>
              <w:t>Zápis v OR:</w:t>
            </w:r>
          </w:p>
        </w:tc>
        <w:tc>
          <w:tcPr>
            <w:tcBorders/>
            <w:shd w:val="clear" w:color="auto" w:fill="auto"/>
            <w:vAlign w:val="bottom"/>
          </w:tcPr>
          <w:p>
            <w:pPr>
              <w:pStyle w:val="Style27"/>
              <w:keepNext w:val="0"/>
              <w:keepLines w:val="0"/>
              <w:widowControl w:val="0"/>
              <w:shd w:val="clear" w:color="auto" w:fill="auto"/>
              <w:bidi w:val="0"/>
              <w:spacing w:before="0" w:after="40" w:line="240" w:lineRule="auto"/>
              <w:ind w:left="0" w:right="0" w:firstLine="0"/>
              <w:jc w:val="left"/>
            </w:pPr>
            <w:r>
              <w:rPr>
                <w:rStyle w:val="CharStyle28"/>
              </w:rPr>
              <w:t>49623567</w:t>
            </w:r>
          </w:p>
          <w:p>
            <w:pPr>
              <w:pStyle w:val="Style27"/>
              <w:keepNext w:val="0"/>
              <w:keepLines w:val="0"/>
              <w:widowControl w:val="0"/>
              <w:shd w:val="clear" w:color="auto" w:fill="auto"/>
              <w:bidi w:val="0"/>
              <w:spacing w:before="0" w:after="40" w:line="240" w:lineRule="auto"/>
              <w:ind w:left="0" w:right="0" w:firstLine="0"/>
              <w:jc w:val="left"/>
            </w:pPr>
            <w:r>
              <w:rPr>
                <w:rStyle w:val="CharStyle28"/>
              </w:rPr>
              <w:t>CZ49623567</w:t>
            </w:r>
          </w:p>
          <w:p>
            <w:pPr>
              <w:pStyle w:val="Style27"/>
              <w:keepNext w:val="0"/>
              <w:keepLines w:val="0"/>
              <w:widowControl w:val="0"/>
              <w:shd w:val="clear" w:color="auto" w:fill="auto"/>
              <w:bidi w:val="0"/>
              <w:spacing w:before="0" w:after="40" w:line="240" w:lineRule="auto"/>
              <w:ind w:left="0" w:right="0" w:firstLine="0"/>
              <w:jc w:val="left"/>
            </w:pPr>
            <w:r>
              <w:rPr>
                <w:rStyle w:val="CharStyle28"/>
              </w:rPr>
              <w:t>Městský soud v Praze, sp. zn. C 24721</w:t>
            </w:r>
          </w:p>
        </w:tc>
      </w:tr>
      <w:tr>
        <w:trPr>
          <w:trHeight w:val="394" w:hRule="exact"/>
        </w:trPr>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Bankovní spojení (číslo účtu):</w:t>
            </w:r>
          </w:p>
        </w:tc>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Fio banka, a. s., č. ú. 2301576758/2010</w:t>
            </w:r>
          </w:p>
        </w:tc>
      </w:tr>
    </w:tbl>
    <w:p>
      <w:pPr>
        <w:pStyle w:val="Style23"/>
        <w:keepNext w:val="0"/>
        <w:keepLines w:val="0"/>
        <w:widowControl w:val="0"/>
        <w:shd w:val="clear" w:color="auto" w:fill="auto"/>
        <w:bidi w:val="0"/>
        <w:spacing w:before="0" w:after="0" w:line="240" w:lineRule="auto"/>
        <w:ind w:left="24" w:right="0" w:firstLine="0"/>
        <w:jc w:val="left"/>
        <w:rPr>
          <w:sz w:val="18"/>
          <w:szCs w:val="18"/>
        </w:rPr>
      </w:pPr>
      <w:r>
        <w:rPr>
          <w:rStyle w:val="CharStyle24"/>
          <w:sz w:val="18"/>
          <w:szCs w:val="18"/>
        </w:rPr>
        <w:t xml:space="preserve">(dále jen </w:t>
      </w:r>
      <w:r>
        <w:rPr>
          <w:rStyle w:val="CharStyle24"/>
          <w:b/>
          <w:bCs/>
          <w:i/>
          <w:iCs/>
          <w:sz w:val="18"/>
          <w:szCs w:val="18"/>
        </w:rPr>
        <w:t>„prodávající )</w:t>
      </w:r>
    </w:p>
    <w:p>
      <w:pPr>
        <w:widowControl w:val="0"/>
        <w:spacing w:after="759" w:line="1" w:lineRule="exact"/>
      </w:pPr>
    </w:p>
    <w:p>
      <w:pPr>
        <w:pStyle w:val="Style15"/>
        <w:keepNext w:val="0"/>
        <w:keepLines w:val="0"/>
        <w:widowControl w:val="0"/>
        <w:numPr>
          <w:ilvl w:val="0"/>
          <w:numId w:val="1"/>
        </w:numPr>
        <w:shd w:val="clear" w:color="auto" w:fill="auto"/>
        <w:tabs>
          <w:tab w:pos="408" w:val="left"/>
        </w:tabs>
        <w:bidi w:val="0"/>
        <w:spacing w:before="0" w:after="260" w:line="295" w:lineRule="auto"/>
        <w:ind w:left="420" w:right="0" w:hanging="420"/>
        <w:jc w:val="both"/>
      </w:pPr>
      <w:r>
        <w:rPr>
          <w:rStyle w:val="CharStyle16"/>
        </w:rPr>
        <w:t>Prodávající je oprávněn na základě svého vlastnického práva nakládat se zbožím v podobě retranslačních stanic a dalšího příslušenství dle bližší specifikace tohoto zboží, která je obsažena v příloze č. 1 a č. 2, které jsou nedílnou součástí této smlouvy.</w:t>
      </w:r>
    </w:p>
    <w:p>
      <w:pPr>
        <w:pStyle w:val="Style15"/>
        <w:keepNext w:val="0"/>
        <w:keepLines w:val="0"/>
        <w:widowControl w:val="0"/>
        <w:numPr>
          <w:ilvl w:val="0"/>
          <w:numId w:val="1"/>
        </w:numPr>
        <w:shd w:val="clear" w:color="auto" w:fill="auto"/>
        <w:tabs>
          <w:tab w:pos="408" w:val="left"/>
        </w:tabs>
        <w:bidi w:val="0"/>
        <w:spacing w:before="0" w:line="298" w:lineRule="auto"/>
        <w:ind w:left="420" w:right="0" w:hanging="420"/>
        <w:jc w:val="both"/>
      </w:pPr>
      <w:r>
        <w:rPr>
          <w:rStyle w:val="CharStyle16"/>
        </w:rPr>
        <w:t>Prodávající prodává zboží podle čl. 1 této smlouvy se všemi jeho součástmi a příslušenstvím kupujícímu, a kupující kupuje toto zboží do vlastnictví Jihomoravského kraje, jako svého zřizovatele, za kupní cenu podle čl. 6 této smlouvy. Součástí závazku prodávajícího k dodání zboží podle čl. 1 této smlouvy je rovněž instalace zboží, jeho uvedení do provozu, zaškolení obsluhy a provedení všech předepsaných a obvyklých měření a zkoušek všech zabudovaných technických zařízení, v místě splnění tohoto závazku, kterým je stanoviště Kojál v Jihomoravském kraji. Součástí tohoto závazku prodávajícího je také demontáž stávajícího zařízeni, jehož má být zboží podle čl. 1 náhradou, a jeho předání kupujícímu.</w:t>
      </w:r>
    </w:p>
    <w:p>
      <w:pPr>
        <w:pStyle w:val="Style15"/>
        <w:keepNext w:val="0"/>
        <w:keepLines w:val="0"/>
        <w:widowControl w:val="0"/>
        <w:numPr>
          <w:ilvl w:val="0"/>
          <w:numId w:val="1"/>
        </w:numPr>
        <w:shd w:val="clear" w:color="auto" w:fill="auto"/>
        <w:tabs>
          <w:tab w:pos="408" w:val="left"/>
        </w:tabs>
        <w:bidi w:val="0"/>
        <w:spacing w:before="0" w:after="260" w:line="298" w:lineRule="auto"/>
        <w:ind w:left="420" w:right="0" w:hanging="420"/>
        <w:jc w:val="both"/>
      </w:pPr>
      <w:r>
        <w:rPr>
          <w:rStyle w:val="CharStyle16"/>
        </w:rPr>
        <w:t>Součástí dodávky zboží dle čl. 1 této smlouvy je také dodání veškerých návodů k obsluze, odpovídající technické dokumentace v tištěné a datové podobě, dodání dokladů prokazujících kvalitu a schválení pro užívání v České republice, zejm. dodání příslušných atestů, certifikátů, prohlášení o shodě a návodu k obsluze, to vše v českém jazyce.</w:t>
      </w:r>
    </w:p>
    <w:p>
      <w:pPr>
        <w:pStyle w:val="Style15"/>
        <w:keepNext w:val="0"/>
        <w:keepLines w:val="0"/>
        <w:widowControl w:val="0"/>
        <w:numPr>
          <w:ilvl w:val="0"/>
          <w:numId w:val="1"/>
        </w:numPr>
        <w:shd w:val="clear" w:color="auto" w:fill="auto"/>
        <w:tabs>
          <w:tab w:pos="411" w:val="left"/>
        </w:tabs>
        <w:bidi w:val="0"/>
        <w:spacing w:before="0" w:after="220" w:line="298" w:lineRule="auto"/>
        <w:ind w:left="420" w:right="0" w:hanging="420"/>
        <w:jc w:val="both"/>
      </w:pPr>
      <w:r>
        <w:rPr>
          <w:rStyle w:val="CharStyle16"/>
        </w:rPr>
        <w:t xml:space="preserve">Prodávající se zavazuje splnit svůj závazek k dodání zboží podle čl. 1 této smlouvy nejpozdéji do </w:t>
      </w:r>
      <w:r>
        <w:rPr>
          <w:rStyle w:val="CharStyle16"/>
          <w:b/>
          <w:bCs/>
        </w:rPr>
        <w:t xml:space="preserve">15. 11. 2024. </w:t>
      </w:r>
      <w:r>
        <w:rPr>
          <w:rStyle w:val="CharStyle16"/>
        </w:rPr>
        <w:t>Závazek prodávajícího k dodání zboží podle čl. 1 této smlouvy se pak považuje za splněný po instalaci zboží, jeho uvedení do provozu a zaškolení obsluhy a po splnění všech ostatních povinností prodávajícího podle čl. 2 této smlouvy dnem předání a převzetí tohoto zboží formou písemného předávacího protokolu, podepsaného oběma stranami.</w:t>
      </w:r>
    </w:p>
    <w:p>
      <w:pPr>
        <w:pStyle w:val="Style15"/>
        <w:keepNext w:val="0"/>
        <w:keepLines w:val="0"/>
        <w:widowControl w:val="0"/>
        <w:numPr>
          <w:ilvl w:val="0"/>
          <w:numId w:val="1"/>
        </w:numPr>
        <w:shd w:val="clear" w:color="auto" w:fill="auto"/>
        <w:tabs>
          <w:tab w:pos="411" w:val="left"/>
        </w:tabs>
        <w:bidi w:val="0"/>
        <w:spacing w:before="0" w:after="220" w:line="293" w:lineRule="auto"/>
        <w:ind w:left="420" w:right="0" w:hanging="420"/>
        <w:jc w:val="both"/>
      </w:pPr>
      <w:r>
        <w:rPr>
          <w:rStyle w:val="CharStyle16"/>
        </w:rPr>
        <w:t>Nebezpečí škody na převáděném zboží a vlastnické právo k tomuto zboží přechází z prodávajícího na kupujícího dnem splnění závazku prodávajícího k dodání tohoto zboží způsobem podle čl. 4 této smlouvy.</w:t>
      </w:r>
    </w:p>
    <w:p>
      <w:pPr>
        <w:pStyle w:val="Style15"/>
        <w:keepNext w:val="0"/>
        <w:keepLines w:val="0"/>
        <w:widowControl w:val="0"/>
        <w:numPr>
          <w:ilvl w:val="0"/>
          <w:numId w:val="1"/>
        </w:numPr>
        <w:shd w:val="clear" w:color="auto" w:fill="auto"/>
        <w:tabs>
          <w:tab w:pos="411" w:val="left"/>
        </w:tabs>
        <w:bidi w:val="0"/>
        <w:spacing w:before="0" w:after="100" w:line="295" w:lineRule="auto"/>
        <w:ind w:left="420" w:right="0" w:hanging="420"/>
        <w:jc w:val="both"/>
      </w:pPr>
      <w:r>
        <w:rPr>
          <w:rStyle w:val="CharStyle16"/>
        </w:rPr>
        <w:t>Kupující se zavazuje zaplatit prodávajícímu za předmět koupě a prodeje podle čl. 1 této smlouvy kupní cenu ve výši:</w:t>
      </w:r>
    </w:p>
    <w:p>
      <w:pPr>
        <w:pStyle w:val="Style15"/>
        <w:keepNext w:val="0"/>
        <w:keepLines w:val="0"/>
        <w:widowControl w:val="0"/>
        <w:shd w:val="clear" w:color="auto" w:fill="auto"/>
        <w:bidi w:val="0"/>
        <w:spacing w:before="0" w:after="100" w:line="295" w:lineRule="auto"/>
        <w:ind w:left="0" w:right="0" w:firstLine="0"/>
        <w:jc w:val="center"/>
      </w:pPr>
      <w:r>
        <w:rPr>
          <w:rStyle w:val="CharStyle16"/>
          <w:b/>
          <w:bCs/>
        </w:rPr>
        <w:t xml:space="preserve">236.215,- </w:t>
      </w:r>
      <w:r>
        <w:rPr>
          <w:rStyle w:val="CharStyle16"/>
        </w:rPr>
        <w:t>Kč bez DPH, tj.285.820,15,- Kč včetně DPH.</w:t>
      </w:r>
    </w:p>
    <w:p>
      <w:pPr>
        <w:pStyle w:val="Style15"/>
        <w:keepNext w:val="0"/>
        <w:keepLines w:val="0"/>
        <w:widowControl w:val="0"/>
        <w:shd w:val="clear" w:color="auto" w:fill="auto"/>
        <w:bidi w:val="0"/>
        <w:spacing w:before="0" w:after="220" w:line="290" w:lineRule="auto"/>
        <w:ind w:left="420" w:right="0" w:firstLine="20"/>
        <w:jc w:val="both"/>
      </w:pPr>
      <w:r>
        <w:rPr>
          <w:rStyle w:val="CharStyle16"/>
        </w:rPr>
        <w:t>Součástí této ceny jsou veškeré náklady prodávajícího na splnění jeho závazku k dodání zboží podle této smlouvy a daň z přidané hodnoty v sazbě podle zákona.</w:t>
      </w:r>
    </w:p>
    <w:p>
      <w:pPr>
        <w:pStyle w:val="Style15"/>
        <w:keepNext w:val="0"/>
        <w:keepLines w:val="0"/>
        <w:widowControl w:val="0"/>
        <w:numPr>
          <w:ilvl w:val="0"/>
          <w:numId w:val="3"/>
        </w:numPr>
        <w:shd w:val="clear" w:color="auto" w:fill="auto"/>
        <w:tabs>
          <w:tab w:pos="411" w:val="left"/>
        </w:tabs>
        <w:bidi w:val="0"/>
        <w:spacing w:before="0" w:after="220" w:line="295" w:lineRule="auto"/>
        <w:ind w:left="420" w:right="0" w:hanging="420"/>
        <w:jc w:val="both"/>
      </w:pPr>
      <w:r>
        <w:rPr>
          <w:rStyle w:val="CharStyle16"/>
        </w:rPr>
        <w:t xml:space="preserve">Kupní cena podle čl. 6 této smlouvy je splatná na účet prodávajícího po řádném splnění závazku prodávajícího k dodání zboží podle čl. 1 této smlouvy způsobem podle čl. 4 této smlouvy ve lhůtě do 30 dnů ode dne doručení jejího písemného vyúčtování (daňového dokladu/faktury). Faktura bude doručena elektronicky na email: </w:t>
      </w:r>
      <w:r>
        <w:rPr>
          <w:rStyle w:val="CharStyle16"/>
          <w:u w:val="single"/>
          <w:shd w:val="clear" w:color="auto" w:fill="000000"/>
          <w:lang w:val="en-US" w:eastAsia="en-US" w:bidi="en-US"/>
        </w:rPr>
        <w:t>................................</w:t>
      </w:r>
      <w:r>
        <w:rPr>
          <w:rStyle w:val="CharStyle16"/>
          <w:spacing w:val="1"/>
          <w:u w:val="single"/>
          <w:shd w:val="clear" w:color="auto" w:fill="000000"/>
          <w:lang w:val="en-US" w:eastAsia="en-US" w:bidi="en-US"/>
        </w:rPr>
        <w:t>...</w:t>
      </w:r>
      <w:r>
        <w:rPr>
          <w:rStyle w:val="CharStyle16"/>
          <w:shd w:val="clear" w:color="auto" w:fill="000000"/>
          <w:lang w:val="en-US" w:eastAsia="en-US" w:bidi="en-US"/>
        </w:rPr>
        <w:t>.</w:t>
      </w:r>
      <w:r>
        <w:rPr>
          <w:rStyle w:val="CharStyle16"/>
          <w:shd w:val="clear" w:color="auto" w:fill="000000"/>
        </w:rPr>
        <w:t>​...</w:t>
      </w:r>
      <w:r>
        <w:rPr>
          <w:rStyle w:val="CharStyle16"/>
          <w:u w:val="single"/>
          <w:shd w:val="clear" w:color="auto" w:fill="000000"/>
          <w:lang w:val="en-US" w:eastAsia="en-US" w:bidi="en-US"/>
        </w:rPr>
        <w:t>​</w:t>
      </w:r>
      <w:r>
        <w:rPr>
          <w:rStyle w:val="CharStyle16"/>
          <w:spacing w:val="1"/>
          <w:u w:val="single"/>
          <w:shd w:val="clear" w:color="auto" w:fill="000000"/>
          <w:lang w:val="en-US" w:eastAsia="en-US" w:bidi="en-US"/>
        </w:rPr>
        <w:t>............................</w:t>
      </w:r>
      <w:r>
        <w:rPr>
          <w:rStyle w:val="CharStyle16"/>
          <w:spacing w:val="2"/>
          <w:u w:val="single"/>
          <w:shd w:val="clear" w:color="auto" w:fill="000000"/>
          <w:lang w:val="en-US" w:eastAsia="en-US" w:bidi="en-US"/>
        </w:rPr>
        <w:t>..</w:t>
      </w:r>
      <w:r>
        <w:rPr>
          <w:rStyle w:val="CharStyle16"/>
          <w:color w:val="2D68A2"/>
          <w:lang w:val="en-US" w:eastAsia="en-US" w:bidi="en-US"/>
        </w:rPr>
        <w:t xml:space="preserve">. </w:t>
      </w:r>
      <w:r>
        <w:rPr>
          <w:rStyle w:val="CharStyle16"/>
        </w:rPr>
        <w:t xml:space="preserve">Na faktuře musí být mimo jiné vždy uvedeno toto číslo veřejné zakázky, ke které se faktura vztahuje: </w:t>
      </w:r>
      <w:r>
        <w:rPr>
          <w:rStyle w:val="CharStyle16"/>
          <w:b/>
          <w:bCs/>
        </w:rPr>
        <w:t xml:space="preserve">P24V00001354. </w:t>
      </w:r>
      <w:r>
        <w:rPr>
          <w:rStyle w:val="CharStyle16"/>
        </w:rPr>
        <w:t>Součástí faktury bude kopie podepsaného předávacího protokolu dle čl. 4 této smlouvy. 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15"/>
        <w:keepNext w:val="0"/>
        <w:keepLines w:val="0"/>
        <w:widowControl w:val="0"/>
        <w:numPr>
          <w:ilvl w:val="0"/>
          <w:numId w:val="3"/>
        </w:numPr>
        <w:shd w:val="clear" w:color="auto" w:fill="auto"/>
        <w:tabs>
          <w:tab w:pos="411" w:val="left"/>
        </w:tabs>
        <w:bidi w:val="0"/>
        <w:spacing w:before="0" w:after="220" w:line="302" w:lineRule="auto"/>
        <w:ind w:left="420" w:right="0" w:hanging="420"/>
        <w:jc w:val="both"/>
      </w:pPr>
      <w:r>
        <w:rPr>
          <w:rStyle w:val="CharStyle16"/>
        </w:rPr>
        <w:t xml:space="preserve">S převodem zboží podle čl. 1 této smlouvy je spojena záruka za jeho jakost v trvání nejméně </w:t>
      </w:r>
      <w:r>
        <w:rPr>
          <w:rStyle w:val="CharStyle16"/>
          <w:b/>
          <w:bCs/>
        </w:rPr>
        <w:t xml:space="preserve">24 měsíců. </w:t>
      </w:r>
      <w:r>
        <w:rPr>
          <w:rStyle w:val="CharStyle16"/>
        </w:rPr>
        <w:t>V rámci této záruky se prodávající zavazuje odstraňovat vady na zboží podle čl. 1 této smlouvy ve lhůtě do 10 dnů od jejich doručení, a ve stejné lhůtě provést odstranění reklamovaných vad, nebude-li mezi oběma stranami v jednotlivém případě dohodnuto jinak.</w:t>
      </w:r>
    </w:p>
    <w:p>
      <w:pPr>
        <w:pStyle w:val="Style15"/>
        <w:keepNext w:val="0"/>
        <w:keepLines w:val="0"/>
        <w:widowControl w:val="0"/>
        <w:numPr>
          <w:ilvl w:val="0"/>
          <w:numId w:val="3"/>
        </w:numPr>
        <w:shd w:val="clear" w:color="auto" w:fill="auto"/>
        <w:tabs>
          <w:tab w:pos="411" w:val="left"/>
        </w:tabs>
        <w:bidi w:val="0"/>
        <w:spacing w:before="0" w:after="220" w:line="298" w:lineRule="auto"/>
        <w:ind w:left="420" w:right="0" w:hanging="420"/>
        <w:jc w:val="both"/>
      </w:pPr>
      <w:r>
        <w:rPr>
          <w:rStyle w:val="CharStyle16"/>
        </w:rPr>
        <w:t>Pro případ sporu o oprávněnost reklamace se kupujícímu vyhrazuje právo nechat vyhotovit k prověření jakosti zboží soudné znalecký posudek, jehož výroku se obě strany zavazují podřizovat s tím, že náklady na vyhotovení tohoto posudku se zavazuje nést ten účastník tohoto sporu, kterému tento posudek nedal zapravdu.</w:t>
      </w:r>
    </w:p>
    <w:p>
      <w:pPr>
        <w:pStyle w:val="Style15"/>
        <w:keepNext w:val="0"/>
        <w:keepLines w:val="0"/>
        <w:widowControl w:val="0"/>
        <w:numPr>
          <w:ilvl w:val="0"/>
          <w:numId w:val="3"/>
        </w:numPr>
        <w:shd w:val="clear" w:color="auto" w:fill="auto"/>
        <w:tabs>
          <w:tab w:pos="411" w:val="left"/>
        </w:tabs>
        <w:bidi w:val="0"/>
        <w:spacing w:before="0" w:after="220" w:line="295" w:lineRule="auto"/>
        <w:ind w:left="420" w:right="0" w:hanging="420"/>
        <w:jc w:val="both"/>
      </w:pPr>
      <w:r>
        <w:rPr>
          <w:rStyle w:val="CharStyle16"/>
        </w:rPr>
        <w:t>Nepřikročí-li prodávající k odstranění vady ve lhůtě podle čl. 8 této smlouvy nebo v něm z důvodů na své straně nepokračuje, a to ani po písemné výzvě ze strany kupujícího, je kupující oprávněn nechat provést toto odstranění třetí osobou na náklady prodávajícího.</w:t>
      </w:r>
    </w:p>
    <w:p>
      <w:pPr>
        <w:pStyle w:val="Style15"/>
        <w:keepNext w:val="0"/>
        <w:keepLines w:val="0"/>
        <w:widowControl w:val="0"/>
        <w:numPr>
          <w:ilvl w:val="0"/>
          <w:numId w:val="3"/>
        </w:numPr>
        <w:shd w:val="clear" w:color="auto" w:fill="auto"/>
        <w:tabs>
          <w:tab w:pos="411" w:val="left"/>
        </w:tabs>
        <w:bidi w:val="0"/>
        <w:spacing w:before="0" w:after="220" w:line="293" w:lineRule="auto"/>
        <w:ind w:left="420" w:right="0" w:hanging="420"/>
        <w:jc w:val="both"/>
      </w:pPr>
      <w:r>
        <w:rPr>
          <w:rStyle w:val="CharStyle16"/>
        </w:rPr>
        <w:t>Pro případ prodlení prodávající se splněním jeho závazku k dodání zboží ve lhůtě podle čl. 4 této smlouvy a pro případ prodlení prodávajícího s odstraněním reklamované vady ve lhůtě podle čl. 8 této smlouvy se prodávající zavazuje zaplatit kupujícímu smluvní pokutu ve výši 1.000 Kč za každý započatý den tohoto prodlení.</w:t>
      </w:r>
    </w:p>
    <w:p>
      <w:pPr>
        <w:pStyle w:val="Style15"/>
        <w:keepNext w:val="0"/>
        <w:keepLines w:val="0"/>
        <w:widowControl w:val="0"/>
        <w:numPr>
          <w:ilvl w:val="0"/>
          <w:numId w:val="3"/>
        </w:numPr>
        <w:shd w:val="clear" w:color="auto" w:fill="auto"/>
        <w:tabs>
          <w:tab w:pos="411" w:val="left"/>
        </w:tabs>
        <w:bidi w:val="0"/>
        <w:spacing w:before="0" w:after="220" w:line="300" w:lineRule="auto"/>
        <w:ind w:left="420" w:right="0" w:hanging="420"/>
        <w:jc w:val="both"/>
      </w:pPr>
      <w:r>
        <w:rPr>
          <w:rStyle w:val="CharStyle16"/>
        </w:rPr>
        <w:t>Pro případ prodlení se splněním jeho závazku k dodání zboží ve lhůtě podle čl. 4 této smlouvy o více, než 2 týdny je kupující oprávněn odstoupit od této smlouvy s účinky ex tunc, přičemž nárok na zaplacení smluvní pokuty dle čl. 11. nezaniká. Stejné právo má kupující, vyskytne-li se v době záruky za jakost podle čl. 8 této smlouvy na zboží podle čl. 1 této smlouvy neodstranitelná vada nebo tři a více vad, a i to postupně.</w:t>
      </w:r>
      <w:r>
        <w:br w:type="page"/>
      </w:r>
    </w:p>
    <w:p>
      <w:pPr>
        <w:pStyle w:val="Style15"/>
        <w:keepNext w:val="0"/>
        <w:keepLines w:val="0"/>
        <w:widowControl w:val="0"/>
        <w:numPr>
          <w:ilvl w:val="0"/>
          <w:numId w:val="3"/>
        </w:numPr>
        <w:shd w:val="clear" w:color="auto" w:fill="auto"/>
        <w:tabs>
          <w:tab w:pos="413" w:val="left"/>
        </w:tabs>
        <w:bidi w:val="0"/>
        <w:spacing w:before="0" w:line="295" w:lineRule="auto"/>
        <w:ind w:left="400" w:right="0" w:hanging="400"/>
        <w:jc w:val="both"/>
      </w:pPr>
      <w:r>
        <w:rPr>
          <w:rStyle w:val="CharStyle16"/>
        </w:rPr>
        <w:t>Pro případ prodlení kupujícího se zaplacením kupní ceny nebo její části ve lhůtě podle čl. 7 této smlouvy o víc, než 2 týdny, je prodávající oprávněn od této smlouvy odstoupit s účinky ex tunc.</w:t>
      </w:r>
    </w:p>
    <w:p>
      <w:pPr>
        <w:pStyle w:val="Style15"/>
        <w:keepNext w:val="0"/>
        <w:keepLines w:val="0"/>
        <w:widowControl w:val="0"/>
        <w:numPr>
          <w:ilvl w:val="0"/>
          <w:numId w:val="3"/>
        </w:numPr>
        <w:shd w:val="clear" w:color="auto" w:fill="auto"/>
        <w:tabs>
          <w:tab w:pos="413" w:val="left"/>
        </w:tabs>
        <w:bidi w:val="0"/>
        <w:spacing w:before="0" w:line="298" w:lineRule="auto"/>
        <w:ind w:left="400" w:right="0" w:hanging="400"/>
        <w:jc w:val="both"/>
      </w:pPr>
      <w:r>
        <w:rPr>
          <w:rStyle w:val="CharStyle16"/>
        </w:rPr>
        <w:t>Není-li touto smlouvou ujednáno jinak, řídí se vzájemný právní vztah mezi kupujícím a prodávajícím při realizaci této smlouvy ust. § 2079 a násl. občanského zákoníku. Obě strany přitom vylučují použití ust. §1917 až 1918, §1920 až 1922, §1924, § 2099 až 2101, § 2103 až 2105 občanského zákoníku a také obchodních zvyklostí, které jsou svým smyslem nebo účinky totožné nebo obdobné s uvedenými ustanoveními, na jejich právní vztah podle této smlouvy.</w:t>
      </w:r>
    </w:p>
    <w:p>
      <w:pPr>
        <w:pStyle w:val="Style15"/>
        <w:keepNext w:val="0"/>
        <w:keepLines w:val="0"/>
        <w:widowControl w:val="0"/>
        <w:numPr>
          <w:ilvl w:val="0"/>
          <w:numId w:val="3"/>
        </w:numPr>
        <w:shd w:val="clear" w:color="auto" w:fill="auto"/>
        <w:tabs>
          <w:tab w:pos="413" w:val="left"/>
        </w:tabs>
        <w:bidi w:val="0"/>
        <w:spacing w:before="0" w:line="298" w:lineRule="auto"/>
        <w:ind w:left="400" w:right="0" w:hanging="400"/>
        <w:jc w:val="both"/>
      </w:pPr>
      <w:r>
        <w:rPr>
          <w:rStyle w:val="CharStyle16"/>
        </w:rPr>
        <w:t>Tato smlouva se uzavírá na základě návrhu na její uzavření ze strany kupujícího. Předpokladem uzavření této smlouvy je její písemná forma a dohoda o jejích podstatných náležitostech, čímž se rozumí celý obsah této smlouvy, jak je uveden v čl. 1 až 21 této smlouvy. Kupující přitom předem vylučuje přijetí tohoto návrhu s dodatkem nebo odchylkou ve smyslu ustanovení § 1740 odst. 3 občanského zákoníku.</w:t>
      </w:r>
    </w:p>
    <w:p>
      <w:pPr>
        <w:pStyle w:val="Style15"/>
        <w:keepNext w:val="0"/>
        <w:keepLines w:val="0"/>
        <w:widowControl w:val="0"/>
        <w:numPr>
          <w:ilvl w:val="0"/>
          <w:numId w:val="3"/>
        </w:numPr>
        <w:shd w:val="clear" w:color="auto" w:fill="auto"/>
        <w:tabs>
          <w:tab w:pos="413" w:val="left"/>
        </w:tabs>
        <w:bidi w:val="0"/>
        <w:spacing w:before="0" w:line="307" w:lineRule="auto"/>
        <w:ind w:left="400" w:right="0" w:hanging="400"/>
        <w:jc w:val="both"/>
      </w:pPr>
      <w:r>
        <w:rPr>
          <w:rStyle w:val="CharStyle16"/>
        </w:rPr>
        <w:t>Jakékoliv pohledávky vzniklé z této smlouvy smí být postoupeny třetí straně jen s písemným souhlasem kupujícího.</w:t>
      </w:r>
    </w:p>
    <w:p>
      <w:pPr>
        <w:pStyle w:val="Style15"/>
        <w:keepNext w:val="0"/>
        <w:keepLines w:val="0"/>
        <w:widowControl w:val="0"/>
        <w:numPr>
          <w:ilvl w:val="0"/>
          <w:numId w:val="3"/>
        </w:numPr>
        <w:shd w:val="clear" w:color="auto" w:fill="auto"/>
        <w:tabs>
          <w:tab w:pos="413" w:val="left"/>
        </w:tabs>
        <w:bidi w:val="0"/>
        <w:spacing w:before="0" w:line="307" w:lineRule="auto"/>
        <w:ind w:left="400" w:right="0" w:hanging="400"/>
        <w:jc w:val="both"/>
      </w:pPr>
      <w:r>
        <w:rPr>
          <w:rStyle w:val="CharStyle16"/>
        </w:rPr>
        <w:t>Tuto smlouvu lze změnit nebo zrušit pouze písemnými číslovanými dodatky podepsanými oběma stranami.</w:t>
      </w:r>
    </w:p>
    <w:p>
      <w:pPr>
        <w:pStyle w:val="Style15"/>
        <w:keepNext w:val="0"/>
        <w:keepLines w:val="0"/>
        <w:widowControl w:val="0"/>
        <w:numPr>
          <w:ilvl w:val="0"/>
          <w:numId w:val="3"/>
        </w:numPr>
        <w:shd w:val="clear" w:color="auto" w:fill="auto"/>
        <w:tabs>
          <w:tab w:pos="413" w:val="left"/>
        </w:tabs>
        <w:bidi w:val="0"/>
        <w:spacing w:before="0" w:line="298" w:lineRule="auto"/>
        <w:ind w:left="400" w:right="0" w:hanging="400"/>
        <w:jc w:val="both"/>
      </w:pPr>
      <w:r>
        <w:rPr>
          <w:rStyle w:val="CharStyle16"/>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kupující.</w:t>
      </w:r>
    </w:p>
    <w:p>
      <w:pPr>
        <w:pStyle w:val="Style15"/>
        <w:keepNext w:val="0"/>
        <w:keepLines w:val="0"/>
        <w:widowControl w:val="0"/>
        <w:numPr>
          <w:ilvl w:val="0"/>
          <w:numId w:val="3"/>
        </w:numPr>
        <w:shd w:val="clear" w:color="auto" w:fill="auto"/>
        <w:tabs>
          <w:tab w:pos="413" w:val="left"/>
        </w:tabs>
        <w:bidi w:val="0"/>
        <w:spacing w:before="0" w:line="300" w:lineRule="auto"/>
        <w:ind w:left="400" w:right="0" w:hanging="400"/>
        <w:jc w:val="both"/>
      </w:pPr>
      <w:r>
        <w:rPr>
          <w:rStyle w:val="CharStyle16"/>
        </w:rPr>
        <w:t>Tato smlouva nabývá platnosti okamžikem jejího podpisu oběma smluvními stranami a účinnosti dnem jejího uveřejnění v registru smluv dle čl. 19.</w:t>
      </w:r>
    </w:p>
    <w:p>
      <w:pPr>
        <w:pStyle w:val="Style15"/>
        <w:keepNext w:val="0"/>
        <w:keepLines w:val="0"/>
        <w:widowControl w:val="0"/>
        <w:numPr>
          <w:ilvl w:val="0"/>
          <w:numId w:val="3"/>
        </w:numPr>
        <w:shd w:val="clear" w:color="auto" w:fill="auto"/>
        <w:tabs>
          <w:tab w:pos="413" w:val="left"/>
        </w:tabs>
        <w:bidi w:val="0"/>
        <w:spacing w:before="0" w:line="298" w:lineRule="auto"/>
        <w:ind w:left="400" w:right="0" w:hanging="400"/>
        <w:jc w:val="both"/>
      </w:pPr>
      <w:r>
        <w:rPr>
          <w:rStyle w:val="CharStyle16"/>
        </w:rPr>
        <w:t>Prodávající uděluje kupujícímu svůj výslovný souhlas se zveřejněním podmínek této smlouvy v rozsahu a za podmínek vyplývajících z příslušných právních předpisů (zejména zák. č. 106/1999 Sb., o svobodném přístupu k informacím, v platném znění).</w:t>
      </w:r>
    </w:p>
    <w:p>
      <w:pPr>
        <w:pStyle w:val="Style15"/>
        <w:keepNext w:val="0"/>
        <w:keepLines w:val="0"/>
        <w:widowControl w:val="0"/>
        <w:numPr>
          <w:ilvl w:val="0"/>
          <w:numId w:val="3"/>
        </w:numPr>
        <w:shd w:val="clear" w:color="auto" w:fill="auto"/>
        <w:tabs>
          <w:tab w:pos="413" w:val="left"/>
        </w:tabs>
        <w:bidi w:val="0"/>
        <w:spacing w:before="0" w:after="0" w:line="295" w:lineRule="auto"/>
        <w:ind w:left="400" w:right="0" w:hanging="400"/>
        <w:jc w:val="both"/>
        <w:sectPr>
          <w:footnotePr>
            <w:pos w:val="pageBottom"/>
            <w:numFmt w:val="decimal"/>
            <w:numRestart w:val="continuous"/>
          </w:footnotePr>
          <w:pgSz w:w="11900" w:h="16840"/>
          <w:pgMar w:top="375" w:right="1514" w:bottom="2019" w:left="1616" w:header="0" w:footer="1591" w:gutter="0"/>
          <w:pgNumType w:start="1"/>
          <w:cols w:space="720"/>
          <w:noEndnote/>
          <w:rtlGutter w:val="0"/>
          <w:docGrid w:linePitch="360"/>
        </w:sectPr>
      </w:pPr>
      <w:r>
        <w:drawing>
          <wp:anchor distT="127000" distB="478790" distL="361315" distR="2717165" simplePos="0" relativeHeight="62914690" behindDoc="1" locked="0" layoutInCell="1" allowOverlap="1">
            <wp:simplePos x="0" y="0"/>
            <wp:positionH relativeFrom="page">
              <wp:posOffset>1279525</wp:posOffset>
            </wp:positionH>
            <wp:positionV relativeFrom="margin">
              <wp:posOffset>6958330</wp:posOffset>
            </wp:positionV>
            <wp:extent cx="1847215" cy="80454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847215" cy="8045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2586990</wp:posOffset>
                </wp:positionH>
                <wp:positionV relativeFrom="margin">
                  <wp:posOffset>7360920</wp:posOffset>
                </wp:positionV>
                <wp:extent cx="445135" cy="143510"/>
                <wp:wrapNone/>
                <wp:docPr id="3" name="Shape 3"/>
                <a:graphic xmlns:a="http://schemas.openxmlformats.org/drawingml/2006/main">
                  <a:graphicData uri="http://schemas.microsoft.com/office/word/2010/wordprocessingShape">
                    <wps:wsp>
                      <wps:cNvSpPr txBox="1"/>
                      <wps:spPr>
                        <a:xfrm>
                          <a:ext cx="445135" cy="1435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b/>
                                <w:bCs/>
                                <w:sz w:val="18"/>
                                <w:szCs w:val="18"/>
                                <w:shd w:val="clear" w:color="auto" w:fill="000000"/>
                              </w:rPr>
                              <w:t>..............</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03.70000000000002pt;margin-top:579.60000000000002pt;width:35.050000000000004pt;height:11.300000000000001pt;z-index:251657729;mso-wrap-distance-left:0;mso-wrap-distance-right:0;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b/>
                          <w:bCs/>
                          <w:sz w:val="18"/>
                          <w:szCs w:val="18"/>
                          <w:shd w:val="clear" w:color="auto" w:fill="000000"/>
                        </w:rPr>
                        <w:t>..............</w:t>
                      </w:r>
                    </w:p>
                  </w:txbxContent>
                </v:textbox>
                <w10:wrap anchorx="page" anchory="margin"/>
              </v:shape>
            </w:pict>
          </mc:Fallback>
        </mc:AlternateContent>
      </w:r>
      <w:r>
        <mc:AlternateContent>
          <mc:Choice Requires="wps">
            <w:drawing>
              <wp:anchor distT="181610" distB="798830" distL="4100830" distR="114935" simplePos="0" relativeHeight="125829378" behindDoc="0" locked="0" layoutInCell="1" allowOverlap="1">
                <wp:simplePos x="0" y="0"/>
                <wp:positionH relativeFrom="page">
                  <wp:posOffset>5019040</wp:posOffset>
                </wp:positionH>
                <wp:positionV relativeFrom="margin">
                  <wp:posOffset>7012940</wp:posOffset>
                </wp:positionV>
                <wp:extent cx="709930" cy="426720"/>
                <wp:wrapTopAndBottom/>
                <wp:docPr id="5" name="Shape 5"/>
                <a:graphic xmlns:a="http://schemas.openxmlformats.org/drawingml/2006/main">
                  <a:graphicData uri="http://schemas.microsoft.com/office/word/2010/wordprocessingShape">
                    <wps:wsp>
                      <wps:cNvSpPr txBox="1"/>
                      <wps:spPr>
                        <a:xfrm>
                          <a:ext cx="709930" cy="426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pPr>
                            <w:r>
                              <w:rPr>
                                <w:rStyle w:val="CharStyle13"/>
                                <w:b/>
                                <w:bCs/>
                              </w:rPr>
                              <w:t>c=CZ, 2.5.4.97=NTRCZ-49623567, o=VH-COM. s r.o. ou=2, cn=Milan Dvotáťek. sn=Dvo/áťek.</w:t>
                            </w:r>
                          </w:p>
                          <w:p>
                            <w:pPr>
                              <w:pStyle w:val="Style12"/>
                              <w:keepNext w:val="0"/>
                              <w:keepLines w:val="0"/>
                              <w:widowControl w:val="0"/>
                              <w:shd w:val="clear" w:color="auto" w:fill="auto"/>
                              <w:bidi w:val="0"/>
                              <w:spacing w:before="0" w:after="0" w:line="240" w:lineRule="auto"/>
                              <w:ind w:left="0" w:right="0" w:firstLine="0"/>
                              <w:jc w:val="left"/>
                            </w:pPr>
                            <w:r>
                              <w:rPr>
                                <w:rStyle w:val="CharStyle13"/>
                                <w:b/>
                                <w:bCs/>
                              </w:rPr>
                              <w:t xml:space="preserve">gtvenName=Mi|an, sei«lNurnbet=P558531, title=jednatel VH-COM, s </w:t>
                            </w:r>
                            <w:r>
                              <w:rPr>
                                <w:rStyle w:val="CharStyle13"/>
                                <w:b/>
                                <w:bCs/>
                                <w:i/>
                                <w:iCs/>
                              </w:rPr>
                              <w:t xml:space="preserve">10 </w:t>
                            </w:r>
                            <w:r>
                              <w:rPr>
                                <w:rStyle w:val="CharStyle13"/>
                                <w:b/>
                                <w:bCs/>
                              </w:rPr>
                              <w:t>2024.05.13 08:19.04 +0200</w:t>
                            </w:r>
                            <w:r>
                              <w:rPr>
                                <w:rStyle w:val="CharStyle13"/>
                                <w:b/>
                                <w:bCs/>
                                <w:vertAlign w:val="superscript"/>
                              </w:rPr>
                              <w:t>1</w:t>
                            </w:r>
                          </w:p>
                        </w:txbxContent>
                      </wps:txbx>
                      <wps:bodyPr lIns="0" tIns="0" rIns="0" bIns="0">
                        <a:noAutoFit/>
                      </wps:bodyPr>
                    </wps:wsp>
                  </a:graphicData>
                </a:graphic>
              </wp:anchor>
            </w:drawing>
          </mc:Choice>
          <mc:Fallback>
            <w:pict>
              <v:shape id="_x0000_s1031" type="#_x0000_t202" style="position:absolute;margin-left:395.19999999999999pt;margin-top:552.20000000000005pt;width:55.899999999999999pt;height:33.600000000000001pt;z-index:-125829375;mso-wrap-distance-left:322.90000000000003pt;mso-wrap-distance-top:14.300000000000001pt;mso-wrap-distance-right:9.0500000000000007pt;mso-wrap-distance-bottom:62.899999999999999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both"/>
                      </w:pPr>
                      <w:r>
                        <w:rPr>
                          <w:rStyle w:val="CharStyle13"/>
                          <w:b/>
                          <w:bCs/>
                        </w:rPr>
                        <w:t>c=CZ, 2.5.4.97=NTRCZ-49623567, o=VH-COM. s r.o. ou=2, cn=Milan Dvotáťek. sn=Dvo/áťek.</w:t>
                      </w:r>
                    </w:p>
                    <w:p>
                      <w:pPr>
                        <w:pStyle w:val="Style12"/>
                        <w:keepNext w:val="0"/>
                        <w:keepLines w:val="0"/>
                        <w:widowControl w:val="0"/>
                        <w:shd w:val="clear" w:color="auto" w:fill="auto"/>
                        <w:bidi w:val="0"/>
                        <w:spacing w:before="0" w:after="0" w:line="240" w:lineRule="auto"/>
                        <w:ind w:left="0" w:right="0" w:firstLine="0"/>
                        <w:jc w:val="left"/>
                      </w:pPr>
                      <w:r>
                        <w:rPr>
                          <w:rStyle w:val="CharStyle13"/>
                          <w:b/>
                          <w:bCs/>
                        </w:rPr>
                        <w:t xml:space="preserve">gtvenName=Mi|an, sei«lNurnbet=P558531, title=jednatel VH-COM, s </w:t>
                      </w:r>
                      <w:r>
                        <w:rPr>
                          <w:rStyle w:val="CharStyle13"/>
                          <w:b/>
                          <w:bCs/>
                          <w:i/>
                          <w:iCs/>
                        </w:rPr>
                        <w:t xml:space="preserve">10 </w:t>
                      </w:r>
                      <w:r>
                        <w:rPr>
                          <w:rStyle w:val="CharStyle13"/>
                          <w:b/>
                          <w:bCs/>
                        </w:rPr>
                        <w:t>2024.05.13 08:19.04 +0200</w:t>
                      </w:r>
                      <w:r>
                        <w:rPr>
                          <w:rStyle w:val="CharStyle13"/>
                          <w:b/>
                          <w:bCs/>
                          <w:vertAlign w:val="superscript"/>
                        </w:rPr>
                        <w:t>1</w:t>
                      </w:r>
                    </w:p>
                  </w:txbxContent>
                </v:textbox>
                <w10:wrap type="topAndBottom" anchorx="page" anchory="margin"/>
              </v:shape>
            </w:pict>
          </mc:Fallback>
        </mc:AlternateContent>
      </w:r>
      <w:r>
        <mc:AlternateContent>
          <mc:Choice Requires="wps">
            <w:drawing>
              <wp:anchor distT="901065" distB="3175" distL="114300" distR="3427730" simplePos="0" relativeHeight="125829380" behindDoc="0" locked="0" layoutInCell="1" allowOverlap="1">
                <wp:simplePos x="0" y="0"/>
                <wp:positionH relativeFrom="page">
                  <wp:posOffset>1032510</wp:posOffset>
                </wp:positionH>
                <wp:positionV relativeFrom="margin">
                  <wp:posOffset>7732395</wp:posOffset>
                </wp:positionV>
                <wp:extent cx="1383665" cy="502920"/>
                <wp:wrapTopAndBottom/>
                <wp:docPr id="7" name="Shape 7"/>
                <a:graphic xmlns:a="http://schemas.openxmlformats.org/drawingml/2006/main">
                  <a:graphicData uri="http://schemas.microsoft.com/office/word/2010/wordprocessingShape">
                    <wps:wsp>
                      <wps:cNvSpPr txBox="1"/>
                      <wps:spPr>
                        <a:xfrm>
                          <a:ext cx="1383665" cy="502920"/>
                        </a:xfrm>
                        <a:prstGeom prst="rect"/>
                        <a:noFill/>
                      </wps:spPr>
                      <wps:txbx>
                        <w:txbxContent>
                          <w:p>
                            <w:pPr>
                              <w:pStyle w:val="Style15"/>
                              <w:keepNext w:val="0"/>
                              <w:keepLines w:val="0"/>
                              <w:widowControl w:val="0"/>
                              <w:shd w:val="clear" w:color="auto" w:fill="auto"/>
                              <w:bidi w:val="0"/>
                              <w:spacing w:before="0" w:after="0" w:line="295" w:lineRule="auto"/>
                              <w:ind w:left="0" w:right="0" w:firstLine="0"/>
                              <w:jc w:val="left"/>
                            </w:pPr>
                            <w:r>
                              <w:rPr>
                                <w:rStyle w:val="CharStyle16"/>
                              </w:rPr>
                              <w:t>MUDr. Hana Albrechtová ředitelka</w:t>
                            </w:r>
                          </w:p>
                          <w:p>
                            <w:pPr>
                              <w:pStyle w:val="Style15"/>
                              <w:keepNext w:val="0"/>
                              <w:keepLines w:val="0"/>
                              <w:widowControl w:val="0"/>
                              <w:shd w:val="clear" w:color="auto" w:fill="auto"/>
                              <w:bidi w:val="0"/>
                              <w:spacing w:before="0" w:after="0" w:line="295" w:lineRule="auto"/>
                              <w:ind w:left="0" w:right="0" w:firstLine="0"/>
                              <w:jc w:val="left"/>
                            </w:pPr>
                            <w:r>
                              <w:rPr>
                                <w:rStyle w:val="CharStyle16"/>
                                <w:b/>
                                <w:bCs/>
                              </w:rPr>
                              <w:t>Kupující</w:t>
                            </w:r>
                          </w:p>
                        </w:txbxContent>
                      </wps:txbx>
                      <wps:bodyPr lIns="0" tIns="0" rIns="0" bIns="0">
                        <a:noAutoFit/>
                      </wps:bodyPr>
                    </wps:wsp>
                  </a:graphicData>
                </a:graphic>
              </wp:anchor>
            </w:drawing>
          </mc:Choice>
          <mc:Fallback>
            <w:pict>
              <v:shape id="_x0000_s1033" type="#_x0000_t202" style="position:absolute;margin-left:81.299999999999997pt;margin-top:608.85000000000002pt;width:108.95pt;height:39.600000000000001pt;z-index:-125829373;mso-wrap-distance-left:9.pt;mso-wrap-distance-top:70.950000000000003pt;mso-wrap-distance-right:269.89999999999998pt;mso-wrap-distance-bottom:0.25pt;mso-position-horizontal-relative:page;mso-position-vertical-relative:margin" filled="f" stroked="f">
                <v:textbox inset="0,0,0,0">
                  <w:txbxContent>
                    <w:p>
                      <w:pPr>
                        <w:pStyle w:val="Style15"/>
                        <w:keepNext w:val="0"/>
                        <w:keepLines w:val="0"/>
                        <w:widowControl w:val="0"/>
                        <w:shd w:val="clear" w:color="auto" w:fill="auto"/>
                        <w:bidi w:val="0"/>
                        <w:spacing w:before="0" w:after="0" w:line="295" w:lineRule="auto"/>
                        <w:ind w:left="0" w:right="0" w:firstLine="0"/>
                        <w:jc w:val="left"/>
                      </w:pPr>
                      <w:r>
                        <w:rPr>
                          <w:rStyle w:val="CharStyle16"/>
                        </w:rPr>
                        <w:t>MUDr. Hana Albrechtová ředitelka</w:t>
                      </w:r>
                    </w:p>
                    <w:p>
                      <w:pPr>
                        <w:pStyle w:val="Style15"/>
                        <w:keepNext w:val="0"/>
                        <w:keepLines w:val="0"/>
                        <w:widowControl w:val="0"/>
                        <w:shd w:val="clear" w:color="auto" w:fill="auto"/>
                        <w:bidi w:val="0"/>
                        <w:spacing w:before="0" w:after="0" w:line="295" w:lineRule="auto"/>
                        <w:ind w:left="0" w:right="0" w:firstLine="0"/>
                        <w:jc w:val="left"/>
                      </w:pPr>
                      <w:r>
                        <w:rPr>
                          <w:rStyle w:val="CharStyle16"/>
                          <w:b/>
                          <w:bCs/>
                        </w:rPr>
                        <w:t>Kupující</w:t>
                      </w:r>
                    </w:p>
                  </w:txbxContent>
                </v:textbox>
                <w10:wrap type="topAndBottom" anchorx="page" anchory="margin"/>
              </v:shape>
            </w:pict>
          </mc:Fallback>
        </mc:AlternateContent>
      </w:r>
      <w:r>
        <mc:AlternateContent>
          <mc:Choice Requires="wps">
            <w:drawing>
              <wp:anchor distT="904240" distB="0" distL="3366770" distR="236220" simplePos="0" relativeHeight="125829382" behindDoc="0" locked="0" layoutInCell="1" allowOverlap="1">
                <wp:simplePos x="0" y="0"/>
                <wp:positionH relativeFrom="page">
                  <wp:posOffset>4284980</wp:posOffset>
                </wp:positionH>
                <wp:positionV relativeFrom="margin">
                  <wp:posOffset>7735570</wp:posOffset>
                </wp:positionV>
                <wp:extent cx="1322705" cy="502920"/>
                <wp:wrapTopAndBottom/>
                <wp:docPr id="9" name="Shape 9"/>
                <a:graphic xmlns:a="http://schemas.openxmlformats.org/drawingml/2006/main">
                  <a:graphicData uri="http://schemas.microsoft.com/office/word/2010/wordprocessingShape">
                    <wps:wsp>
                      <wps:cNvSpPr txBox="1"/>
                      <wps:spPr>
                        <a:xfrm>
                          <a:ext cx="1322705" cy="502920"/>
                        </a:xfrm>
                        <a:prstGeom prst="rect"/>
                        <a:noFill/>
                      </wps:spPr>
                      <wps:txbx>
                        <w:txbxContent>
                          <w:p>
                            <w:pPr>
                              <w:pStyle w:val="Style15"/>
                              <w:keepNext w:val="0"/>
                              <w:keepLines w:val="0"/>
                              <w:widowControl w:val="0"/>
                              <w:shd w:val="clear" w:color="auto" w:fill="auto"/>
                              <w:bidi w:val="0"/>
                              <w:spacing w:before="0" w:after="0" w:line="295" w:lineRule="auto"/>
                              <w:ind w:left="0" w:right="0" w:firstLine="0"/>
                              <w:jc w:val="left"/>
                            </w:pPr>
                            <w:r>
                              <w:rPr>
                                <w:rStyle w:val="CharStyle16"/>
                              </w:rPr>
                              <w:t>Milan Dvořáček jednatel VH-COM, s.r.o.</w:t>
                            </w:r>
                          </w:p>
                          <w:p>
                            <w:pPr>
                              <w:pStyle w:val="Style15"/>
                              <w:keepNext w:val="0"/>
                              <w:keepLines w:val="0"/>
                              <w:widowControl w:val="0"/>
                              <w:shd w:val="clear" w:color="auto" w:fill="auto"/>
                              <w:bidi w:val="0"/>
                              <w:spacing w:before="0" w:after="0" w:line="295" w:lineRule="auto"/>
                              <w:ind w:left="0" w:right="0" w:firstLine="0"/>
                              <w:jc w:val="left"/>
                            </w:pPr>
                            <w:r>
                              <w:rPr>
                                <w:rStyle w:val="CharStyle16"/>
                                <w:b/>
                                <w:bCs/>
                              </w:rPr>
                              <w:t>Prodávající</w:t>
                            </w:r>
                          </w:p>
                        </w:txbxContent>
                      </wps:txbx>
                      <wps:bodyPr lIns="0" tIns="0" rIns="0" bIns="0">
                        <a:noAutoFit/>
                      </wps:bodyPr>
                    </wps:wsp>
                  </a:graphicData>
                </a:graphic>
              </wp:anchor>
            </w:drawing>
          </mc:Choice>
          <mc:Fallback>
            <w:pict>
              <v:shape id="_x0000_s1035" type="#_x0000_t202" style="position:absolute;margin-left:337.40000000000003pt;margin-top:609.10000000000002pt;width:104.15000000000001pt;height:39.600000000000001pt;z-index:-125829371;mso-wrap-distance-left:265.10000000000002pt;mso-wrap-distance-top:71.200000000000003pt;mso-wrap-distance-right:18.600000000000001pt;mso-position-horizontal-relative:page;mso-position-vertical-relative:margin" filled="f" stroked="f">
                <v:textbox inset="0,0,0,0">
                  <w:txbxContent>
                    <w:p>
                      <w:pPr>
                        <w:pStyle w:val="Style15"/>
                        <w:keepNext w:val="0"/>
                        <w:keepLines w:val="0"/>
                        <w:widowControl w:val="0"/>
                        <w:shd w:val="clear" w:color="auto" w:fill="auto"/>
                        <w:bidi w:val="0"/>
                        <w:spacing w:before="0" w:after="0" w:line="295" w:lineRule="auto"/>
                        <w:ind w:left="0" w:right="0" w:firstLine="0"/>
                        <w:jc w:val="left"/>
                      </w:pPr>
                      <w:r>
                        <w:rPr>
                          <w:rStyle w:val="CharStyle16"/>
                        </w:rPr>
                        <w:t>Milan Dvořáček jednatel VH-COM, s.r.o.</w:t>
                      </w:r>
                    </w:p>
                    <w:p>
                      <w:pPr>
                        <w:pStyle w:val="Style15"/>
                        <w:keepNext w:val="0"/>
                        <w:keepLines w:val="0"/>
                        <w:widowControl w:val="0"/>
                        <w:shd w:val="clear" w:color="auto" w:fill="auto"/>
                        <w:bidi w:val="0"/>
                        <w:spacing w:before="0" w:after="0" w:line="295" w:lineRule="auto"/>
                        <w:ind w:left="0" w:right="0" w:firstLine="0"/>
                        <w:jc w:val="left"/>
                      </w:pPr>
                      <w:r>
                        <w:rPr>
                          <w:rStyle w:val="CharStyle16"/>
                          <w:b/>
                          <w:bCs/>
                        </w:rPr>
                        <w:t>Prodávající</w:t>
                      </w:r>
                    </w:p>
                  </w:txbxContent>
                </v:textbox>
                <w10:wrap type="topAndBottom" anchorx="page" anchory="margin"/>
              </v:shape>
            </w:pict>
          </mc:Fallback>
        </mc:AlternateContent>
      </w:r>
      <w:r>
        <w:rPr>
          <w:rStyle w:val="CharStyle16"/>
        </w:rPr>
        <w:t>Smlouva je vyhotovena v elektronické podobě, a to se zaručenými elektronickými podpisy zástupců smluvních stran založenými na kvalifikovaném certifikátu.</w:t>
      </w:r>
      <w:r>
        <w:rPr>
          <w:rStyle w:val="CharStyle16"/>
          <w:vertAlign w:val="superscript"/>
        </w:rPr>
        <w:t>1</w:t>
      </w:r>
    </w:p>
    <w:p>
      <w:pPr>
        <w:widowControl w:val="0"/>
        <w:spacing w:line="240" w:lineRule="exact"/>
        <w:rPr>
          <w:sz w:val="19"/>
          <w:szCs w:val="19"/>
        </w:rPr>
      </w:pPr>
    </w:p>
    <w:p>
      <w:pPr>
        <w:widowControl w:val="0"/>
        <w:spacing w:before="38" w:after="3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81" w:right="0" w:bottom="1681" w:left="0" w:header="0" w:footer="3" w:gutter="0"/>
          <w:cols w:space="720"/>
          <w:noEndnote/>
          <w:rtlGutter w:val="0"/>
          <w:docGrid w:linePitch="360"/>
        </w:sectPr>
      </w:pPr>
    </w:p>
    <w:p>
      <w:pPr>
        <w:pStyle w:val="Style15"/>
        <w:keepNext w:val="0"/>
        <w:keepLines w:val="0"/>
        <w:widowControl w:val="0"/>
        <w:shd w:val="clear" w:color="auto" w:fill="auto"/>
        <w:tabs>
          <w:tab w:pos="1301" w:val="left"/>
        </w:tabs>
        <w:bidi w:val="0"/>
        <w:spacing w:before="0" w:after="40" w:line="240" w:lineRule="auto"/>
        <w:ind w:left="0" w:right="0" w:firstLine="0"/>
        <w:jc w:val="left"/>
      </w:pPr>
      <w:r>
        <w:rPr>
          <w:rStyle w:val="CharStyle16"/>
          <w:b/>
          <w:bCs/>
        </w:rPr>
        <w:t>Příloha č. 1</w:t>
        <w:tab/>
        <w:t>Technická specifikace</w:t>
      </w:r>
    </w:p>
    <w:p>
      <w:pPr>
        <w:pStyle w:val="Style15"/>
        <w:keepNext w:val="0"/>
        <w:keepLines w:val="0"/>
        <w:widowControl w:val="0"/>
        <w:shd w:val="clear" w:color="auto" w:fill="auto"/>
        <w:tabs>
          <w:tab w:pos="1301" w:val="left"/>
        </w:tabs>
        <w:bidi w:val="0"/>
        <w:spacing w:before="0" w:after="0" w:line="240" w:lineRule="auto"/>
        <w:ind w:left="0" w:right="0" w:firstLine="0"/>
        <w:jc w:val="left"/>
        <w:sectPr>
          <w:footnotePr>
            <w:pos w:val="pageBottom"/>
            <w:numFmt w:val="decimal"/>
            <w:numRestart w:val="continuous"/>
          </w:footnotePr>
          <w:type w:val="continuous"/>
          <w:pgSz w:w="11900" w:h="16840"/>
          <w:pgMar w:top="1681" w:right="1512" w:bottom="1681" w:left="1628" w:header="0" w:footer="3" w:gutter="0"/>
          <w:cols w:space="720"/>
          <w:noEndnote/>
          <w:rtlGutter w:val="0"/>
          <w:docGrid w:linePitch="360"/>
        </w:sectPr>
      </w:pPr>
      <w:r>
        <w:rPr>
          <w:rStyle w:val="CharStyle16"/>
          <w:b/>
          <w:bCs/>
        </w:rPr>
        <w:t>Příloha č. 2</w:t>
        <w:tab/>
        <w:t>Rozpočet</w:t>
      </w:r>
    </w:p>
    <w:p>
      <w:pPr>
        <w:pStyle w:val="Style46"/>
        <w:keepNext w:val="0"/>
        <w:keepLines w:val="0"/>
        <w:widowControl w:val="0"/>
        <w:shd w:val="clear" w:color="auto" w:fill="auto"/>
        <w:bidi w:val="0"/>
        <w:spacing w:before="0" w:after="2520" w:line="240" w:lineRule="auto"/>
        <w:ind w:left="0" w:right="0" w:firstLine="0"/>
        <w:jc w:val="left"/>
      </w:pPr>
      <w:r>
        <w:rPr>
          <w:rStyle w:val="CharStyle47"/>
          <w:b/>
          <w:bCs/>
        </w:rPr>
        <w:t>Příloha č. 1 Technická specifikace</w:t>
      </w:r>
    </w:p>
    <w:p>
      <w:pPr>
        <w:pStyle w:val="Style51"/>
        <w:keepNext/>
        <w:keepLines/>
        <w:widowControl w:val="0"/>
        <w:shd w:val="clear" w:color="auto" w:fill="auto"/>
        <w:bidi w:val="0"/>
        <w:spacing w:before="0" w:line="240" w:lineRule="auto"/>
        <w:ind w:left="0" w:right="0" w:firstLine="0"/>
        <w:jc w:val="center"/>
      </w:pPr>
      <w:bookmarkStart w:id="2" w:name="bookmark2"/>
      <w:r>
        <w:rPr>
          <w:rStyle w:val="CharStyle52"/>
          <w:b/>
          <w:bCs/>
        </w:rPr>
        <w:t>Modernizace záložní</w:t>
        <w:br/>
        <w:t>radiokomunikační sítě - 2024</w:t>
      </w:r>
      <w:bookmarkEnd w:id="2"/>
    </w:p>
    <w:p>
      <w:pPr>
        <w:pStyle w:val="Style53"/>
        <w:keepNext/>
        <w:keepLines/>
        <w:widowControl w:val="0"/>
        <w:shd w:val="clear" w:color="auto" w:fill="auto"/>
        <w:bidi w:val="0"/>
        <w:spacing w:before="0" w:after="220" w:line="240" w:lineRule="auto"/>
        <w:ind w:left="0" w:right="0" w:firstLine="0"/>
        <w:jc w:val="left"/>
      </w:pPr>
      <w:bookmarkStart w:id="4" w:name="bookmark4"/>
      <w:r>
        <w:rPr>
          <w:rStyle w:val="CharStyle54"/>
          <w:b/>
          <w:bCs/>
        </w:rPr>
        <w:t>Obsah</w:t>
      </w:r>
      <w:bookmarkEnd w:id="4"/>
    </w:p>
    <w:p>
      <w:pPr>
        <w:pStyle w:val="Style55"/>
        <w:keepNext w:val="0"/>
        <w:keepLines w:val="0"/>
        <w:widowControl w:val="0"/>
        <w:shd w:val="clear" w:color="auto" w:fill="auto"/>
        <w:tabs>
          <w:tab w:leader="dot" w:pos="8809" w:val="right"/>
        </w:tabs>
        <w:bidi w:val="0"/>
        <w:spacing w:before="0" w:line="240" w:lineRule="auto"/>
        <w:ind w:left="0" w:right="0" w:firstLine="0"/>
        <w:jc w:val="both"/>
      </w:pPr>
      <w:r>
        <w:fldChar w:fldCharType="begin"/>
        <w:instrText xml:space="preserve"> TOC \o "1-5" \h \z </w:instrText>
        <w:fldChar w:fldCharType="separate"/>
      </w:r>
      <w:r>
        <w:rPr>
          <w:rStyle w:val="CharStyle56"/>
        </w:rPr>
        <w:t>Seznam pojmů a zkratek</w:t>
        <w:tab/>
        <w:t>2</w:t>
      </w:r>
    </w:p>
    <w:p>
      <w:pPr>
        <w:pStyle w:val="Style55"/>
        <w:keepNext w:val="0"/>
        <w:keepLines w:val="0"/>
        <w:widowControl w:val="0"/>
        <w:numPr>
          <w:ilvl w:val="1"/>
          <w:numId w:val="5"/>
        </w:numPr>
        <w:shd w:val="clear" w:color="auto" w:fill="auto"/>
        <w:tabs>
          <w:tab w:pos="819" w:val="left"/>
          <w:tab w:leader="dot" w:pos="6579" w:val="right"/>
          <w:tab w:leader="dot" w:pos="8609" w:val="right"/>
        </w:tabs>
        <w:bidi w:val="0"/>
        <w:spacing w:before="0" w:line="240" w:lineRule="auto"/>
        <w:ind w:left="0" w:right="0" w:firstLine="200"/>
        <w:jc w:val="both"/>
      </w:pPr>
      <w:r>
        <w:rPr>
          <w:rStyle w:val="CharStyle56"/>
        </w:rPr>
        <w:t>Standard DMR</w:t>
        <w:tab/>
        <w:t>,</w:t>
        <w:tab/>
        <w:t xml:space="preserve">  2</w:t>
      </w:r>
    </w:p>
    <w:p>
      <w:pPr>
        <w:pStyle w:val="Style55"/>
        <w:keepNext w:val="0"/>
        <w:keepLines w:val="0"/>
        <w:widowControl w:val="0"/>
        <w:numPr>
          <w:ilvl w:val="1"/>
          <w:numId w:val="5"/>
        </w:numPr>
        <w:shd w:val="clear" w:color="auto" w:fill="auto"/>
        <w:tabs>
          <w:tab w:pos="819" w:val="left"/>
          <w:tab w:leader="dot" w:pos="8609" w:val="right"/>
        </w:tabs>
        <w:bidi w:val="0"/>
        <w:spacing w:before="0" w:line="240" w:lineRule="auto"/>
        <w:ind w:left="0" w:right="0" w:firstLine="200"/>
        <w:jc w:val="both"/>
      </w:pPr>
      <w:r>
        <w:rPr>
          <w:rStyle w:val="CharStyle56"/>
        </w:rPr>
        <w:t>DMRTierlI</w:t>
        <w:tab/>
        <w:t>3</w:t>
      </w:r>
    </w:p>
    <w:p>
      <w:pPr>
        <w:pStyle w:val="Style55"/>
        <w:keepNext w:val="0"/>
        <w:keepLines w:val="0"/>
        <w:widowControl w:val="0"/>
        <w:numPr>
          <w:ilvl w:val="2"/>
          <w:numId w:val="5"/>
        </w:numPr>
        <w:shd w:val="clear" w:color="auto" w:fill="auto"/>
        <w:tabs>
          <w:tab w:pos="1212" w:val="left"/>
          <w:tab w:leader="dot" w:pos="8658" w:val="right"/>
        </w:tabs>
        <w:bidi w:val="0"/>
        <w:spacing w:before="0" w:line="240" w:lineRule="auto"/>
        <w:ind w:left="0" w:right="0"/>
        <w:jc w:val="both"/>
      </w:pPr>
      <w:hyperlink w:anchor="bookmark6" w:tooltip="Current Document">
        <w:r>
          <w:rPr>
            <w:rStyle w:val="CharStyle56"/>
          </w:rPr>
          <w:t>Uživatelské funkce</w:t>
          <w:tab/>
          <w:t>3</w:t>
        </w:r>
      </w:hyperlink>
    </w:p>
    <w:p>
      <w:pPr>
        <w:pStyle w:val="Style55"/>
        <w:keepNext w:val="0"/>
        <w:keepLines w:val="0"/>
        <w:widowControl w:val="0"/>
        <w:numPr>
          <w:ilvl w:val="2"/>
          <w:numId w:val="5"/>
        </w:numPr>
        <w:shd w:val="clear" w:color="auto" w:fill="auto"/>
        <w:tabs>
          <w:tab w:pos="1212" w:val="left"/>
          <w:tab w:leader="dot" w:pos="8658" w:val="right"/>
        </w:tabs>
        <w:bidi w:val="0"/>
        <w:spacing w:before="0" w:line="240" w:lineRule="auto"/>
        <w:ind w:left="0" w:right="0"/>
        <w:jc w:val="both"/>
      </w:pPr>
      <w:hyperlink w:anchor="bookmark8" w:tooltip="Current Document">
        <w:r>
          <w:rPr>
            <w:rStyle w:val="CharStyle56"/>
          </w:rPr>
          <w:t>Systémová rozhraní DMR</w:t>
          <w:tab/>
          <w:t>4</w:t>
        </w:r>
      </w:hyperlink>
    </w:p>
    <w:p>
      <w:pPr>
        <w:pStyle w:val="Style55"/>
        <w:keepNext w:val="0"/>
        <w:keepLines w:val="0"/>
        <w:widowControl w:val="0"/>
        <w:numPr>
          <w:ilvl w:val="1"/>
          <w:numId w:val="5"/>
        </w:numPr>
        <w:shd w:val="clear" w:color="auto" w:fill="auto"/>
        <w:tabs>
          <w:tab w:pos="819" w:val="left"/>
          <w:tab w:leader="dot" w:pos="8609" w:val="right"/>
        </w:tabs>
        <w:bidi w:val="0"/>
        <w:spacing w:before="0" w:line="240" w:lineRule="auto"/>
        <w:ind w:left="0" w:right="0" w:firstLine="200"/>
        <w:jc w:val="both"/>
      </w:pPr>
      <w:r>
        <w:rPr>
          <w:rStyle w:val="CharStyle56"/>
        </w:rPr>
        <w:t>Stávající rádiová síť</w:t>
        <w:tab/>
        <w:t xml:space="preserve">   4</w:t>
      </w:r>
    </w:p>
    <w:p>
      <w:pPr>
        <w:pStyle w:val="Style55"/>
        <w:keepNext w:val="0"/>
        <w:keepLines w:val="0"/>
        <w:widowControl w:val="0"/>
        <w:numPr>
          <w:ilvl w:val="2"/>
          <w:numId w:val="5"/>
        </w:numPr>
        <w:shd w:val="clear" w:color="auto" w:fill="auto"/>
        <w:tabs>
          <w:tab w:pos="1212" w:val="left"/>
          <w:tab w:leader="dot" w:pos="8658" w:val="right"/>
        </w:tabs>
        <w:bidi w:val="0"/>
        <w:spacing w:before="0" w:line="240" w:lineRule="auto"/>
        <w:ind w:left="0" w:right="0"/>
        <w:jc w:val="both"/>
      </w:pPr>
      <w:hyperlink w:anchor="bookmark10" w:tooltip="Current Document">
        <w:r>
          <w:rPr>
            <w:rStyle w:val="CharStyle56"/>
          </w:rPr>
          <w:t>Retranslační stanice</w:t>
          <w:tab/>
          <w:t>4</w:t>
        </w:r>
      </w:hyperlink>
    </w:p>
    <w:p>
      <w:pPr>
        <w:pStyle w:val="Style55"/>
        <w:keepNext w:val="0"/>
        <w:keepLines w:val="0"/>
        <w:widowControl w:val="0"/>
        <w:numPr>
          <w:ilvl w:val="2"/>
          <w:numId w:val="5"/>
        </w:numPr>
        <w:shd w:val="clear" w:color="auto" w:fill="auto"/>
        <w:tabs>
          <w:tab w:pos="1212" w:val="left"/>
          <w:tab w:leader="dot" w:pos="8658" w:val="right"/>
        </w:tabs>
        <w:bidi w:val="0"/>
        <w:spacing w:before="0" w:line="240" w:lineRule="auto"/>
        <w:ind w:left="0" w:right="0"/>
        <w:jc w:val="both"/>
      </w:pPr>
      <w:hyperlink w:anchor="bookmark12" w:tooltip="Current Document">
        <w:r>
          <w:rPr>
            <w:rStyle w:val="CharStyle56"/>
          </w:rPr>
          <w:t>Krajské zdravotnické operační středisko (KZOS)</w:t>
          <w:tab/>
          <w:t>5</w:t>
        </w:r>
      </w:hyperlink>
    </w:p>
    <w:p>
      <w:pPr>
        <w:pStyle w:val="Style55"/>
        <w:keepNext w:val="0"/>
        <w:keepLines w:val="0"/>
        <w:widowControl w:val="0"/>
        <w:numPr>
          <w:ilvl w:val="2"/>
          <w:numId w:val="5"/>
        </w:numPr>
        <w:shd w:val="clear" w:color="auto" w:fill="auto"/>
        <w:tabs>
          <w:tab w:pos="1212" w:val="left"/>
          <w:tab w:leader="dot" w:pos="8658" w:val="right"/>
        </w:tabs>
        <w:bidi w:val="0"/>
        <w:spacing w:before="0" w:line="240" w:lineRule="auto"/>
        <w:ind w:left="0" w:right="0"/>
        <w:jc w:val="both"/>
      </w:pPr>
      <w:hyperlink w:anchor="bookmark14" w:tooltip="Current Document">
        <w:r>
          <w:rPr>
            <w:rStyle w:val="CharStyle56"/>
          </w:rPr>
          <w:t>Vozidlové a ruční radiostanice</w:t>
          <w:tab/>
          <w:t>5</w:t>
        </w:r>
      </w:hyperlink>
    </w:p>
    <w:p>
      <w:pPr>
        <w:pStyle w:val="Style55"/>
        <w:keepNext w:val="0"/>
        <w:keepLines w:val="0"/>
        <w:widowControl w:val="0"/>
        <w:numPr>
          <w:ilvl w:val="1"/>
          <w:numId w:val="5"/>
        </w:numPr>
        <w:shd w:val="clear" w:color="auto" w:fill="auto"/>
        <w:tabs>
          <w:tab w:pos="819" w:val="left"/>
          <w:tab w:leader="dot" w:pos="8609" w:val="right"/>
        </w:tabs>
        <w:bidi w:val="0"/>
        <w:spacing w:before="0" w:line="240" w:lineRule="auto"/>
        <w:ind w:left="0" w:right="0" w:firstLine="200"/>
        <w:jc w:val="both"/>
      </w:pPr>
      <w:r>
        <w:rPr>
          <w:rStyle w:val="CharStyle56"/>
        </w:rPr>
        <w:t>Rádiová síť DMR</w:t>
        <w:tab/>
        <w:t>6</w:t>
      </w:r>
    </w:p>
    <w:p>
      <w:pPr>
        <w:pStyle w:val="Style55"/>
        <w:keepNext w:val="0"/>
        <w:keepLines w:val="0"/>
        <w:widowControl w:val="0"/>
        <w:numPr>
          <w:ilvl w:val="2"/>
          <w:numId w:val="5"/>
        </w:numPr>
        <w:shd w:val="clear" w:color="auto" w:fill="auto"/>
        <w:tabs>
          <w:tab w:pos="1212" w:val="left"/>
          <w:tab w:leader="dot" w:pos="8658" w:val="right"/>
        </w:tabs>
        <w:bidi w:val="0"/>
        <w:spacing w:before="0" w:line="240" w:lineRule="auto"/>
        <w:ind w:left="0" w:right="0"/>
        <w:jc w:val="both"/>
      </w:pPr>
      <w:hyperlink w:anchor="bookmark16" w:tooltip="Current Document">
        <w:r>
          <w:rPr>
            <w:rStyle w:val="CharStyle56"/>
          </w:rPr>
          <w:t>Retranslační stanice (převaděč)</w:t>
          <w:tab/>
          <w:t>6</w:t>
        </w:r>
      </w:hyperlink>
    </w:p>
    <w:p>
      <w:pPr>
        <w:pStyle w:val="Style55"/>
        <w:keepNext w:val="0"/>
        <w:keepLines w:val="0"/>
        <w:widowControl w:val="0"/>
        <w:numPr>
          <w:ilvl w:val="2"/>
          <w:numId w:val="5"/>
        </w:numPr>
        <w:shd w:val="clear" w:color="auto" w:fill="auto"/>
        <w:tabs>
          <w:tab w:pos="1212" w:val="left"/>
          <w:tab w:leader="dot" w:pos="8658" w:val="right"/>
        </w:tabs>
        <w:bidi w:val="0"/>
        <w:spacing w:before="0" w:line="240" w:lineRule="auto"/>
        <w:ind w:left="0" w:right="0"/>
        <w:jc w:val="both"/>
      </w:pPr>
      <w:r>
        <w:rPr>
          <w:rStyle w:val="CharStyle56"/>
        </w:rPr>
        <w:t>Požadavky na prvky anténních systémů</w:t>
        <w:tab/>
        <w:t>7</w:t>
      </w:r>
    </w:p>
    <w:p>
      <w:pPr>
        <w:pStyle w:val="Style55"/>
        <w:keepNext w:val="0"/>
        <w:keepLines w:val="0"/>
        <w:widowControl w:val="0"/>
        <w:numPr>
          <w:ilvl w:val="2"/>
          <w:numId w:val="7"/>
        </w:numPr>
        <w:shd w:val="clear" w:color="auto" w:fill="auto"/>
        <w:tabs>
          <w:tab w:pos="1212" w:val="left"/>
          <w:tab w:leader="dot" w:pos="8658" w:val="right"/>
        </w:tabs>
        <w:bidi w:val="0"/>
        <w:spacing w:before="0" w:line="240" w:lineRule="auto"/>
        <w:ind w:left="0" w:right="0"/>
        <w:jc w:val="both"/>
      </w:pPr>
      <w:hyperlink w:anchor="bookmark18" w:tooltip="Current Document">
        <w:r>
          <w:rPr>
            <w:rStyle w:val="CharStyle56"/>
          </w:rPr>
          <w:t>Požadavky na instalaci</w:t>
          <w:tab/>
          <w:t>8</w:t>
        </w:r>
      </w:hyperlink>
      <w:r>
        <w:fldChar w:fldCharType="end"/>
      </w:r>
    </w:p>
    <w:p>
      <w:pPr>
        <w:pStyle w:val="Style46"/>
        <w:keepNext w:val="0"/>
        <w:keepLines w:val="0"/>
        <w:widowControl w:val="0"/>
        <w:shd w:val="clear" w:color="auto" w:fill="auto"/>
        <w:bidi w:val="0"/>
        <w:spacing w:before="0" w:after="300" w:line="240" w:lineRule="auto"/>
        <w:ind w:left="0" w:right="0" w:firstLine="0"/>
        <w:jc w:val="left"/>
      </w:pPr>
      <w:r>
        <w:rPr>
          <w:rStyle w:val="CharStyle47"/>
          <w:b/>
          <w:bCs/>
        </w:rPr>
        <w:t>Seznam pojmů a zkratek</w:t>
      </w:r>
    </w:p>
    <w:p>
      <w:pPr>
        <w:pStyle w:val="Style15"/>
        <w:keepNext w:val="0"/>
        <w:keepLines w:val="0"/>
        <w:widowControl w:val="0"/>
        <w:numPr>
          <w:ilvl w:val="0"/>
          <w:numId w:val="9"/>
        </w:numPr>
        <w:shd w:val="clear" w:color="auto" w:fill="auto"/>
        <w:tabs>
          <w:tab w:pos="719" w:val="left"/>
        </w:tabs>
        <w:bidi w:val="0"/>
        <w:spacing w:before="0" w:after="220"/>
        <w:ind w:left="680" w:right="0" w:hanging="320"/>
        <w:jc w:val="both"/>
      </w:pPr>
      <w:r>
        <w:rPr>
          <w:rStyle w:val="CharStyle16"/>
          <w:b/>
          <w:bCs/>
        </w:rPr>
        <w:t xml:space="preserve">retranslační, základnová (rádio)stanice, převaděč - </w:t>
      </w:r>
      <w:r>
        <w:rPr>
          <w:rStyle w:val="CharStyle16"/>
        </w:rPr>
        <w:t>duplexní rádiová stanice zajišťující pokrytí na území svého vysílání a příjmu,</w:t>
      </w:r>
    </w:p>
    <w:p>
      <w:pPr>
        <w:pStyle w:val="Style15"/>
        <w:keepNext w:val="0"/>
        <w:keepLines w:val="0"/>
        <w:widowControl w:val="0"/>
        <w:numPr>
          <w:ilvl w:val="0"/>
          <w:numId w:val="9"/>
        </w:numPr>
        <w:shd w:val="clear" w:color="auto" w:fill="auto"/>
        <w:tabs>
          <w:tab w:pos="686" w:val="left"/>
        </w:tabs>
        <w:bidi w:val="0"/>
        <w:spacing w:before="0" w:after="220"/>
        <w:ind w:left="0" w:right="0" w:firstLine="340"/>
        <w:jc w:val="left"/>
      </w:pPr>
      <w:r>
        <w:rPr>
          <w:rStyle w:val="CharStyle16"/>
          <w:b/>
          <w:bCs/>
        </w:rPr>
        <w:t xml:space="preserve">ČTÚ - </w:t>
      </w:r>
      <w:r>
        <w:rPr>
          <w:rStyle w:val="CharStyle16"/>
        </w:rPr>
        <w:t>Český telekomunikační úřad</w:t>
      </w:r>
    </w:p>
    <w:p>
      <w:pPr>
        <w:pStyle w:val="Style15"/>
        <w:keepNext w:val="0"/>
        <w:keepLines w:val="0"/>
        <w:widowControl w:val="0"/>
        <w:numPr>
          <w:ilvl w:val="0"/>
          <w:numId w:val="9"/>
        </w:numPr>
        <w:shd w:val="clear" w:color="auto" w:fill="auto"/>
        <w:tabs>
          <w:tab w:pos="686" w:val="left"/>
        </w:tabs>
        <w:bidi w:val="0"/>
        <w:spacing w:before="0" w:after="220"/>
        <w:ind w:left="0" w:right="0" w:firstLine="340"/>
        <w:jc w:val="both"/>
      </w:pPr>
      <w:r>
        <w:rPr>
          <w:rStyle w:val="CharStyle16"/>
          <w:b/>
          <w:bCs/>
        </w:rPr>
        <w:t xml:space="preserve">DN1R Tier II - </w:t>
      </w:r>
      <w:r>
        <w:rPr>
          <w:rStyle w:val="CharStyle16"/>
        </w:rPr>
        <w:t>Standard radiové komunikace ETS1TS 102 361</w:t>
      </w:r>
    </w:p>
    <w:p>
      <w:pPr>
        <w:pStyle w:val="Style15"/>
        <w:keepNext w:val="0"/>
        <w:keepLines w:val="0"/>
        <w:widowControl w:val="0"/>
        <w:numPr>
          <w:ilvl w:val="0"/>
          <w:numId w:val="9"/>
        </w:numPr>
        <w:shd w:val="clear" w:color="auto" w:fill="auto"/>
        <w:tabs>
          <w:tab w:pos="719" w:val="left"/>
        </w:tabs>
        <w:bidi w:val="0"/>
        <w:spacing w:before="0" w:after="220"/>
        <w:ind w:left="680" w:right="0" w:hanging="320"/>
        <w:jc w:val="both"/>
      </w:pPr>
      <w:r>
        <w:rPr>
          <w:rStyle w:val="CharStyle16"/>
          <w:b/>
          <w:bCs/>
        </w:rPr>
        <w:t xml:space="preserve">linkový operátorský terminál - </w:t>
      </w:r>
      <w:r>
        <w:rPr>
          <w:rStyle w:val="CharStyle16"/>
        </w:rPr>
        <w:t>zařízení prd řízení radioprovozu připojené rozhraním ethemet do infrastruktury rádiové sítě</w:t>
      </w:r>
    </w:p>
    <w:p>
      <w:pPr>
        <w:pStyle w:val="Style15"/>
        <w:keepNext w:val="0"/>
        <w:keepLines w:val="0"/>
        <w:widowControl w:val="0"/>
        <w:numPr>
          <w:ilvl w:val="0"/>
          <w:numId w:val="9"/>
        </w:numPr>
        <w:shd w:val="clear" w:color="auto" w:fill="auto"/>
        <w:tabs>
          <w:tab w:pos="686" w:val="left"/>
        </w:tabs>
        <w:bidi w:val="0"/>
        <w:spacing w:before="0" w:after="220"/>
        <w:ind w:left="0" w:right="0" w:firstLine="340"/>
        <w:jc w:val="left"/>
      </w:pPr>
      <w:r>
        <w:rPr>
          <w:rStyle w:val="CharStyle16"/>
          <w:b/>
          <w:bCs/>
        </w:rPr>
        <w:t xml:space="preserve">PSV (VSWR) </w:t>
      </w:r>
      <w:r>
        <w:rPr>
          <w:rStyle w:val="CharStyle16"/>
        </w:rPr>
        <w:t>poměr stojatých vin</w:t>
      </w:r>
    </w:p>
    <w:p>
      <w:pPr>
        <w:pStyle w:val="Style15"/>
        <w:keepNext w:val="0"/>
        <w:keepLines w:val="0"/>
        <w:widowControl w:val="0"/>
        <w:numPr>
          <w:ilvl w:val="0"/>
          <w:numId w:val="9"/>
        </w:numPr>
        <w:shd w:val="clear" w:color="auto" w:fill="auto"/>
        <w:tabs>
          <w:tab w:pos="686" w:val="left"/>
        </w:tabs>
        <w:bidi w:val="0"/>
        <w:spacing w:before="0" w:after="220"/>
        <w:ind w:left="0" w:right="0" w:firstLine="340"/>
        <w:jc w:val="left"/>
      </w:pPr>
      <w:r>
        <w:rPr>
          <w:rStyle w:val="CharStyle16"/>
          <w:b/>
          <w:bCs/>
        </w:rPr>
        <w:t xml:space="preserve">ETSI - </w:t>
      </w:r>
      <w:r>
        <w:rPr>
          <w:rStyle w:val="CharStyle16"/>
        </w:rPr>
        <w:t>European Telecommunications Standards Institute</w:t>
      </w:r>
    </w:p>
    <w:p>
      <w:pPr>
        <w:pStyle w:val="Style15"/>
        <w:keepNext w:val="0"/>
        <w:keepLines w:val="0"/>
        <w:widowControl w:val="0"/>
        <w:numPr>
          <w:ilvl w:val="0"/>
          <w:numId w:val="9"/>
        </w:numPr>
        <w:shd w:val="clear" w:color="auto" w:fill="auto"/>
        <w:tabs>
          <w:tab w:pos="686" w:val="left"/>
        </w:tabs>
        <w:bidi w:val="0"/>
        <w:spacing w:before="0" w:after="220"/>
        <w:ind w:left="0" w:right="0" w:firstLine="340"/>
        <w:jc w:val="left"/>
      </w:pPr>
      <w:r>
        <w:rPr>
          <w:rStyle w:val="CharStyle16"/>
          <w:b/>
          <w:bCs/>
        </w:rPr>
        <w:t xml:space="preserve">ZZS JmK - </w:t>
      </w:r>
      <w:r>
        <w:rPr>
          <w:rStyle w:val="CharStyle16"/>
        </w:rPr>
        <w:t>Zdravotnická záchranná služba Jihomoravského kraje, p.o.</w:t>
      </w:r>
    </w:p>
    <w:p>
      <w:pPr>
        <w:pStyle w:val="Style15"/>
        <w:keepNext w:val="0"/>
        <w:keepLines w:val="0"/>
        <w:widowControl w:val="0"/>
        <w:numPr>
          <w:ilvl w:val="0"/>
          <w:numId w:val="9"/>
        </w:numPr>
        <w:shd w:val="clear" w:color="auto" w:fill="auto"/>
        <w:tabs>
          <w:tab w:pos="686" w:val="left"/>
        </w:tabs>
        <w:bidi w:val="0"/>
        <w:spacing w:before="0" w:after="220"/>
        <w:ind w:left="0" w:right="0" w:firstLine="340"/>
        <w:jc w:val="left"/>
      </w:pPr>
      <w:r>
        <w:rPr>
          <w:rStyle w:val="CharStyle16"/>
          <w:b/>
          <w:bCs/>
        </w:rPr>
        <w:t xml:space="preserve">VHF - </w:t>
      </w:r>
      <w:r>
        <w:rPr>
          <w:rStyle w:val="CharStyle16"/>
        </w:rPr>
        <w:t>kmitočtové pásmo 146-174 MHz v souladu s částí plánu využití rádiového spektra č.</w:t>
      </w:r>
    </w:p>
    <w:p>
      <w:pPr>
        <w:pStyle w:val="Style15"/>
        <w:keepNext w:val="0"/>
        <w:keepLines w:val="0"/>
        <w:widowControl w:val="0"/>
        <w:numPr>
          <w:ilvl w:val="0"/>
          <w:numId w:val="9"/>
        </w:numPr>
        <w:shd w:val="clear" w:color="auto" w:fill="auto"/>
        <w:tabs>
          <w:tab w:pos="686" w:val="left"/>
        </w:tabs>
        <w:bidi w:val="0"/>
        <w:spacing w:before="0" w:after="220"/>
        <w:ind w:left="0" w:right="0" w:firstLine="340"/>
        <w:jc w:val="left"/>
      </w:pPr>
      <w:r>
        <w:rPr>
          <w:rStyle w:val="CharStyle16"/>
          <w:b/>
          <w:bCs/>
        </w:rPr>
        <w:t xml:space="preserve">pohyblivá radiostanice - </w:t>
      </w:r>
      <w:r>
        <w:rPr>
          <w:rStyle w:val="CharStyle16"/>
        </w:rPr>
        <w:t>vozidlová nebo kapesní radiostanice</w:t>
      </w:r>
    </w:p>
    <w:p>
      <w:pPr>
        <w:pStyle w:val="Style15"/>
        <w:keepNext w:val="0"/>
        <w:keepLines w:val="0"/>
        <w:widowControl w:val="0"/>
        <w:numPr>
          <w:ilvl w:val="0"/>
          <w:numId w:val="9"/>
        </w:numPr>
        <w:shd w:val="clear" w:color="auto" w:fill="auto"/>
        <w:tabs>
          <w:tab w:pos="719" w:val="left"/>
        </w:tabs>
        <w:bidi w:val="0"/>
        <w:spacing w:before="0" w:after="660"/>
        <w:ind w:left="680" w:right="0" w:hanging="320"/>
        <w:jc w:val="left"/>
      </w:pPr>
      <w:r>
        <w:rPr>
          <w:rStyle w:val="CharStyle16"/>
          <w:b/>
          <w:bCs/>
        </w:rPr>
        <w:t xml:space="preserve">anténní svod - </w:t>
      </w:r>
      <w:r>
        <w:rPr>
          <w:rStyle w:val="CharStyle16"/>
        </w:rPr>
        <w:t>sestava koaxiálního kabelu, konektorů, bleskojistek, příchytek a zemnících kitů</w:t>
      </w:r>
    </w:p>
    <w:p>
      <w:pPr>
        <w:pStyle w:val="Style46"/>
        <w:keepNext w:val="0"/>
        <w:keepLines w:val="0"/>
        <w:widowControl w:val="0"/>
        <w:numPr>
          <w:ilvl w:val="1"/>
          <w:numId w:val="11"/>
        </w:numPr>
        <w:shd w:val="clear" w:color="auto" w:fill="auto"/>
        <w:tabs>
          <w:tab w:pos="719" w:val="left"/>
        </w:tabs>
        <w:bidi w:val="0"/>
        <w:spacing w:before="0" w:line="240" w:lineRule="auto"/>
        <w:ind w:left="0" w:right="0" w:firstLine="0"/>
        <w:jc w:val="both"/>
      </w:pPr>
      <w:r>
        <w:rPr>
          <w:rStyle w:val="CharStyle47"/>
          <w:b/>
          <w:bCs/>
        </w:rPr>
        <w:t>Standard DM R</w:t>
      </w:r>
    </w:p>
    <w:p>
      <w:pPr>
        <w:pStyle w:val="Style15"/>
        <w:keepNext w:val="0"/>
        <w:keepLines w:val="0"/>
        <w:widowControl w:val="0"/>
        <w:shd w:val="clear" w:color="auto" w:fill="auto"/>
        <w:bidi w:val="0"/>
        <w:spacing w:before="0" w:after="220" w:line="254" w:lineRule="auto"/>
        <w:ind w:left="0" w:right="0" w:firstLine="0"/>
        <w:jc w:val="both"/>
      </w:pPr>
      <w:r>
        <w:rPr>
          <w:rStyle w:val="CharStyle16"/>
        </w:rPr>
        <w:t>DMR (Digital Mobile Rádio) je standard definovaný ETSI (European Telecommunications Standards Institute). Standard byl vydán v roce 2005 a obsahuje soubor dokumentů zahrnujících hlasové a datové služby včetně testů shody výrobků jednotlivých výrobců mezi sebou a se standardem. Standard popisuje pouze vzdušné rozhraní. Standard definující DMR se skládá z pěti dokumentů</w:t>
      </w:r>
      <w:r>
        <w:rPr>
          <w:rStyle w:val="CharStyle16"/>
          <w:vertAlign w:val="superscript"/>
        </w:rPr>
        <w:footnoteReference w:id="2"/>
      </w:r>
      <w:r>
        <w:rPr>
          <w:rStyle w:val="CharStyle16"/>
        </w:rPr>
        <w:t>. Ty lze získat bezplatně z webových stránek ETSI.</w:t>
      </w:r>
    </w:p>
    <w:p>
      <w:pPr>
        <w:pStyle w:val="Style15"/>
        <w:keepNext w:val="0"/>
        <w:keepLines w:val="0"/>
        <w:widowControl w:val="0"/>
        <w:shd w:val="clear" w:color="auto" w:fill="auto"/>
        <w:bidi w:val="0"/>
        <w:spacing w:before="0" w:after="220" w:line="257" w:lineRule="auto"/>
        <w:ind w:left="0" w:right="0" w:firstLine="0"/>
        <w:jc w:val="both"/>
      </w:pPr>
      <w:r>
        <w:rPr>
          <w:rStyle w:val="CharStyle16"/>
        </w:rPr>
        <w:t>Standard definuje tři různé úrovně technologie DMR:</w:t>
      </w:r>
    </w:p>
    <w:p>
      <w:pPr>
        <w:pStyle w:val="Style15"/>
        <w:keepNext w:val="0"/>
        <w:keepLines w:val="0"/>
        <w:widowControl w:val="0"/>
        <w:numPr>
          <w:ilvl w:val="0"/>
          <w:numId w:val="13"/>
        </w:numPr>
        <w:shd w:val="clear" w:color="auto" w:fill="auto"/>
        <w:tabs>
          <w:tab w:pos="719" w:val="left"/>
        </w:tabs>
        <w:bidi w:val="0"/>
        <w:spacing w:before="0" w:after="220" w:line="259" w:lineRule="auto"/>
        <w:ind w:left="680" w:right="0" w:hanging="320"/>
        <w:jc w:val="both"/>
      </w:pPr>
      <w:r>
        <w:rPr>
          <w:rStyle w:val="CharStyle16"/>
        </w:rPr>
        <w:t>Tier I je zaměřen na volnočasový trh s aplikacemi pro sport, dovolené a menší komerční podniky. Kmitočty je možné využívat bez nutnosti vyřízení individuálních oprávnění v prostoru EU s vysílacím výkonem 500 mW. Komunikace probíhá pouze na simplexních kmitočtech, bez možnosti nasazení základnových stanic.</w:t>
      </w:r>
    </w:p>
    <w:p>
      <w:pPr>
        <w:pStyle w:val="Style15"/>
        <w:keepNext w:val="0"/>
        <w:keepLines w:val="0"/>
        <w:widowControl w:val="0"/>
        <w:numPr>
          <w:ilvl w:val="0"/>
          <w:numId w:val="13"/>
        </w:numPr>
        <w:shd w:val="clear" w:color="auto" w:fill="auto"/>
        <w:tabs>
          <w:tab w:pos="719" w:val="left"/>
        </w:tabs>
        <w:bidi w:val="0"/>
        <w:spacing w:before="0" w:after="220" w:line="259" w:lineRule="auto"/>
        <w:ind w:left="680" w:right="0" w:hanging="320"/>
        <w:jc w:val="both"/>
      </w:pPr>
      <w:r>
        <w:rPr>
          <w:rStyle w:val="CharStyle16"/>
        </w:rPr>
        <w:t>Tier II využívá dvoukanálovou TDMA modulaci o šířce kanálu 12,5 kHz. Pro provozvání je nezbytné používat kmitočty licencované regulátorem (ČTÚ) s vyššími vyzářenými výkony terminálů (ruční terminál pro pásmo VHF 5 W, vozidlový terminál 10 W) s převaděčovým nebo simplexním provozem.</w:t>
      </w:r>
    </w:p>
    <w:p>
      <w:pPr>
        <w:pStyle w:val="Style15"/>
        <w:keepNext w:val="0"/>
        <w:keepLines w:val="0"/>
        <w:widowControl w:val="0"/>
        <w:numPr>
          <w:ilvl w:val="0"/>
          <w:numId w:val="13"/>
        </w:numPr>
        <w:shd w:val="clear" w:color="auto" w:fill="auto"/>
        <w:tabs>
          <w:tab w:pos="719" w:val="left"/>
        </w:tabs>
        <w:bidi w:val="0"/>
        <w:spacing w:before="0" w:after="220" w:line="240" w:lineRule="auto"/>
        <w:ind w:left="680" w:right="0" w:hanging="320"/>
        <w:jc w:val="both"/>
      </w:pPr>
      <w:r>
        <w:rPr>
          <w:rStyle w:val="CharStyle16"/>
        </w:rPr>
        <w:t>Tier III standardizuje systém určený pro pokrytí velkého území s požadavkem na možnou vyšší hustotu komunikace (trunkový systém s řídícím kanálem).</w:t>
      </w:r>
    </w:p>
    <w:p>
      <w:pPr>
        <w:pStyle w:val="Style15"/>
        <w:keepNext w:val="0"/>
        <w:keepLines w:val="0"/>
        <w:widowControl w:val="0"/>
        <w:shd w:val="clear" w:color="auto" w:fill="auto"/>
        <w:bidi w:val="0"/>
        <w:spacing w:before="0" w:after="220" w:line="257" w:lineRule="auto"/>
        <w:ind w:left="0" w:right="0" w:firstLine="0"/>
        <w:jc w:val="left"/>
      </w:pPr>
      <w:r>
        <w:rPr>
          <w:rStyle w:val="CharStyle16"/>
        </w:rPr>
        <w:t>Jedná se o otevřený standard, zajišťující interoperabilitu výrobků jednotlivých výrobců, s množstvím uživatelských funkcionalit, s vysokou spektrální účinností (6,25 kHz na kanál).</w:t>
      </w:r>
    </w:p>
    <w:p>
      <w:pPr>
        <w:pStyle w:val="Style46"/>
        <w:keepNext w:val="0"/>
        <w:keepLines w:val="0"/>
        <w:widowControl w:val="0"/>
        <w:numPr>
          <w:ilvl w:val="1"/>
          <w:numId w:val="11"/>
        </w:numPr>
        <w:shd w:val="clear" w:color="auto" w:fill="auto"/>
        <w:tabs>
          <w:tab w:pos="811" w:val="left"/>
        </w:tabs>
        <w:bidi w:val="0"/>
        <w:spacing w:before="0" w:line="240" w:lineRule="auto"/>
        <w:ind w:left="0" w:right="0" w:firstLine="0"/>
        <w:jc w:val="both"/>
      </w:pPr>
      <w:r>
        <w:rPr>
          <w:rStyle w:val="CharStyle47"/>
          <w:b/>
          <w:bCs/>
        </w:rPr>
        <w:t>DMRTierlI</w:t>
      </w:r>
    </w:p>
    <w:p>
      <w:pPr>
        <w:pStyle w:val="Style15"/>
        <w:keepNext w:val="0"/>
        <w:keepLines w:val="0"/>
        <w:widowControl w:val="0"/>
        <w:shd w:val="clear" w:color="auto" w:fill="auto"/>
        <w:bidi w:val="0"/>
        <w:spacing w:before="0" w:after="220" w:line="252" w:lineRule="auto"/>
        <w:ind w:left="0" w:right="0" w:firstLine="0"/>
        <w:jc w:val="both"/>
      </w:pPr>
      <w:r>
        <w:rPr>
          <w:rStyle w:val="CharStyle16"/>
        </w:rPr>
        <w:t>DMR Tier II je využíván uživateli pro pokrytí malých území s malou hustotou komunikace. Pro zvětšení pokrytí území, a nebo pro zvýšení hustoty komunikace výrobci implementují proprietámí řešení pro propojení většího množství převaděčů pro zvýšení pokrytí území a pro zvýšení hustoty komunikace v konkrétním území.</w:t>
      </w:r>
    </w:p>
    <w:p>
      <w:pPr>
        <w:pStyle w:val="Style15"/>
        <w:keepNext w:val="0"/>
        <w:keepLines w:val="0"/>
        <w:widowControl w:val="0"/>
        <w:shd w:val="clear" w:color="auto" w:fill="auto"/>
        <w:bidi w:val="0"/>
        <w:spacing w:before="0" w:after="220" w:line="254" w:lineRule="auto"/>
        <w:ind w:left="0" w:right="0" w:firstLine="0"/>
        <w:jc w:val="both"/>
      </w:pPr>
      <w:r>
        <w:rPr>
          <w:rStyle w:val="CharStyle16"/>
        </w:rPr>
        <w:t>Základní konfigurace rádiové sítě předpokládá osazení každého rádiového stanoviště jednou základnovou stanicí s 1 duplexním kmitočtem. Rádiová stanoviště musí být propojena pomocí páteřní IP sítě. Pomocí IP rozhraní lze připojit i dispečerská pracoviště.</w:t>
      </w:r>
    </w:p>
    <w:p>
      <w:pPr>
        <w:pStyle w:val="Style53"/>
        <w:keepNext/>
        <w:keepLines/>
        <w:widowControl w:val="0"/>
        <w:numPr>
          <w:ilvl w:val="2"/>
          <w:numId w:val="11"/>
        </w:numPr>
        <w:shd w:val="clear" w:color="auto" w:fill="auto"/>
        <w:tabs>
          <w:tab w:pos="1397" w:val="left"/>
        </w:tabs>
        <w:bidi w:val="0"/>
        <w:spacing w:before="0" w:after="220" w:line="240" w:lineRule="auto"/>
        <w:ind w:left="0" w:right="0" w:firstLine="360"/>
        <w:jc w:val="both"/>
      </w:pPr>
      <w:bookmarkStart w:id="6" w:name="bookmark6"/>
      <w:r>
        <w:rPr>
          <w:rStyle w:val="CharStyle54"/>
          <w:b/>
          <w:bCs/>
        </w:rPr>
        <w:t>Uživatelské funkce</w:t>
      </w:r>
      <w:bookmarkEnd w:id="6"/>
    </w:p>
    <w:p>
      <w:pPr>
        <w:pStyle w:val="Style15"/>
        <w:keepNext w:val="0"/>
        <w:keepLines w:val="0"/>
        <w:widowControl w:val="0"/>
        <w:shd w:val="clear" w:color="auto" w:fill="auto"/>
        <w:bidi w:val="0"/>
        <w:spacing w:before="0" w:after="220" w:line="240" w:lineRule="auto"/>
        <w:ind w:left="0" w:right="0" w:firstLine="0"/>
        <w:jc w:val="both"/>
      </w:pPr>
      <w:r>
        <w:rPr>
          <w:rStyle w:val="CharStyle16"/>
        </w:rPr>
        <w:t>Radiová síť bude využívat následující funkce standardu DMR. Dodavatel zabezpečí veškeré potřebné licence pro zajištění požadovaných funkcí:</w:t>
      </w:r>
    </w:p>
    <w:tbl>
      <w:tblPr>
        <w:tblOverlap w:val="never"/>
        <w:jc w:val="center"/>
        <w:tblLayout w:type="fixed"/>
      </w:tblPr>
      <w:tblGrid>
        <w:gridCol w:w="2453"/>
        <w:gridCol w:w="6259"/>
      </w:tblGrid>
      <w:tr>
        <w:trPr>
          <w:trHeight w:val="456"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460"/>
              <w:jc w:val="left"/>
            </w:pPr>
            <w:r>
              <w:rPr>
                <w:rStyle w:val="CharStyle28"/>
                <w:b/>
                <w:bCs/>
              </w:rPr>
              <w:t>Název funkce</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440"/>
              <w:jc w:val="both"/>
            </w:pPr>
            <w:r>
              <w:rPr>
                <w:rStyle w:val="CharStyle28"/>
                <w:b/>
                <w:bCs/>
              </w:rPr>
              <w:t>Popis</w:t>
            </w:r>
          </w:p>
        </w:tc>
      </w:tr>
      <w:tr>
        <w:trPr>
          <w:trHeight w:val="1354"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Skupinový hovor</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59" w:lineRule="auto"/>
              <w:ind w:left="0" w:right="0" w:firstLine="0"/>
              <w:jc w:val="both"/>
            </w:pPr>
            <w:r>
              <w:rPr>
                <w:rStyle w:val="CharStyle28"/>
              </w:rPr>
              <w:t>Pro základní hlasovou komunikaci bude využíván skupinový hovor, který probíhá v rámci hovorové skupiny. Komunikaci v hovorové skupině slyší všichni účastníci zařazení do této skupiny.</w:t>
            </w:r>
          </w:p>
          <w:p>
            <w:pPr>
              <w:pStyle w:val="Style27"/>
              <w:keepNext w:val="0"/>
              <w:keepLines w:val="0"/>
              <w:widowControl w:val="0"/>
              <w:shd w:val="clear" w:color="auto" w:fill="auto"/>
              <w:bidi w:val="0"/>
              <w:spacing w:before="0" w:after="0" w:line="259" w:lineRule="auto"/>
              <w:ind w:left="0" w:right="0" w:firstLine="0"/>
              <w:jc w:val="both"/>
            </w:pPr>
            <w:r>
              <w:rPr>
                <w:rStyle w:val="CharStyle28"/>
              </w:rPr>
              <w:t>Systém musí podporovat pozdní připojení radiostanice do probíhajícího hovoru.</w:t>
            </w:r>
          </w:p>
        </w:tc>
      </w:tr>
      <w:tr>
        <w:trPr>
          <w:trHeight w:val="744"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57" w:lineRule="auto"/>
              <w:ind w:left="0" w:right="0" w:firstLine="0"/>
              <w:jc w:val="left"/>
            </w:pPr>
            <w:r>
              <w:rPr>
                <w:rStyle w:val="CharStyle28"/>
                <w:b/>
                <w:bCs/>
              </w:rPr>
              <w:t>Systémový hovor (AII Call)</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62" w:lineRule="auto"/>
              <w:ind w:left="0" w:right="0" w:firstLine="0"/>
              <w:jc w:val="both"/>
            </w:pPr>
            <w:r>
              <w:rPr>
                <w:rStyle w:val="CharStyle28"/>
              </w:rPr>
              <w:t>Jedná se o jednosměrné hlasové volání radiostanice dalším radiostanicím v dosahu pokrytí buňky, lokální oblasti nebo celé sítě.</w:t>
            </w:r>
          </w:p>
        </w:tc>
      </w:tr>
      <w:tr>
        <w:trPr>
          <w:trHeight w:val="1522"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59" w:lineRule="auto"/>
              <w:ind w:left="0" w:right="0" w:firstLine="0"/>
              <w:jc w:val="left"/>
            </w:pPr>
            <w:r>
              <w:rPr>
                <w:rStyle w:val="CharStyle28"/>
                <w:b/>
                <w:bCs/>
              </w:rPr>
              <w:t>Přenos stavu nouze, nouzové volání (Emergency, Emergency Call)</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57" w:lineRule="auto"/>
              <w:ind w:left="0" w:right="0" w:firstLine="0"/>
              <w:jc w:val="both"/>
            </w:pPr>
            <w:r>
              <w:rPr>
                <w:rStyle w:val="CharStyle28"/>
              </w:rPr>
              <w:t>Stav nouze slouží pro okamžité informování operátora o skutečnosti, že se uživatel některého z terminálů dostal do tísně. K aktivování stavu nouze u ručních i vozidlových terminálů postačuje stisknout jediné tlačítko. Na stav nouze navazuje funkce nouzové volání. Uživatel, který ve stavu nouze začne vysílat, získá automaticky nejvyšší prioritu pro komunikaci.</w:t>
            </w:r>
          </w:p>
        </w:tc>
      </w:tr>
      <w:tr>
        <w:trPr>
          <w:trHeight w:val="2026"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Individuální hovor</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57" w:lineRule="auto"/>
              <w:ind w:left="0" w:right="0" w:firstLine="0"/>
              <w:jc w:val="both"/>
            </w:pPr>
            <w:r>
              <w:rPr>
                <w:rStyle w:val="CharStyle28"/>
              </w:rPr>
              <w:t>Tato funkce umožňuje radiostanicím komunikovat ve dvojici v semiduplexním provozu. Hovor bude iniciován z linkového operátorského rozhraní nebo radiostanice na kteroukoliv stanici v radiovém systému. V tomto režimu je dvojici terminálů exkluzivně přidělen hovorový kanál, hovor tedy nikdo z ostatních uživatelů systému neslyší.</w:t>
            </w:r>
          </w:p>
          <w:p>
            <w:pPr>
              <w:pStyle w:val="Style27"/>
              <w:keepNext w:val="0"/>
              <w:keepLines w:val="0"/>
              <w:widowControl w:val="0"/>
              <w:shd w:val="clear" w:color="auto" w:fill="auto"/>
              <w:bidi w:val="0"/>
              <w:spacing w:before="0" w:after="0" w:line="257" w:lineRule="auto"/>
              <w:ind w:left="0" w:right="0" w:firstLine="0"/>
              <w:jc w:val="both"/>
            </w:pPr>
            <w:r>
              <w:rPr>
                <w:rStyle w:val="CharStyle28"/>
              </w:rPr>
              <w:t>Systém musí umožnit individuální hovor provozním kanálem mezi radiostanicemi nebo linkovým operátorským API rozhraním.</w:t>
            </w:r>
          </w:p>
        </w:tc>
      </w:tr>
      <w:tr>
        <w:trPr>
          <w:trHeight w:val="2232"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Přenos krátkých textových zpráv</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57" w:lineRule="auto"/>
              <w:ind w:left="0" w:right="0" w:firstLine="0"/>
              <w:jc w:val="both"/>
            </w:pPr>
            <w:r>
              <w:rPr>
                <w:rStyle w:val="CharStyle28"/>
              </w:rPr>
              <w:t>Krátkou datovou zprávu lze poslat na libovolnou radiostanici nebo skupinu radiostanic v systému nebo na linkové operátorské API rozhraní.</w:t>
            </w:r>
          </w:p>
          <w:p>
            <w:pPr>
              <w:pStyle w:val="Style27"/>
              <w:keepNext w:val="0"/>
              <w:keepLines w:val="0"/>
              <w:widowControl w:val="0"/>
              <w:shd w:val="clear" w:color="auto" w:fill="auto"/>
              <w:bidi w:val="0"/>
              <w:spacing w:before="0" w:after="0" w:line="257" w:lineRule="auto"/>
              <w:ind w:left="0" w:right="0" w:firstLine="0"/>
              <w:jc w:val="both"/>
            </w:pPr>
            <w:r>
              <w:rPr>
                <w:rStyle w:val="CharStyle28"/>
              </w:rPr>
              <w:t>Zprávy mohou být posílány z radiostanice na radiostanici nebo z radiostanice na linkové operátorské API rozhraní.</w:t>
            </w:r>
          </w:p>
          <w:p>
            <w:pPr>
              <w:pStyle w:val="Style27"/>
              <w:keepNext w:val="0"/>
              <w:keepLines w:val="0"/>
              <w:widowControl w:val="0"/>
              <w:shd w:val="clear" w:color="auto" w:fill="auto"/>
              <w:bidi w:val="0"/>
              <w:spacing w:before="0" w:after="0" w:line="257" w:lineRule="auto"/>
              <w:ind w:left="0" w:right="0" w:firstLine="0"/>
              <w:jc w:val="both"/>
            </w:pPr>
            <w:r>
              <w:rPr>
                <w:rStyle w:val="CharStyle28"/>
              </w:rPr>
              <w:t>Systém musí umožnit přenos krátkých stavových zpráv provozním kanálem mezi radiostanicemi nebo linkovým operátorským API rozhraním.</w:t>
            </w:r>
          </w:p>
          <w:p>
            <w:pPr>
              <w:pStyle w:val="Style27"/>
              <w:keepNext w:val="0"/>
              <w:keepLines w:val="0"/>
              <w:widowControl w:val="0"/>
              <w:shd w:val="clear" w:color="auto" w:fill="auto"/>
              <w:bidi w:val="0"/>
              <w:spacing w:before="0" w:after="0" w:line="257" w:lineRule="auto"/>
              <w:ind w:left="0" w:right="0" w:firstLine="0"/>
              <w:jc w:val="both"/>
            </w:pPr>
            <w:r>
              <w:rPr>
                <w:rStyle w:val="CharStyle28"/>
              </w:rPr>
              <w:t>Systém musí umožnit potvrzování doručení zprávy.</w:t>
            </w:r>
          </w:p>
        </w:tc>
      </w:tr>
      <w:tr>
        <w:trPr>
          <w:trHeight w:val="672"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Identifikace volajícího</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62" w:lineRule="auto"/>
              <w:ind w:left="0" w:right="0" w:firstLine="0"/>
              <w:jc w:val="both"/>
            </w:pPr>
            <w:r>
              <w:rPr>
                <w:rStyle w:val="CharStyle28"/>
              </w:rPr>
              <w:t>Systém předává číslo volající radiostanice nebo linkového operátorského API rozhraní.</w:t>
            </w:r>
          </w:p>
        </w:tc>
      </w:tr>
      <w:tr>
        <w:trPr>
          <w:trHeight w:val="686" w:hRule="exact"/>
        </w:trPr>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Přerušení</w:t>
            </w:r>
          </w:p>
        </w:tc>
        <w:tc>
          <w:tcPr>
            <w:tcBorders>
              <w:top w:val="single" w:sz="4"/>
              <w:left w:val="single" w:sz="4"/>
              <w:bottom w:val="single" w:sz="4"/>
              <w:right w:val="single" w:sz="4"/>
            </w:tcBorders>
            <w:shd w:val="clear" w:color="auto" w:fill="auto"/>
            <w:vAlign w:val="center"/>
          </w:tcPr>
          <w:p>
            <w:pPr>
              <w:pStyle w:val="Style27"/>
              <w:keepNext w:val="0"/>
              <w:keepLines w:val="0"/>
              <w:widowControl w:val="0"/>
              <w:shd w:val="clear" w:color="auto" w:fill="auto"/>
              <w:bidi w:val="0"/>
              <w:spacing w:before="0" w:after="0" w:line="262" w:lineRule="auto"/>
              <w:ind w:left="0" w:right="0" w:firstLine="0"/>
              <w:jc w:val="both"/>
            </w:pPr>
            <w:r>
              <w:rPr>
                <w:rStyle w:val="CharStyle28"/>
              </w:rPr>
              <w:t>Oprávněná radiostanice nebo linkové operátorské API rozhraní může přerušit probíhající hovor terminálu a zahájit hovor.</w:t>
            </w:r>
          </w:p>
        </w:tc>
      </w:tr>
    </w:tbl>
    <w:tbl>
      <w:tblPr>
        <w:tblOverlap w:val="never"/>
        <w:jc w:val="center"/>
        <w:tblLayout w:type="fixed"/>
      </w:tblPr>
      <w:tblGrid>
        <w:gridCol w:w="2453"/>
        <w:gridCol w:w="6278"/>
      </w:tblGrid>
      <w:tr>
        <w:trPr>
          <w:trHeight w:val="2376"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59" w:lineRule="auto"/>
              <w:ind w:left="0" w:right="0" w:firstLine="0"/>
              <w:jc w:val="left"/>
            </w:pPr>
            <w:r>
              <w:rPr>
                <w:rStyle w:val="CharStyle28"/>
                <w:b/>
                <w:bCs/>
              </w:rPr>
              <w:t>Omezení/ oživení/ zakázání (Stun/Revive/Kill)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59" w:lineRule="auto"/>
              <w:ind w:left="0" w:right="0" w:firstLine="0"/>
              <w:jc w:val="both"/>
            </w:pPr>
            <w:r>
              <w:rPr>
                <w:rStyle w:val="CharStyle28"/>
                <w:u w:val="single"/>
              </w:rPr>
              <w:t>Omezení (Stun)</w:t>
            </w:r>
            <w:r>
              <w:rPr>
                <w:rStyle w:val="CharStyle28"/>
              </w:rPr>
              <w:t xml:space="preserve"> - dispečerská radiostanice nebo linkové operátorské API rozhraní omezí funkcionality vozidlové nebo kapesní radiostanice (např. při zcizení), všechny funkce (včetně služeb pro volání a zprávy) jsou zakázány. Pouze registrační údaje jsou stále k dispozici.</w:t>
            </w:r>
          </w:p>
          <w:p>
            <w:pPr>
              <w:pStyle w:val="Style27"/>
              <w:keepNext w:val="0"/>
              <w:keepLines w:val="0"/>
              <w:widowControl w:val="0"/>
              <w:shd w:val="clear" w:color="auto" w:fill="auto"/>
              <w:bidi w:val="0"/>
              <w:spacing w:before="0" w:after="0" w:line="259" w:lineRule="auto"/>
              <w:ind w:left="0" w:right="0" w:firstLine="0"/>
              <w:jc w:val="both"/>
            </w:pPr>
            <w:r>
              <w:rPr>
                <w:rStyle w:val="CharStyle28"/>
                <w:u w:val="single"/>
              </w:rPr>
              <w:t>Oživení (Revive) -</w:t>
            </w:r>
            <w:r>
              <w:rPr>
                <w:rStyle w:val="CharStyle28"/>
              </w:rPr>
              <w:t xml:space="preserve"> aktivace omezené radiostanice dispečerskou radiostanicí nebo linkovým operátorským API rozhraní.</w:t>
            </w:r>
          </w:p>
          <w:p>
            <w:pPr>
              <w:pStyle w:val="Style27"/>
              <w:keepNext w:val="0"/>
              <w:keepLines w:val="0"/>
              <w:widowControl w:val="0"/>
              <w:shd w:val="clear" w:color="auto" w:fill="auto"/>
              <w:bidi w:val="0"/>
              <w:spacing w:before="0" w:after="0" w:line="259" w:lineRule="auto"/>
              <w:ind w:left="0" w:right="0" w:firstLine="0"/>
              <w:jc w:val="both"/>
            </w:pPr>
            <w:r>
              <w:rPr>
                <w:rStyle w:val="CharStyle28"/>
                <w:u w:val="single"/>
              </w:rPr>
              <w:t>Zakázání (Kill)</w:t>
            </w:r>
            <w:r>
              <w:rPr>
                <w:rStyle w:val="CharStyle28"/>
              </w:rPr>
              <w:t xml:space="preserve"> - dispečerská radiostanice nebop linkové operátorské API rozhraní zakáže provoz konkrétní radiostanice. Pro obnovení funkcionalit zakázané radiostanice, je nutno přeprogramovat oprávněnou osobou.</w:t>
            </w:r>
          </w:p>
        </w:tc>
      </w:tr>
      <w:tr>
        <w:trPr>
          <w:trHeight w:val="1656" w:hRule="exact"/>
        </w:trPr>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Šifrování End-to-End</w:t>
            </w:r>
          </w:p>
        </w:tc>
        <w:tc>
          <w:tcPr>
            <w:tcBorders>
              <w:top w:val="single" w:sz="4"/>
              <w:left w:val="single" w:sz="4"/>
              <w:bottom w:val="single" w:sz="4"/>
              <w:right w:val="single" w:sz="4"/>
            </w:tcBorders>
            <w:shd w:val="clear" w:color="auto" w:fill="auto"/>
            <w:vAlign w:val="center"/>
          </w:tcPr>
          <w:p>
            <w:pPr>
              <w:pStyle w:val="Style27"/>
              <w:keepNext w:val="0"/>
              <w:keepLines w:val="0"/>
              <w:widowControl w:val="0"/>
              <w:shd w:val="clear" w:color="auto" w:fill="auto"/>
              <w:bidi w:val="0"/>
              <w:spacing w:before="0" w:after="0" w:line="257" w:lineRule="auto"/>
              <w:ind w:left="0" w:right="0" w:firstLine="0"/>
              <w:jc w:val="both"/>
            </w:pPr>
            <w:r>
              <w:rPr>
                <w:rStyle w:val="CharStyle28"/>
              </w:rPr>
              <w:t xml:space="preserve">ARC 40 bitů šifrování End-to-End zabraňuje zachycení hlasové komunikace přenášené mezi komunikujícími stranami. Hlas komunikující radiostanice šifrují a dešifrují pomocí šifrovacího klíče. Šifrování je požadované pro hlasové služby pohyblivých radiostanic </w:t>
            </w:r>
            <w:r>
              <w:rPr>
                <w:rStyle w:val="CharStyle28"/>
                <w:b/>
                <w:bCs/>
                <w:i/>
                <w:iCs/>
              </w:rPr>
              <w:t xml:space="preserve">a </w:t>
            </w:r>
            <w:r>
              <w:rPr>
                <w:rStyle w:val="CharStyle28"/>
              </w:rPr>
              <w:t>linkového operátorského rozhraní.</w:t>
            </w:r>
          </w:p>
          <w:p>
            <w:pPr>
              <w:pStyle w:val="Style27"/>
              <w:keepNext w:val="0"/>
              <w:keepLines w:val="0"/>
              <w:widowControl w:val="0"/>
              <w:shd w:val="clear" w:color="auto" w:fill="auto"/>
              <w:bidi w:val="0"/>
              <w:spacing w:before="0" w:after="0" w:line="257" w:lineRule="auto"/>
              <w:ind w:left="0" w:right="0" w:firstLine="0"/>
              <w:jc w:val="both"/>
            </w:pPr>
            <w:r>
              <w:rPr>
                <w:rStyle w:val="CharStyle28"/>
              </w:rPr>
              <w:t>Je požadováno šifrování pomocí standardu DMR ARC 40 bitů.</w:t>
            </w:r>
          </w:p>
        </w:tc>
      </w:tr>
    </w:tbl>
    <w:p>
      <w:pPr>
        <w:widowControl w:val="0"/>
        <w:spacing w:after="459" w:line="1" w:lineRule="exact"/>
      </w:pPr>
    </w:p>
    <w:p>
      <w:pPr>
        <w:pStyle w:val="Style53"/>
        <w:keepNext/>
        <w:keepLines/>
        <w:widowControl w:val="0"/>
        <w:numPr>
          <w:ilvl w:val="2"/>
          <w:numId w:val="11"/>
        </w:numPr>
        <w:shd w:val="clear" w:color="auto" w:fill="auto"/>
        <w:tabs>
          <w:tab w:pos="1397" w:val="left"/>
        </w:tabs>
        <w:bidi w:val="0"/>
        <w:spacing w:before="0" w:after="220" w:line="233" w:lineRule="auto"/>
        <w:ind w:left="0" w:right="0" w:firstLine="360"/>
        <w:jc w:val="both"/>
      </w:pPr>
      <w:bookmarkStart w:id="8" w:name="bookmark8"/>
      <w:r>
        <w:rPr>
          <w:rStyle w:val="CharStyle54"/>
          <w:b/>
          <w:bCs/>
        </w:rPr>
        <w:t>Systémová rozhraní DMR</w:t>
      </w:r>
      <w:bookmarkEnd w:id="8"/>
    </w:p>
    <w:p>
      <w:pPr>
        <w:pStyle w:val="Style15"/>
        <w:keepNext w:val="0"/>
        <w:keepLines w:val="0"/>
        <w:widowControl w:val="0"/>
        <w:shd w:val="clear" w:color="auto" w:fill="auto"/>
        <w:bidi w:val="0"/>
        <w:spacing w:before="0" w:after="220" w:line="259" w:lineRule="auto"/>
        <w:ind w:left="0" w:right="0" w:firstLine="0"/>
        <w:jc w:val="both"/>
      </w:pPr>
      <w:r>
        <w:rPr>
          <w:rStyle w:val="CharStyle16"/>
        </w:rPr>
        <w:t>Radiová síť bude využívat následující systémová rozhraní standardu DMR. Dodavatel zabezpečí veškeré potřebné licence pro zajištění požadovaných funkcionalit rozhraní, pokud zadávací dokumentace nestanoví jinak.</w:t>
      </w:r>
    </w:p>
    <w:p>
      <w:pPr>
        <w:pStyle w:val="Style15"/>
        <w:keepNext w:val="0"/>
        <w:keepLines w:val="0"/>
        <w:widowControl w:val="0"/>
        <w:shd w:val="clear" w:color="auto" w:fill="auto"/>
        <w:bidi w:val="0"/>
        <w:spacing w:before="0" w:after="100" w:line="259" w:lineRule="auto"/>
        <w:ind w:left="0" w:right="0" w:firstLine="0"/>
        <w:jc w:val="both"/>
      </w:pPr>
      <w:r>
        <w:rPr>
          <w:rStyle w:val="CharStyle16"/>
          <w:u w:val="single"/>
        </w:rPr>
        <w:t>Radiové rozhraní (Air Interface)</w:t>
      </w:r>
    </w:p>
    <w:p>
      <w:pPr>
        <w:pStyle w:val="Style15"/>
        <w:keepNext w:val="0"/>
        <w:keepLines w:val="0"/>
        <w:widowControl w:val="0"/>
        <w:shd w:val="clear" w:color="auto" w:fill="auto"/>
        <w:bidi w:val="0"/>
        <w:spacing w:before="0" w:after="100" w:line="262" w:lineRule="auto"/>
        <w:ind w:left="0" w:right="0" w:firstLine="0"/>
        <w:jc w:val="both"/>
      </w:pPr>
      <w:r>
        <w:rPr>
          <w:rStyle w:val="CharStyle16"/>
        </w:rPr>
        <w:t>Je rozhraní mezi základnovými stanicemi a pohyblivými terminály a je určeno normou ETSl TS 102 361- 1. Základními znaky tohoto rozhraní je šířka kanálu 12,5 kHz, režim TDMA se 2 časovými sloty a modulací 4 FSK.</w:t>
      </w:r>
    </w:p>
    <w:p>
      <w:pPr>
        <w:pStyle w:val="Style15"/>
        <w:keepNext w:val="0"/>
        <w:keepLines w:val="0"/>
        <w:widowControl w:val="0"/>
        <w:shd w:val="clear" w:color="auto" w:fill="auto"/>
        <w:bidi w:val="0"/>
        <w:spacing w:before="0" w:after="100" w:line="259" w:lineRule="auto"/>
        <w:ind w:left="0" w:right="0" w:firstLine="0"/>
        <w:jc w:val="both"/>
      </w:pPr>
      <w:r>
        <w:rPr>
          <w:rStyle w:val="CharStyle16"/>
          <w:u w:val="single"/>
        </w:rPr>
        <w:t>Síťové rozhraní</w:t>
      </w:r>
    </w:p>
    <w:p>
      <w:pPr>
        <w:pStyle w:val="Style15"/>
        <w:keepNext w:val="0"/>
        <w:keepLines w:val="0"/>
        <w:widowControl w:val="0"/>
        <w:shd w:val="clear" w:color="auto" w:fill="auto"/>
        <w:bidi w:val="0"/>
        <w:spacing w:before="0" w:after="660" w:line="257" w:lineRule="auto"/>
        <w:ind w:left="0" w:right="0" w:firstLine="0"/>
        <w:jc w:val="both"/>
      </w:pPr>
      <w:r>
        <w:rPr>
          <w:rStyle w:val="CharStyle16"/>
        </w:rPr>
        <w:t>Je rozhraní mezi jednotlivými převaděči a operátorským rozhraním. Síťové prvky infrastruktury musí umožnit IP adresaci, požadované rozhraní je ethernet 10BT/100TX</w:t>
      </w:r>
    </w:p>
    <w:p>
      <w:pPr>
        <w:pStyle w:val="Style46"/>
        <w:keepNext w:val="0"/>
        <w:keepLines w:val="0"/>
        <w:widowControl w:val="0"/>
        <w:numPr>
          <w:ilvl w:val="1"/>
          <w:numId w:val="11"/>
        </w:numPr>
        <w:shd w:val="clear" w:color="auto" w:fill="auto"/>
        <w:tabs>
          <w:tab w:pos="811" w:val="left"/>
        </w:tabs>
        <w:bidi w:val="0"/>
        <w:spacing w:before="0" w:line="240" w:lineRule="auto"/>
        <w:ind w:left="0" w:right="0" w:firstLine="0"/>
        <w:jc w:val="both"/>
      </w:pPr>
      <w:r>
        <w:rPr>
          <w:rStyle w:val="CharStyle47"/>
          <w:b/>
          <w:bCs/>
        </w:rPr>
        <w:t>Stávající rádiová síť</w:t>
      </w:r>
    </w:p>
    <w:p>
      <w:pPr>
        <w:pStyle w:val="Style15"/>
        <w:keepNext w:val="0"/>
        <w:keepLines w:val="0"/>
        <w:widowControl w:val="0"/>
        <w:shd w:val="clear" w:color="auto" w:fill="auto"/>
        <w:bidi w:val="0"/>
        <w:spacing w:before="0" w:after="380" w:line="257" w:lineRule="auto"/>
        <w:ind w:left="0" w:right="0" w:firstLine="0"/>
        <w:jc w:val="both"/>
      </w:pPr>
      <w:r>
        <w:rPr>
          <w:rStyle w:val="CharStyle16"/>
        </w:rPr>
        <w:t>Stávající rádiová síť zadavatele je provozována ve standardu DMR Tier II v pásmu VHF podpásmo 146,8-149,9/151,4-154,5 MHz v souladu s individuálním oprávněním k využívání rádiových kmitočtů pozemní pohyblivé služby a pevné služby vydaným ČTÚ, platnost individuálního oprávnění je do února 2026. Radiová síť pracuje na principu činnosti trunkového systému bez řídícího kanálu s názvem výrobce Capacity Plus Multisite. Stávající radiová síť se skládá celkem ze 17-ti převaděčů, rozmístěných na vybraných kótách kraje. Převaděče umožňují realizaci rádiových hovorových a datových relací mezi radiostanicemi na území pokrývaném jednotlivými retranslačními stanicemi.</w:t>
      </w:r>
    </w:p>
    <w:p>
      <w:pPr>
        <w:pStyle w:val="Style53"/>
        <w:keepNext/>
        <w:keepLines/>
        <w:widowControl w:val="0"/>
        <w:numPr>
          <w:ilvl w:val="2"/>
          <w:numId w:val="11"/>
        </w:numPr>
        <w:shd w:val="clear" w:color="auto" w:fill="auto"/>
        <w:tabs>
          <w:tab w:pos="1397" w:val="left"/>
        </w:tabs>
        <w:bidi w:val="0"/>
        <w:spacing w:before="0" w:after="100" w:line="240" w:lineRule="auto"/>
        <w:ind w:left="0" w:right="0" w:firstLine="360"/>
        <w:jc w:val="both"/>
      </w:pPr>
      <w:bookmarkStart w:id="10" w:name="bookmark10"/>
      <w:r>
        <w:rPr>
          <w:rStyle w:val="CharStyle54"/>
          <w:b/>
          <w:bCs/>
        </w:rPr>
        <w:t>Retranslační stanice</w:t>
      </w:r>
      <w:bookmarkEnd w:id="10"/>
    </w:p>
    <w:p>
      <w:pPr>
        <w:pStyle w:val="Style15"/>
        <w:keepNext w:val="0"/>
        <w:keepLines w:val="0"/>
        <w:widowControl w:val="0"/>
        <w:shd w:val="clear" w:color="auto" w:fill="auto"/>
        <w:bidi w:val="0"/>
        <w:spacing w:before="0" w:after="160" w:line="252" w:lineRule="auto"/>
        <w:ind w:left="0" w:right="0" w:firstLine="0"/>
        <w:jc w:val="both"/>
      </w:pPr>
      <w:r>
        <w:rPr>
          <w:rStyle w:val="CharStyle16"/>
        </w:rPr>
        <w:t>Ve stávající rádiové síti je nasazeno 17 převaděčů na 14-ti stanovištích v digitálním režimu rádiového provozu standardu DMR Tier II se zakoupenou licencí pro režim provozu Linked capacity plus propojené do jedné komunikační infrastruktury. Na stanovištích Brno-Bohunice, Kohoutovice, Hády jsou pro dosažení požadované hustoty komunikace instalovány 2 převaděče.</w:t>
      </w:r>
    </w:p>
    <w:p>
      <w:pPr>
        <w:pStyle w:val="Style15"/>
        <w:keepNext w:val="0"/>
        <w:keepLines w:val="0"/>
        <w:widowControl w:val="0"/>
        <w:shd w:val="clear" w:color="auto" w:fill="auto"/>
        <w:bidi w:val="0"/>
        <w:spacing w:before="0" w:after="220" w:line="257" w:lineRule="auto"/>
        <w:ind w:left="0" w:right="0" w:firstLine="0"/>
        <w:jc w:val="both"/>
      </w:pPr>
      <w:r>
        <w:rPr>
          <w:rStyle w:val="CharStyle16"/>
        </w:rPr>
        <w:t>V rádiové síti jsou provozovány retranslační stanice Motorola Solutions typu DR3000 a typu SLR5500.</w:t>
      </w:r>
      <w:r>
        <w:br w:type="page"/>
      </w:r>
    </w:p>
    <w:p>
      <w:pPr>
        <w:pStyle w:val="Style23"/>
        <w:keepNext w:val="0"/>
        <w:keepLines w:val="0"/>
        <w:widowControl w:val="0"/>
        <w:shd w:val="clear" w:color="auto" w:fill="auto"/>
        <w:bidi w:val="0"/>
        <w:spacing w:before="0" w:after="0" w:line="240" w:lineRule="auto"/>
        <w:ind w:left="0" w:right="0" w:firstLine="0"/>
        <w:jc w:val="left"/>
      </w:pPr>
      <w:r>
        <w:rPr>
          <w:rStyle w:val="CharStyle24"/>
          <w:b/>
          <w:bCs/>
        </w:rPr>
        <w:t>Tabulka 1 Stávající retranslační stanice</w:t>
      </w:r>
    </w:p>
    <w:tbl>
      <w:tblPr>
        <w:tblOverlap w:val="never"/>
        <w:jc w:val="center"/>
        <w:tblLayout w:type="fixed"/>
      </w:tblPr>
      <w:tblGrid>
        <w:gridCol w:w="1776"/>
        <w:gridCol w:w="1205"/>
        <w:gridCol w:w="1526"/>
        <w:gridCol w:w="1469"/>
        <w:gridCol w:w="2712"/>
      </w:tblGrid>
      <w:tr>
        <w:trPr>
          <w:trHeight w:val="706"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400"/>
              <w:jc w:val="left"/>
            </w:pPr>
            <w:r>
              <w:rPr>
                <w:rStyle w:val="CharStyle28"/>
                <w:b/>
                <w:bCs/>
              </w:rPr>
              <w:t>Stanoviště</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Označení</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460"/>
              <w:jc w:val="left"/>
            </w:pPr>
            <w:r>
              <w:rPr>
                <w:rStyle w:val="CharStyle28"/>
                <w:b/>
                <w:bCs/>
              </w:rPr>
              <w:t>objekt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59" w:lineRule="auto"/>
              <w:ind w:left="0" w:right="0" w:firstLine="0"/>
              <w:jc w:val="center"/>
            </w:pPr>
            <w:r>
              <w:rPr>
                <w:rStyle w:val="CharStyle28"/>
                <w:b/>
                <w:bCs/>
              </w:rPr>
              <w:t>Výška antény nad terénem [m]</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Souřadnice</w:t>
            </w:r>
          </w:p>
        </w:tc>
      </w:tr>
      <w:tr>
        <w:trPr>
          <w:trHeight w:val="30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Sýkoř</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Z003R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ČRa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30</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49.4459083N, 16.4079361 E</w:t>
            </w:r>
          </w:p>
        </w:tc>
      </w:tr>
      <w:tr>
        <w:trPr>
          <w:trHeight w:val="29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Brno-Kohoutovice</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Z004R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vodojem BVK</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36</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49.1921233N, 16.5264242E</w:t>
            </w:r>
          </w:p>
        </w:tc>
      </w:tr>
      <w:tr>
        <w:trPr>
          <w:trHeight w:val="302" w:hRule="exact"/>
        </w:trPr>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Hradisko</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80"/>
              <w:jc w:val="left"/>
            </w:pPr>
            <w:r>
              <w:rPr>
                <w:rStyle w:val="CharStyle28"/>
              </w:rPr>
              <w:t>Z005R</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ČRa</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pPr>
            <w:r>
              <w:rPr>
                <w:rStyle w:val="CharStyle28"/>
              </w:rPr>
              <w:t>36</w:t>
            </w: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both"/>
            </w:pPr>
            <w:r>
              <w:rPr>
                <w:rStyle w:val="CharStyle28"/>
              </w:rPr>
              <w:t>49.2006931N, 17.1214567E</w:t>
            </w:r>
          </w:p>
        </w:tc>
      </w:tr>
      <w:tr>
        <w:trPr>
          <w:trHeight w:val="293" w:hRule="exact"/>
        </w:trPr>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Babí Lom</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80"/>
              <w:jc w:val="left"/>
            </w:pPr>
            <w:r>
              <w:rPr>
                <w:rStyle w:val="CharStyle28"/>
              </w:rPr>
              <w:t>Z006R</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ČRa</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pPr>
            <w:r>
              <w:rPr>
                <w:rStyle w:val="CharStyle28"/>
              </w:rPr>
              <w:t>45</w:t>
            </w: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both"/>
            </w:pPr>
            <w:r>
              <w:rPr>
                <w:rStyle w:val="CharStyle28"/>
              </w:rPr>
              <w:t>49.0149106N, 17.0559094E</w:t>
            </w:r>
          </w:p>
        </w:tc>
      </w:tr>
      <w:tr>
        <w:trPr>
          <w:trHeight w:val="29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Děvín</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Z007R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ČRa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20</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48.8692172N, 16.6501181E</w:t>
            </w:r>
          </w:p>
        </w:tc>
      </w:tr>
      <w:tr>
        <w:trPr>
          <w:trHeight w:val="29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Znojmo</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Z008R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ČRa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18</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48.8484311N, 16.0397544E</w:t>
            </w:r>
          </w:p>
        </w:tc>
      </w:tr>
      <w:tr>
        <w:trPr>
          <w:trHeight w:val="29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Kojál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Z009R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ČRa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43</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49.3694444N, 16.8163889E</w:t>
            </w:r>
          </w:p>
        </w:tc>
      </w:tr>
      <w:tr>
        <w:trPr>
          <w:trHeight w:val="29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Bmo-Bohunice</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Z010R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nemocnice FNB</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73</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49.1753047N, 16.5703486E</w:t>
            </w:r>
          </w:p>
        </w:tc>
      </w:tr>
      <w:tr>
        <w:trPr>
          <w:trHeight w:val="30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Brno Tuřany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Z013R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Let. záchr. služ.</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10</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49.1554831N, 16.6808611E</w:t>
            </w:r>
          </w:p>
        </w:tc>
      </w:tr>
      <w:tr>
        <w:trPr>
          <w:trHeight w:val="29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Kraví hora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Z014R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CETIN</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36</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48.9513483N, 15.9018100E</w:t>
            </w:r>
          </w:p>
        </w:tc>
      </w:tr>
      <w:tr>
        <w:trPr>
          <w:trHeight w:val="29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Háj</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Z015R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CETIN</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35</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48.8896111N, 17.5525708E</w:t>
            </w:r>
          </w:p>
        </w:tc>
      </w:tr>
      <w:tr>
        <w:trPr>
          <w:trHeight w:val="446" w:hRule="exact"/>
        </w:trPr>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Rozhledna</w:t>
            </w:r>
          </w:p>
          <w:p>
            <w:pPr>
              <w:pStyle w:val="Style27"/>
              <w:keepNext w:val="0"/>
              <w:keepLines w:val="0"/>
              <w:widowControl w:val="0"/>
              <w:shd w:val="clear" w:color="auto" w:fill="auto"/>
              <w:bidi w:val="0"/>
              <w:spacing w:before="0" w:after="0" w:line="240" w:lineRule="auto"/>
              <w:ind w:left="0" w:right="0" w:firstLine="0"/>
              <w:jc w:val="left"/>
            </w:pPr>
            <w:r>
              <w:rPr>
                <w:rStyle w:val="CharStyle28"/>
              </w:rPr>
              <w:t>Vladimíra Menšíka</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280"/>
              <w:jc w:val="left"/>
            </w:pPr>
            <w:r>
              <w:rPr>
                <w:rStyle w:val="CharStyle28"/>
              </w:rPr>
              <w:t>Z016R</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rPr>
              <w:t>Obec Hlína</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rPr>
              <w:t>27</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both"/>
            </w:pPr>
            <w:r>
              <w:rPr>
                <w:rStyle w:val="CharStyle28"/>
              </w:rPr>
              <w:t>49.1173592N, 16.4260078E</w:t>
            </w:r>
          </w:p>
        </w:tc>
      </w:tr>
      <w:tr>
        <w:trPr>
          <w:trHeight w:val="29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Okrouhlá</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left"/>
            </w:pPr>
            <w:r>
              <w:rPr>
                <w:rStyle w:val="CharStyle28"/>
              </w:rPr>
              <w:t>Z017R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Nordic Telecom</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35</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49.5125000N, 16.7380556E</w:t>
            </w:r>
          </w:p>
        </w:tc>
      </w:tr>
      <w:tr>
        <w:trPr>
          <w:trHeight w:val="317" w:hRule="exact"/>
        </w:trPr>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Bmo-Hády</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80"/>
              <w:jc w:val="left"/>
            </w:pPr>
            <w:r>
              <w:rPr>
                <w:rStyle w:val="CharStyle28"/>
              </w:rPr>
              <w:t>Z018R</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ČRa</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pPr>
            <w:r>
              <w:rPr>
                <w:rStyle w:val="CharStyle28"/>
              </w:rPr>
              <w:t>55</w:t>
            </w:r>
          </w:p>
        </w:tc>
        <w:tc>
          <w:tcPr>
            <w:tcBorders>
              <w:top w:val="single" w:sz="4"/>
              <w:left w:val="single" w:sz="4"/>
              <w:bottom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both"/>
            </w:pPr>
            <w:r>
              <w:rPr>
                <w:rStyle w:val="CharStyle28"/>
              </w:rPr>
              <w:t>49.2225389N, 16.6746572E</w:t>
            </w:r>
          </w:p>
        </w:tc>
      </w:tr>
    </w:tbl>
    <w:p>
      <w:pPr>
        <w:widowControl w:val="0"/>
        <w:spacing w:after="439" w:line="1" w:lineRule="exact"/>
      </w:pPr>
    </w:p>
    <w:p>
      <w:pPr>
        <w:pStyle w:val="Style53"/>
        <w:keepNext/>
        <w:keepLines/>
        <w:widowControl w:val="0"/>
        <w:numPr>
          <w:ilvl w:val="2"/>
          <w:numId w:val="11"/>
        </w:numPr>
        <w:shd w:val="clear" w:color="auto" w:fill="auto"/>
        <w:tabs>
          <w:tab w:pos="1377" w:val="left"/>
        </w:tabs>
        <w:bidi w:val="0"/>
        <w:spacing w:before="0" w:after="100" w:line="230" w:lineRule="auto"/>
        <w:ind w:left="0" w:right="0"/>
        <w:jc w:val="both"/>
      </w:pPr>
      <w:bookmarkStart w:id="12" w:name="bookmark12"/>
      <w:r>
        <w:rPr>
          <w:rStyle w:val="CharStyle54"/>
          <w:b/>
          <w:bCs/>
        </w:rPr>
        <w:t>Krajské zdravotnické operační středisko (KZOS)</w:t>
      </w:r>
      <w:bookmarkEnd w:id="12"/>
    </w:p>
    <w:p>
      <w:pPr>
        <w:pStyle w:val="Style15"/>
        <w:keepNext w:val="0"/>
        <w:keepLines w:val="0"/>
        <w:widowControl w:val="0"/>
        <w:shd w:val="clear" w:color="auto" w:fill="auto"/>
        <w:bidi w:val="0"/>
        <w:spacing w:before="0" w:after="160" w:line="257" w:lineRule="auto"/>
        <w:ind w:left="0" w:right="0" w:firstLine="0"/>
        <w:jc w:val="both"/>
      </w:pPr>
      <w:r>
        <w:rPr>
          <w:rStyle w:val="CharStyle16"/>
        </w:rPr>
        <w:t>Na řídících dispečerských pracovištích jsou instalovány základnové radiostanice s dispečerskou hovorovou soupravou. Anténní systém radiostanic je umístěn na střeše objektu zadavatele ZZS JmK v lokalitě Brno - Bohunice (Kamenice 798/1 d, Brno, PSČ 625 00). Směrové antény jsou směrovány na stávající retranslační stanice. Jejich komunikace bude i nadále probíhat přes stávající retranslační stanice. Jedná se o vozidlové radiostanice DM4000e s odděleným displejem a zdrojem 12 V pro zajištění napájení.</w:t>
      </w:r>
    </w:p>
    <w:p>
      <w:pPr>
        <w:pStyle w:val="Style15"/>
        <w:keepNext w:val="0"/>
        <w:keepLines w:val="0"/>
        <w:widowControl w:val="0"/>
        <w:shd w:val="clear" w:color="auto" w:fill="auto"/>
        <w:bidi w:val="0"/>
        <w:spacing w:before="0" w:line="257" w:lineRule="auto"/>
        <w:ind w:left="0" w:right="0" w:firstLine="0"/>
        <w:jc w:val="both"/>
      </w:pPr>
      <w:r>
        <w:rPr>
          <w:rStyle w:val="CharStyle16"/>
        </w:rPr>
        <w:t>Všechny retranslační stanice jsou propojeny do jednotné sítě a jsou napojeny na KZOS pomocí základnových radiostanic dispečerské soupravy. Tedy z radiostanic dispečerské soupravy bude možné komunikovat s radiostanicemi (radiostanicí) v dosahu jedné (nebo více) retranslačních stanic. V případě, že radiostanice bude v dosahu více radiostanic, musí komunikovat přes retranslační stanici s nejlepším rádiovým signálem.</w:t>
      </w:r>
    </w:p>
    <w:p>
      <w:pPr>
        <w:pStyle w:val="Style23"/>
        <w:keepNext w:val="0"/>
        <w:keepLines w:val="0"/>
        <w:widowControl w:val="0"/>
        <w:shd w:val="clear" w:color="auto" w:fill="auto"/>
        <w:bidi w:val="0"/>
        <w:spacing w:before="0" w:after="0" w:line="240" w:lineRule="auto"/>
        <w:ind w:left="0" w:right="0" w:firstLine="0"/>
        <w:jc w:val="left"/>
      </w:pPr>
      <w:r>
        <w:rPr>
          <w:rStyle w:val="CharStyle24"/>
          <w:b/>
          <w:bCs/>
        </w:rPr>
        <w:t>Tabulka 2 Stávající základnová stanice</w:t>
      </w:r>
    </w:p>
    <w:tbl>
      <w:tblPr>
        <w:tblOverlap w:val="never"/>
        <w:jc w:val="center"/>
        <w:tblLayout w:type="fixed"/>
      </w:tblPr>
      <w:tblGrid>
        <w:gridCol w:w="1781"/>
        <w:gridCol w:w="1200"/>
        <w:gridCol w:w="1531"/>
        <w:gridCol w:w="1464"/>
        <w:gridCol w:w="2707"/>
      </w:tblGrid>
      <w:tr>
        <w:trPr>
          <w:trHeight w:val="701"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ZS</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Označení</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objekt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59" w:lineRule="auto"/>
              <w:ind w:left="0" w:right="0" w:firstLine="0"/>
              <w:jc w:val="center"/>
            </w:pPr>
            <w:r>
              <w:rPr>
                <w:rStyle w:val="CharStyle28"/>
                <w:b/>
                <w:bCs/>
              </w:rPr>
              <w:t>Výška antény nad terénem [m]</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Souřadnice</w:t>
            </w:r>
          </w:p>
        </w:tc>
      </w:tr>
      <w:tr>
        <w:trPr>
          <w:trHeight w:val="614" w:hRule="exact"/>
        </w:trPr>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80" w:line="240" w:lineRule="auto"/>
              <w:ind w:left="0" w:right="0" w:firstLine="0"/>
              <w:jc w:val="left"/>
            </w:pPr>
            <w:r>
              <w:rPr>
                <w:rStyle w:val="CharStyle28"/>
              </w:rPr>
              <w:t>Kamenice l</w:t>
            </w:r>
          </w:p>
          <w:p>
            <w:pPr>
              <w:pStyle w:val="Style27"/>
              <w:keepNext w:val="0"/>
              <w:keepLines w:val="0"/>
              <w:widowControl w:val="0"/>
              <w:shd w:val="clear" w:color="auto" w:fill="auto"/>
              <w:bidi w:val="0"/>
              <w:spacing w:before="0" w:after="0" w:line="240" w:lineRule="auto"/>
              <w:ind w:left="0" w:right="0" w:firstLine="0"/>
              <w:jc w:val="left"/>
            </w:pPr>
            <w:r>
              <w:rPr>
                <w:rStyle w:val="CharStyle28"/>
              </w:rPr>
              <w:t>Kamenice II</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80" w:line="240" w:lineRule="auto"/>
              <w:ind w:left="0" w:right="0" w:firstLine="0"/>
              <w:jc w:val="center"/>
            </w:pPr>
            <w:r>
              <w:rPr>
                <w:rStyle w:val="CharStyle28"/>
              </w:rPr>
              <w:t>Z011U</w:t>
            </w:r>
          </w:p>
          <w:p>
            <w:pPr>
              <w:pStyle w:val="Style27"/>
              <w:keepNext w:val="0"/>
              <w:keepLines w:val="0"/>
              <w:widowControl w:val="0"/>
              <w:shd w:val="clear" w:color="auto" w:fill="auto"/>
              <w:bidi w:val="0"/>
              <w:spacing w:before="0" w:after="0" w:line="240" w:lineRule="auto"/>
              <w:ind w:left="0" w:right="0" w:firstLine="0"/>
              <w:jc w:val="center"/>
            </w:pPr>
            <w:r>
              <w:rPr>
                <w:rStyle w:val="CharStyle28"/>
              </w:rPr>
              <w:t>Z012U</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rPr>
              <w:t>ZZS JmK</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rPr>
              <w:t>23</w:t>
            </w:r>
          </w:p>
        </w:tc>
        <w:tc>
          <w:tcPr>
            <w:tcBorders>
              <w:top w:val="single" w:sz="4"/>
              <w:left w:val="single" w:sz="4"/>
              <w:bottom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rPr>
              <w:t>49.1769444N, 16.5761111E</w:t>
            </w:r>
          </w:p>
        </w:tc>
      </w:tr>
    </w:tbl>
    <w:p>
      <w:pPr>
        <w:widowControl w:val="0"/>
        <w:spacing w:after="439" w:line="1" w:lineRule="exact"/>
      </w:pPr>
    </w:p>
    <w:p>
      <w:pPr>
        <w:pStyle w:val="Style53"/>
        <w:keepNext/>
        <w:keepLines/>
        <w:widowControl w:val="0"/>
        <w:numPr>
          <w:ilvl w:val="2"/>
          <w:numId w:val="11"/>
        </w:numPr>
        <w:shd w:val="clear" w:color="auto" w:fill="auto"/>
        <w:tabs>
          <w:tab w:pos="1377" w:val="left"/>
        </w:tabs>
        <w:bidi w:val="0"/>
        <w:spacing w:before="0" w:after="100" w:line="269" w:lineRule="auto"/>
        <w:ind w:left="0" w:right="0"/>
        <w:jc w:val="both"/>
      </w:pPr>
      <w:bookmarkStart w:id="14" w:name="bookmark14"/>
      <w:r>
        <w:rPr>
          <w:rStyle w:val="CharStyle54"/>
          <w:b/>
          <w:bCs/>
        </w:rPr>
        <w:t>Vozidlové a ruční radiostanice</w:t>
      </w:r>
      <w:bookmarkEnd w:id="14"/>
    </w:p>
    <w:p>
      <w:pPr>
        <w:pStyle w:val="Style15"/>
        <w:keepNext w:val="0"/>
        <w:keepLines w:val="0"/>
        <w:widowControl w:val="0"/>
        <w:shd w:val="clear" w:color="auto" w:fill="auto"/>
        <w:bidi w:val="0"/>
        <w:spacing w:before="0" w:after="0" w:line="300" w:lineRule="auto"/>
        <w:ind w:left="0" w:right="0" w:firstLine="0"/>
        <w:jc w:val="both"/>
      </w:pPr>
      <w:r>
        <w:rPr>
          <w:rStyle w:val="CharStyle16"/>
        </w:rPr>
        <w:t>Ve stávající rádiové síti jsou provozovány radiostanice výrobce Motorola Solutions modelové řady DM4000e (vozidlová radiostanice) a DP4000e (kapesní radiostanice) s celkovým počtem 273 RDST provozované na základě standardu DMR Tier II s rozšiřující funkcí Linked capacity plus.</w:t>
      </w:r>
    </w:p>
    <w:p>
      <w:pPr>
        <w:pStyle w:val="Style15"/>
        <w:keepNext w:val="0"/>
        <w:keepLines w:val="0"/>
        <w:widowControl w:val="0"/>
        <w:shd w:val="clear" w:color="auto" w:fill="auto"/>
        <w:bidi w:val="0"/>
        <w:spacing w:before="0" w:after="180" w:line="300" w:lineRule="auto"/>
        <w:ind w:left="0" w:right="0" w:firstLine="0"/>
        <w:jc w:val="both"/>
      </w:pPr>
      <w:r>
        <w:rPr>
          <w:rStyle w:val="CharStyle16"/>
        </w:rPr>
        <w:t>Pro zlepšení srozumitelnosti audia u ručních radiostanic v terénu je využívána funkcionalita vylepšení audia Single Input Noise Cancellation. Tato funkcionalita zabezpečuje vylepšení potlačení šumu pomocí standardního mikrofonu.</w:t>
      </w:r>
    </w:p>
    <w:p>
      <w:pPr>
        <w:pStyle w:val="Style46"/>
        <w:keepNext w:val="0"/>
        <w:keepLines w:val="0"/>
        <w:widowControl w:val="0"/>
        <w:numPr>
          <w:ilvl w:val="1"/>
          <w:numId w:val="11"/>
        </w:numPr>
        <w:shd w:val="clear" w:color="auto" w:fill="auto"/>
        <w:tabs>
          <w:tab w:pos="1151" w:val="left"/>
        </w:tabs>
        <w:bidi w:val="0"/>
        <w:spacing w:before="0" w:after="120" w:line="240" w:lineRule="auto"/>
        <w:ind w:left="0" w:right="0" w:firstLine="340"/>
        <w:jc w:val="both"/>
      </w:pPr>
      <w:r>
        <w:rPr>
          <w:rStyle w:val="CharStyle47"/>
          <w:b/>
          <w:bCs/>
        </w:rPr>
        <w:t>Rádiová síť DMR</w:t>
      </w:r>
    </w:p>
    <w:p>
      <w:pPr>
        <w:pStyle w:val="Style15"/>
        <w:keepNext w:val="0"/>
        <w:keepLines w:val="0"/>
        <w:widowControl w:val="0"/>
        <w:shd w:val="clear" w:color="auto" w:fill="auto"/>
        <w:bidi w:val="0"/>
        <w:spacing w:before="0" w:after="220" w:line="259" w:lineRule="auto"/>
        <w:ind w:left="0" w:right="0" w:firstLine="0"/>
        <w:jc w:val="both"/>
      </w:pPr>
      <w:r>
        <w:rPr>
          <w:rStyle w:val="CharStyle16"/>
        </w:rPr>
        <w:t>Pro zajištění zlepšení pokrytí území rádiovým signálem JmK požaduje zadavatel modernizaci rádiového stanoviště Kojál a zapojení do stávající rádiové sítě. Nabízená rádiová zařízení musejí umožnit připojení stávajích retranslačních stanic včetně využití stávajících licencí Capacity plus Multisite. Nabízená rádiová zařízení musí technicky odpovídat požadavkům na vysílací rádiová zařízení tak, aby bylo možné tato zařízení provozovat v České republice včetně oblastí, kde jsou kmitočty mezinárodně koordinovány se sousedními státy.</w:t>
      </w:r>
    </w:p>
    <w:p>
      <w:pPr>
        <w:pStyle w:val="Style15"/>
        <w:keepNext w:val="0"/>
        <w:keepLines w:val="0"/>
        <w:widowControl w:val="0"/>
        <w:shd w:val="clear" w:color="auto" w:fill="auto"/>
        <w:bidi w:val="0"/>
        <w:spacing w:before="0" w:after="120" w:line="259" w:lineRule="auto"/>
        <w:ind w:left="0" w:right="0" w:firstLine="0"/>
        <w:jc w:val="both"/>
      </w:pPr>
      <w:r>
        <w:rPr>
          <w:rStyle w:val="CharStyle16"/>
          <w:u w:val="single"/>
        </w:rPr>
        <w:t>Předmětem zakázky je</w:t>
      </w:r>
      <w:r>
        <w:rPr>
          <w:rStyle w:val="CharStyle16"/>
        </w:rPr>
        <w:t>:</w:t>
      </w:r>
    </w:p>
    <w:p>
      <w:pPr>
        <w:pStyle w:val="Style15"/>
        <w:keepNext w:val="0"/>
        <w:keepLines w:val="0"/>
        <w:widowControl w:val="0"/>
        <w:numPr>
          <w:ilvl w:val="0"/>
          <w:numId w:val="15"/>
        </w:numPr>
        <w:shd w:val="clear" w:color="auto" w:fill="auto"/>
        <w:tabs>
          <w:tab w:pos="704" w:val="left"/>
        </w:tabs>
        <w:bidi w:val="0"/>
        <w:spacing w:before="0" w:after="120"/>
        <w:ind w:left="680" w:right="0" w:hanging="320"/>
        <w:jc w:val="both"/>
      </w:pPr>
      <w:r>
        <w:rPr>
          <w:rStyle w:val="CharStyle16"/>
        </w:rPr>
        <w:t>Demontáž stávající technologie umístěné na stanovišti Kojál a předání demontovaných komponent zadavateli.</w:t>
      </w:r>
    </w:p>
    <w:p>
      <w:pPr>
        <w:pStyle w:val="Style15"/>
        <w:keepNext w:val="0"/>
        <w:keepLines w:val="0"/>
        <w:widowControl w:val="0"/>
        <w:shd w:val="clear" w:color="auto" w:fill="auto"/>
        <w:bidi w:val="0"/>
        <w:spacing w:before="0" w:after="120" w:line="259" w:lineRule="auto"/>
        <w:ind w:left="0" w:right="0" w:firstLine="680"/>
        <w:jc w:val="both"/>
      </w:pPr>
      <w:r>
        <w:rPr>
          <w:rStyle w:val="CharStyle16"/>
        </w:rPr>
        <w:t>Dodávka všech potřebných komponent rádiového systému (zejména retranslační stanice).</w:t>
      </w:r>
    </w:p>
    <w:p>
      <w:pPr>
        <w:pStyle w:val="Style15"/>
        <w:keepNext w:val="0"/>
        <w:keepLines w:val="0"/>
        <w:widowControl w:val="0"/>
        <w:shd w:val="clear" w:color="auto" w:fill="auto"/>
        <w:bidi w:val="0"/>
        <w:spacing w:before="0" w:after="120" w:line="259" w:lineRule="auto"/>
        <w:ind w:left="0" w:right="0" w:firstLine="680"/>
        <w:jc w:val="both"/>
      </w:pPr>
      <w:r>
        <w:rPr>
          <w:rStyle w:val="CharStyle16"/>
        </w:rPr>
        <w:t>Přivedení napájení k retranslační stanici.</w:t>
      </w:r>
    </w:p>
    <w:p>
      <w:pPr>
        <w:pStyle w:val="Style15"/>
        <w:keepNext w:val="0"/>
        <w:keepLines w:val="0"/>
        <w:widowControl w:val="0"/>
        <w:numPr>
          <w:ilvl w:val="0"/>
          <w:numId w:val="15"/>
        </w:numPr>
        <w:shd w:val="clear" w:color="auto" w:fill="auto"/>
        <w:tabs>
          <w:tab w:pos="685" w:val="left"/>
        </w:tabs>
        <w:bidi w:val="0"/>
        <w:spacing w:before="0" w:after="120" w:line="259" w:lineRule="auto"/>
        <w:ind w:left="0" w:right="0" w:firstLine="340"/>
        <w:jc w:val="both"/>
      </w:pPr>
      <w:r>
        <w:rPr>
          <w:rStyle w:val="CharStyle16"/>
        </w:rPr>
        <w:t>Přivedení ethernetové konektivity z rozhraní poskytnutého zadavatelem do routeru.</w:t>
      </w:r>
    </w:p>
    <w:p>
      <w:pPr>
        <w:pStyle w:val="Style15"/>
        <w:keepNext w:val="0"/>
        <w:keepLines w:val="0"/>
        <w:widowControl w:val="0"/>
        <w:shd w:val="clear" w:color="auto" w:fill="auto"/>
        <w:bidi w:val="0"/>
        <w:spacing w:before="0" w:after="120"/>
        <w:ind w:left="680" w:right="0" w:firstLine="20"/>
        <w:jc w:val="both"/>
      </w:pPr>
      <w:r>
        <w:rPr>
          <w:rStyle w:val="CharStyle16"/>
        </w:rPr>
        <w:t>Instalace všech komponent a částí na stanovišti tak, aby byl systém plně funkční a v souladu se všemi relevantními předpisy.</w:t>
      </w:r>
    </w:p>
    <w:p>
      <w:pPr>
        <w:pStyle w:val="Style15"/>
        <w:keepNext w:val="0"/>
        <w:keepLines w:val="0"/>
        <w:widowControl w:val="0"/>
        <w:shd w:val="clear" w:color="auto" w:fill="auto"/>
        <w:bidi w:val="0"/>
        <w:spacing w:before="0" w:after="120" w:line="259" w:lineRule="auto"/>
        <w:ind w:left="680" w:right="0" w:firstLine="20"/>
        <w:jc w:val="both"/>
      </w:pPr>
      <w:r>
        <w:rPr>
          <w:rStyle w:val="CharStyle16"/>
        </w:rPr>
        <w:t>Připojení nově dodávané retranslační stanice do stávající rádiové sítě.</w:t>
      </w:r>
    </w:p>
    <w:p>
      <w:pPr>
        <w:pStyle w:val="Style15"/>
        <w:keepNext w:val="0"/>
        <w:keepLines w:val="0"/>
        <w:widowControl w:val="0"/>
        <w:shd w:val="clear" w:color="auto" w:fill="auto"/>
        <w:bidi w:val="0"/>
        <w:spacing w:before="0" w:after="340" w:line="259" w:lineRule="auto"/>
        <w:ind w:left="0" w:right="0" w:firstLine="680"/>
        <w:jc w:val="both"/>
      </w:pPr>
      <w:r>
        <w:rPr>
          <w:rStyle w:val="CharStyle16"/>
        </w:rPr>
        <w:t>Zprovoznění rádiové sítě jako celku.</w:t>
      </w:r>
    </w:p>
    <w:p>
      <w:pPr>
        <w:pStyle w:val="Style15"/>
        <w:keepNext w:val="0"/>
        <w:keepLines w:val="0"/>
        <w:widowControl w:val="0"/>
        <w:shd w:val="clear" w:color="auto" w:fill="auto"/>
        <w:bidi w:val="0"/>
        <w:spacing w:before="0" w:after="220" w:line="259" w:lineRule="auto"/>
        <w:ind w:left="0" w:right="0" w:firstLine="0"/>
        <w:jc w:val="both"/>
      </w:pPr>
      <w:r>
        <w:rPr>
          <w:rStyle w:val="CharStyle16"/>
          <w:b/>
          <w:bCs/>
        </w:rPr>
        <w:t>Požadavky na rádiovou síť</w:t>
      </w:r>
    </w:p>
    <w:p>
      <w:pPr>
        <w:pStyle w:val="Style15"/>
        <w:keepNext w:val="0"/>
        <w:keepLines w:val="0"/>
        <w:widowControl w:val="0"/>
        <w:numPr>
          <w:ilvl w:val="0"/>
          <w:numId w:val="17"/>
        </w:numPr>
        <w:shd w:val="clear" w:color="auto" w:fill="auto"/>
        <w:tabs>
          <w:tab w:pos="694" w:val="left"/>
        </w:tabs>
        <w:bidi w:val="0"/>
        <w:spacing w:before="0" w:after="120" w:line="259" w:lineRule="auto"/>
        <w:ind w:left="0" w:right="0" w:firstLine="340"/>
        <w:jc w:val="both"/>
      </w:pPr>
      <w:r>
        <w:rPr>
          <w:rStyle w:val="CharStyle16"/>
        </w:rPr>
        <w:t>Rádiová síť pro pokrytí území JmK musí umožnit:</w:t>
      </w:r>
    </w:p>
    <w:p>
      <w:pPr>
        <w:pStyle w:val="Style15"/>
        <w:keepNext w:val="0"/>
        <w:keepLines w:val="0"/>
        <w:widowControl w:val="0"/>
        <w:numPr>
          <w:ilvl w:val="0"/>
          <w:numId w:val="19"/>
        </w:numPr>
        <w:shd w:val="clear" w:color="auto" w:fill="auto"/>
        <w:tabs>
          <w:tab w:pos="1243" w:val="left"/>
        </w:tabs>
        <w:bidi w:val="0"/>
        <w:spacing w:before="0" w:after="120" w:line="259" w:lineRule="auto"/>
        <w:ind w:left="0" w:right="0" w:firstLine="840"/>
        <w:jc w:val="both"/>
      </w:pPr>
      <w:r>
        <w:rPr>
          <w:rStyle w:val="CharStyle16"/>
        </w:rPr>
        <w:t>provoz 350 vozidlových a kapesních radiostanic</w:t>
      </w:r>
    </w:p>
    <w:p>
      <w:pPr>
        <w:pStyle w:val="Style15"/>
        <w:keepNext w:val="0"/>
        <w:keepLines w:val="0"/>
        <w:widowControl w:val="0"/>
        <w:numPr>
          <w:ilvl w:val="0"/>
          <w:numId w:val="19"/>
        </w:numPr>
        <w:shd w:val="clear" w:color="auto" w:fill="auto"/>
        <w:tabs>
          <w:tab w:pos="1243" w:val="left"/>
        </w:tabs>
        <w:bidi w:val="0"/>
        <w:spacing w:before="0" w:after="120" w:line="259" w:lineRule="auto"/>
        <w:ind w:left="0" w:right="0" w:firstLine="840"/>
        <w:jc w:val="both"/>
      </w:pPr>
      <w:r>
        <w:rPr>
          <w:rStyle w:val="CharStyle16"/>
        </w:rPr>
        <w:t>šifrování end to end ARC 40</w:t>
      </w:r>
    </w:p>
    <w:p>
      <w:pPr>
        <w:pStyle w:val="Style15"/>
        <w:keepNext w:val="0"/>
        <w:keepLines w:val="0"/>
        <w:widowControl w:val="0"/>
        <w:numPr>
          <w:ilvl w:val="0"/>
          <w:numId w:val="17"/>
        </w:numPr>
        <w:shd w:val="clear" w:color="auto" w:fill="auto"/>
        <w:tabs>
          <w:tab w:pos="703" w:val="left"/>
        </w:tabs>
        <w:bidi w:val="0"/>
        <w:spacing w:before="0" w:after="120" w:line="259" w:lineRule="auto"/>
        <w:ind w:left="0" w:right="0" w:firstLine="340"/>
        <w:jc w:val="both"/>
      </w:pPr>
      <w:r>
        <w:rPr>
          <w:rStyle w:val="CharStyle16"/>
        </w:rPr>
        <w:t>Retranslační stanice budou mezi sebou propojeny do jedné rádiové sítě Linked capacity plus.</w:t>
      </w:r>
    </w:p>
    <w:p>
      <w:pPr>
        <w:pStyle w:val="Style15"/>
        <w:keepNext w:val="0"/>
        <w:keepLines w:val="0"/>
        <w:widowControl w:val="0"/>
        <w:numPr>
          <w:ilvl w:val="0"/>
          <w:numId w:val="17"/>
        </w:numPr>
        <w:shd w:val="clear" w:color="auto" w:fill="auto"/>
        <w:tabs>
          <w:tab w:pos="723" w:val="left"/>
        </w:tabs>
        <w:bidi w:val="0"/>
        <w:spacing w:before="0" w:after="120" w:line="262" w:lineRule="auto"/>
        <w:ind w:left="680" w:right="0" w:hanging="320"/>
        <w:jc w:val="both"/>
      </w:pPr>
      <w:r>
        <w:rPr>
          <w:rStyle w:val="CharStyle16"/>
        </w:rPr>
        <w:t>Nabídka bude obsahovat 1 ks licence Capacity Plus Multi Site na připojení dodávané retranslační stanice ke stávající rádiové síti.</w:t>
      </w:r>
    </w:p>
    <w:p>
      <w:pPr>
        <w:pStyle w:val="Style15"/>
        <w:keepNext w:val="0"/>
        <w:keepLines w:val="0"/>
        <w:widowControl w:val="0"/>
        <w:numPr>
          <w:ilvl w:val="0"/>
          <w:numId w:val="17"/>
        </w:numPr>
        <w:shd w:val="clear" w:color="auto" w:fill="auto"/>
        <w:tabs>
          <w:tab w:pos="733" w:val="left"/>
        </w:tabs>
        <w:bidi w:val="0"/>
        <w:spacing w:before="0" w:after="220" w:line="257" w:lineRule="auto"/>
        <w:ind w:left="680" w:right="0" w:hanging="320"/>
        <w:jc w:val="both"/>
      </w:pPr>
      <w:r>
        <w:rPr>
          <w:rStyle w:val="CharStyle16"/>
        </w:rPr>
        <w:t>Propojení všech prvků rádiové sítě budou provedena standardním rozhraním ETHERNET v IP síti zřizované zadavatelem.</w:t>
      </w:r>
    </w:p>
    <w:p>
      <w:pPr>
        <w:pStyle w:val="Style53"/>
        <w:keepNext/>
        <w:keepLines/>
        <w:widowControl w:val="0"/>
        <w:numPr>
          <w:ilvl w:val="2"/>
          <w:numId w:val="21"/>
        </w:numPr>
        <w:shd w:val="clear" w:color="auto" w:fill="auto"/>
        <w:tabs>
          <w:tab w:pos="1372" w:val="left"/>
        </w:tabs>
        <w:bidi w:val="0"/>
        <w:spacing w:before="0" w:after="220" w:line="240" w:lineRule="auto"/>
        <w:ind w:left="0" w:right="0"/>
        <w:jc w:val="both"/>
      </w:pPr>
      <w:bookmarkStart w:id="16" w:name="bookmark16"/>
      <w:r>
        <w:rPr>
          <w:rStyle w:val="CharStyle54"/>
          <w:b/>
          <w:bCs/>
        </w:rPr>
        <w:t>Retranslační stanice (převaděč)</w:t>
      </w:r>
      <w:bookmarkEnd w:id="16"/>
    </w:p>
    <w:p>
      <w:pPr>
        <w:pStyle w:val="Style15"/>
        <w:keepNext w:val="0"/>
        <w:keepLines w:val="0"/>
        <w:widowControl w:val="0"/>
        <w:shd w:val="clear" w:color="auto" w:fill="auto"/>
        <w:bidi w:val="0"/>
        <w:spacing w:before="0" w:after="120" w:line="259" w:lineRule="auto"/>
        <w:ind w:left="0" w:right="0" w:firstLine="0"/>
        <w:jc w:val="both"/>
      </w:pPr>
      <w:r>
        <w:rPr>
          <w:rStyle w:val="CharStyle16"/>
        </w:rPr>
        <w:t>Základní prvek radiové infrastruktury. Duplexní radiostanice, která splňuje standardy pro DMR Tier II. Komunikaci s dalšími komponenty rádiové sítě zajišťuje proprietární protokol výrobce přes IP datovou infrastrukturu (IP datová síť). V požadované konfiguraci rádiové sítě bude rádiové stanoviště osazeno dvěmi základnovými stanicemi.</w:t>
      </w:r>
    </w:p>
    <w:p>
      <w:pPr>
        <w:pStyle w:val="Style15"/>
        <w:keepNext w:val="0"/>
        <w:keepLines w:val="0"/>
        <w:widowControl w:val="0"/>
        <w:shd w:val="clear" w:color="auto" w:fill="auto"/>
        <w:bidi w:val="0"/>
        <w:spacing w:before="0" w:after="120" w:line="259" w:lineRule="auto"/>
        <w:ind w:left="0" w:right="0" w:firstLine="0"/>
        <w:jc w:val="both"/>
      </w:pPr>
      <w:r>
        <w:rPr>
          <w:rStyle w:val="CharStyle16"/>
        </w:rPr>
        <w:t>Provozní standard musí odpovídat normám ETSI TS 102 361-1,2,3 &amp; 4.</w:t>
      </w:r>
    </w:p>
    <w:p>
      <w:pPr>
        <w:pStyle w:val="Style15"/>
        <w:keepNext w:val="0"/>
        <w:keepLines w:val="0"/>
        <w:widowControl w:val="0"/>
        <w:shd w:val="clear" w:color="auto" w:fill="auto"/>
        <w:bidi w:val="0"/>
        <w:spacing w:before="0" w:after="120" w:line="259" w:lineRule="auto"/>
        <w:ind w:left="0" w:right="0" w:firstLine="0"/>
        <w:jc w:val="both"/>
      </w:pPr>
      <w:r>
        <w:rPr>
          <w:rStyle w:val="CharStyle16"/>
        </w:rPr>
        <w:t>Základnová stanice musí umožnit provoz v režimu DMR Tier II Linked capacity plus.</w:t>
      </w:r>
    </w:p>
    <w:p>
      <w:pPr>
        <w:pStyle w:val="Style15"/>
        <w:keepNext w:val="0"/>
        <w:keepLines w:val="0"/>
        <w:widowControl w:val="0"/>
        <w:shd w:val="clear" w:color="auto" w:fill="auto"/>
        <w:bidi w:val="0"/>
        <w:spacing w:before="0" w:after="120" w:line="257" w:lineRule="auto"/>
        <w:ind w:left="0" w:right="0" w:firstLine="0"/>
        <w:jc w:val="both"/>
      </w:pPr>
      <w:r>
        <w:rPr>
          <w:rStyle w:val="CharStyle16"/>
        </w:rPr>
        <w:t>Bude využíváno frekvenční pásmo VHF s kanálovou roztečí 12,5 kHz a ČTÚ povoleným provozem dle standardu DMR.</w:t>
      </w:r>
    </w:p>
    <w:p>
      <w:pPr>
        <w:pStyle w:val="Style15"/>
        <w:keepNext w:val="0"/>
        <w:keepLines w:val="0"/>
        <w:widowControl w:val="0"/>
        <w:numPr>
          <w:ilvl w:val="0"/>
          <w:numId w:val="23"/>
        </w:numPr>
        <w:shd w:val="clear" w:color="auto" w:fill="auto"/>
        <w:tabs>
          <w:tab w:pos="685" w:val="left"/>
        </w:tabs>
        <w:bidi w:val="0"/>
        <w:spacing w:before="0" w:after="120" w:line="259" w:lineRule="auto"/>
        <w:ind w:left="0" w:right="0" w:firstLine="340"/>
        <w:jc w:val="both"/>
      </w:pPr>
      <w:r>
        <w:rPr>
          <w:rStyle w:val="CharStyle16"/>
        </w:rPr>
        <w:t>kmitočtové pásmo 146 -174 MHz, šířka kanálu 12,5 kHz, duplexní odstup 4,6 MHz,</w:t>
      </w:r>
    </w:p>
    <w:p>
      <w:pPr>
        <w:pStyle w:val="Style15"/>
        <w:keepNext w:val="0"/>
        <w:keepLines w:val="0"/>
        <w:widowControl w:val="0"/>
        <w:numPr>
          <w:ilvl w:val="0"/>
          <w:numId w:val="23"/>
        </w:numPr>
        <w:shd w:val="clear" w:color="auto" w:fill="auto"/>
        <w:tabs>
          <w:tab w:pos="685" w:val="left"/>
        </w:tabs>
        <w:bidi w:val="0"/>
        <w:spacing w:before="0" w:after="120" w:line="259" w:lineRule="auto"/>
        <w:ind w:left="0" w:right="0" w:firstLine="340"/>
        <w:jc w:val="both"/>
      </w:pPr>
      <w:r>
        <w:rPr>
          <w:rStyle w:val="CharStyle16"/>
        </w:rPr>
        <w:t>výstupní výkon základnové stanice programově nastavitelný minimálně 1 - 50 W,</w:t>
      </w:r>
    </w:p>
    <w:p>
      <w:pPr>
        <w:pStyle w:val="Style15"/>
        <w:keepNext w:val="0"/>
        <w:keepLines w:val="0"/>
        <w:widowControl w:val="0"/>
        <w:numPr>
          <w:ilvl w:val="0"/>
          <w:numId w:val="23"/>
        </w:numPr>
        <w:shd w:val="clear" w:color="auto" w:fill="auto"/>
        <w:tabs>
          <w:tab w:pos="685" w:val="left"/>
        </w:tabs>
        <w:bidi w:val="0"/>
        <w:spacing w:before="0" w:after="120" w:line="259" w:lineRule="auto"/>
        <w:ind w:left="0" w:right="0" w:firstLine="340"/>
        <w:jc w:val="both"/>
      </w:pPr>
      <w:r>
        <w:rPr>
          <w:rStyle w:val="CharStyle16"/>
        </w:rPr>
        <w:t>vysílač určený k trvalému vysílání,</w:t>
      </w:r>
    </w:p>
    <w:p>
      <w:pPr>
        <w:pStyle w:val="Style15"/>
        <w:keepNext w:val="0"/>
        <w:keepLines w:val="0"/>
        <w:widowControl w:val="0"/>
        <w:numPr>
          <w:ilvl w:val="0"/>
          <w:numId w:val="23"/>
        </w:numPr>
        <w:shd w:val="clear" w:color="auto" w:fill="auto"/>
        <w:tabs>
          <w:tab w:pos="685" w:val="left"/>
        </w:tabs>
        <w:bidi w:val="0"/>
        <w:spacing w:before="0" w:after="120" w:line="259" w:lineRule="auto"/>
        <w:ind w:left="0" w:right="0" w:firstLine="340"/>
        <w:jc w:val="both"/>
      </w:pPr>
      <w:r>
        <w:rPr>
          <w:rStyle w:val="CharStyle16"/>
        </w:rPr>
        <w:t>Požadované druhy modulace: 10K0F3EJN; 7K60FX7WWT</w:t>
      </w:r>
    </w:p>
    <w:p>
      <w:pPr>
        <w:pStyle w:val="Style15"/>
        <w:keepNext w:val="0"/>
        <w:keepLines w:val="0"/>
        <w:widowControl w:val="0"/>
        <w:numPr>
          <w:ilvl w:val="0"/>
          <w:numId w:val="23"/>
        </w:numPr>
        <w:shd w:val="clear" w:color="auto" w:fill="auto"/>
        <w:tabs>
          <w:tab w:pos="704" w:val="left"/>
        </w:tabs>
        <w:bidi w:val="0"/>
        <w:spacing w:before="0" w:after="120" w:line="262" w:lineRule="auto"/>
        <w:ind w:left="680" w:right="0" w:hanging="320"/>
        <w:jc w:val="both"/>
      </w:pPr>
      <w:r>
        <w:rPr>
          <w:rStyle w:val="CharStyle16"/>
        </w:rPr>
        <w:t>zařízení poskytuje provozní stavové a alarmové údaje v místě instalace i prostřednictvím vzdáleného dohledu,</w:t>
      </w:r>
    </w:p>
    <w:p>
      <w:pPr>
        <w:pStyle w:val="Style15"/>
        <w:keepNext w:val="0"/>
        <w:keepLines w:val="0"/>
        <w:widowControl w:val="0"/>
        <w:numPr>
          <w:ilvl w:val="0"/>
          <w:numId w:val="23"/>
        </w:numPr>
        <w:shd w:val="clear" w:color="auto" w:fill="auto"/>
        <w:tabs>
          <w:tab w:pos="685" w:val="left"/>
        </w:tabs>
        <w:bidi w:val="0"/>
        <w:spacing w:before="0" w:after="120" w:line="259" w:lineRule="auto"/>
        <w:ind w:left="0" w:right="0" w:firstLine="340"/>
        <w:jc w:val="both"/>
      </w:pPr>
      <w:r>
        <w:rPr>
          <w:rStyle w:val="CharStyle16"/>
        </w:rPr>
        <w:t>vstupní / výstupní rozhraní: 1 x Ethernet 10BT/100TX, 1 x konektor pro externí příslušenství,</w:t>
      </w:r>
    </w:p>
    <w:p>
      <w:pPr>
        <w:pStyle w:val="Style15"/>
        <w:keepNext w:val="0"/>
        <w:keepLines w:val="0"/>
        <w:widowControl w:val="0"/>
        <w:numPr>
          <w:ilvl w:val="0"/>
          <w:numId w:val="23"/>
        </w:numPr>
        <w:shd w:val="clear" w:color="auto" w:fill="auto"/>
        <w:tabs>
          <w:tab w:pos="686" w:val="left"/>
        </w:tabs>
        <w:bidi w:val="0"/>
        <w:spacing w:before="0" w:after="120" w:line="257" w:lineRule="auto"/>
        <w:ind w:left="0" w:right="0" w:firstLine="340"/>
        <w:jc w:val="both"/>
      </w:pPr>
      <w:r>
        <w:rPr>
          <w:rStyle w:val="CharStyle16"/>
        </w:rPr>
        <w:t>pracovní rozsah teplot: - 30°C až 60°C,</w:t>
      </w:r>
    </w:p>
    <w:p>
      <w:pPr>
        <w:pStyle w:val="Style15"/>
        <w:keepNext w:val="0"/>
        <w:keepLines w:val="0"/>
        <w:widowControl w:val="0"/>
        <w:numPr>
          <w:ilvl w:val="0"/>
          <w:numId w:val="23"/>
        </w:numPr>
        <w:shd w:val="clear" w:color="auto" w:fill="auto"/>
        <w:tabs>
          <w:tab w:pos="686" w:val="left"/>
        </w:tabs>
        <w:bidi w:val="0"/>
        <w:spacing w:before="0" w:after="120" w:line="257" w:lineRule="auto"/>
        <w:ind w:left="0" w:right="0" w:firstLine="340"/>
        <w:jc w:val="both"/>
      </w:pPr>
      <w:r>
        <w:rPr>
          <w:rStyle w:val="CharStyle16"/>
        </w:rPr>
        <w:t>zařízení musí být konfigurovatelné pomocí dálkového přístupu,</w:t>
      </w:r>
    </w:p>
    <w:p>
      <w:pPr>
        <w:pStyle w:val="Style15"/>
        <w:keepNext w:val="0"/>
        <w:keepLines w:val="0"/>
        <w:widowControl w:val="0"/>
        <w:numPr>
          <w:ilvl w:val="0"/>
          <w:numId w:val="23"/>
        </w:numPr>
        <w:shd w:val="clear" w:color="auto" w:fill="auto"/>
        <w:tabs>
          <w:tab w:pos="686" w:val="left"/>
        </w:tabs>
        <w:bidi w:val="0"/>
        <w:spacing w:before="0" w:after="120" w:line="257" w:lineRule="auto"/>
        <w:ind w:left="0" w:right="0" w:firstLine="340"/>
        <w:jc w:val="both"/>
      </w:pPr>
      <w:r>
        <w:rPr>
          <w:rStyle w:val="CharStyle16"/>
        </w:rPr>
        <w:t>anténní slučovač pro sloučení přijímače a vysílače,</w:t>
      </w:r>
    </w:p>
    <w:p>
      <w:pPr>
        <w:pStyle w:val="Style15"/>
        <w:keepNext w:val="0"/>
        <w:keepLines w:val="0"/>
        <w:widowControl w:val="0"/>
        <w:numPr>
          <w:ilvl w:val="0"/>
          <w:numId w:val="23"/>
        </w:numPr>
        <w:shd w:val="clear" w:color="auto" w:fill="auto"/>
        <w:tabs>
          <w:tab w:pos="686" w:val="left"/>
        </w:tabs>
        <w:bidi w:val="0"/>
        <w:spacing w:before="0" w:after="120" w:line="257" w:lineRule="auto"/>
        <w:ind w:left="0" w:right="0" w:firstLine="340"/>
        <w:jc w:val="both"/>
      </w:pPr>
      <w:r>
        <w:rPr>
          <w:rStyle w:val="CharStyle16"/>
        </w:rPr>
        <w:t>interní zdroj 230 V AC se zálohováním 12 V DC baterií,</w:t>
      </w:r>
    </w:p>
    <w:p>
      <w:pPr>
        <w:pStyle w:val="Style15"/>
        <w:keepNext w:val="0"/>
        <w:keepLines w:val="0"/>
        <w:widowControl w:val="0"/>
        <w:numPr>
          <w:ilvl w:val="0"/>
          <w:numId w:val="23"/>
        </w:numPr>
        <w:shd w:val="clear" w:color="auto" w:fill="auto"/>
        <w:tabs>
          <w:tab w:pos="686" w:val="left"/>
        </w:tabs>
        <w:bidi w:val="0"/>
        <w:spacing w:before="0" w:after="120" w:line="257" w:lineRule="auto"/>
        <w:ind w:left="680" w:right="0" w:hanging="340"/>
        <w:jc w:val="both"/>
      </w:pPr>
      <w:r>
        <w:rPr>
          <w:rStyle w:val="CharStyle16"/>
        </w:rPr>
        <w:t>nabíjecí zdroj baterií pro zajištění nabití baterií z hlavního zdroje elektrické energie. Musí být zajištěno nabití akumulátorů zdroje na 80% maximální jmenovité kapacity z vybitého stavu za dobu, která nepřesáhne 5 hodin (pro baterie zajišťující zálohu na 30 minut).</w:t>
      </w:r>
    </w:p>
    <w:p>
      <w:pPr>
        <w:pStyle w:val="Style15"/>
        <w:keepNext w:val="0"/>
        <w:keepLines w:val="0"/>
        <w:widowControl w:val="0"/>
        <w:numPr>
          <w:ilvl w:val="0"/>
          <w:numId w:val="23"/>
        </w:numPr>
        <w:shd w:val="clear" w:color="auto" w:fill="auto"/>
        <w:tabs>
          <w:tab w:pos="686" w:val="left"/>
        </w:tabs>
        <w:bidi w:val="0"/>
        <w:spacing w:before="0" w:after="120" w:line="240" w:lineRule="auto"/>
        <w:ind w:left="680" w:right="0" w:hanging="340"/>
        <w:jc w:val="both"/>
      </w:pPr>
      <w:r>
        <w:rPr>
          <w:rStyle w:val="CharStyle16"/>
        </w:rPr>
        <w:t>provoz na záložní baterie v objektu Kojál se zálohovaným napájením na 30 minut provozu pro překlenutí náběhu záložního zdroje napájení,</w:t>
      </w:r>
    </w:p>
    <w:p>
      <w:pPr>
        <w:pStyle w:val="Style15"/>
        <w:keepNext w:val="0"/>
        <w:keepLines w:val="0"/>
        <w:widowControl w:val="0"/>
        <w:numPr>
          <w:ilvl w:val="0"/>
          <w:numId w:val="23"/>
        </w:numPr>
        <w:shd w:val="clear" w:color="auto" w:fill="auto"/>
        <w:tabs>
          <w:tab w:pos="686" w:val="left"/>
        </w:tabs>
        <w:bidi w:val="0"/>
        <w:spacing w:before="0" w:after="120" w:line="240" w:lineRule="auto"/>
        <w:ind w:left="680" w:right="0" w:hanging="340"/>
        <w:jc w:val="both"/>
      </w:pPr>
      <w:r>
        <w:rPr>
          <w:rStyle w:val="CharStyle16"/>
        </w:rPr>
        <w:t>vyzářený výkon včetně útlumu (zisku) anténního systému bude v závislosti na individuálním oprávnění v rozsahu 1 až 10 W.</w:t>
      </w:r>
    </w:p>
    <w:p>
      <w:pPr>
        <w:pStyle w:val="Style15"/>
        <w:keepNext w:val="0"/>
        <w:keepLines w:val="0"/>
        <w:widowControl w:val="0"/>
        <w:shd w:val="clear" w:color="auto" w:fill="auto"/>
        <w:bidi w:val="0"/>
        <w:spacing w:before="0" w:after="120" w:line="240" w:lineRule="auto"/>
        <w:ind w:left="0" w:right="0" w:firstLine="0"/>
        <w:jc w:val="both"/>
      </w:pPr>
      <w:r>
        <w:rPr>
          <w:rStyle w:val="CharStyle16"/>
        </w:rPr>
        <w:t>Pro retranslační stanice předepisuje zadavatel výkonovou rezervu pro možné slučování více kanálů do jedné antény (maximálně dvou).</w:t>
      </w:r>
    </w:p>
    <w:p>
      <w:pPr>
        <w:pStyle w:val="Style15"/>
        <w:keepNext w:val="0"/>
        <w:keepLines w:val="0"/>
        <w:widowControl w:val="0"/>
        <w:shd w:val="clear" w:color="auto" w:fill="auto"/>
        <w:bidi w:val="0"/>
        <w:spacing w:before="0" w:line="257" w:lineRule="auto"/>
        <w:ind w:left="0" w:right="0" w:firstLine="0"/>
        <w:jc w:val="both"/>
      </w:pPr>
      <w:r>
        <w:rPr>
          <w:rStyle w:val="CharStyle16"/>
        </w:rPr>
        <w:t>Převaděč bude umístěný do dodané Instalační skříně (viz položka č. 7 v rozpočtu). Součástí dodávky skříně bude polička pro umístění anténního slučovače, routeru a záložní baterie na 30 minut provozu. Záložní baterie budou umístěny na dně skříně spolu s anténním slučovačem, pokud nebudou fitry součástí slučovače budou umístěny vedle skříně převaděče.</w:t>
      </w:r>
    </w:p>
    <w:p>
      <w:pPr>
        <w:pStyle w:val="Style23"/>
        <w:keepNext w:val="0"/>
        <w:keepLines w:val="0"/>
        <w:widowControl w:val="0"/>
        <w:shd w:val="clear" w:color="auto" w:fill="auto"/>
        <w:bidi w:val="0"/>
        <w:spacing w:before="0" w:after="0" w:line="240" w:lineRule="auto"/>
        <w:ind w:left="0" w:right="0" w:firstLine="0"/>
        <w:jc w:val="left"/>
      </w:pPr>
      <w:r>
        <w:rPr>
          <w:rStyle w:val="CharStyle24"/>
          <w:b/>
          <w:bCs/>
        </w:rPr>
        <w:t>Tabulka 3 Plánovaná retranslační stanice</w:t>
      </w:r>
    </w:p>
    <w:tbl>
      <w:tblPr>
        <w:tblOverlap w:val="never"/>
        <w:jc w:val="center"/>
        <w:tblLayout w:type="fixed"/>
      </w:tblPr>
      <w:tblGrid>
        <w:gridCol w:w="1781"/>
        <w:gridCol w:w="1214"/>
        <w:gridCol w:w="1526"/>
        <w:gridCol w:w="1450"/>
        <w:gridCol w:w="2726"/>
      </w:tblGrid>
      <w:tr>
        <w:trPr>
          <w:trHeight w:val="696"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BTS</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Označení</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Objekt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57" w:lineRule="auto"/>
              <w:ind w:left="0" w:right="0" w:firstLine="0"/>
              <w:jc w:val="center"/>
            </w:pPr>
            <w:r>
              <w:rPr>
                <w:rStyle w:val="CharStyle28"/>
                <w:b/>
                <w:bCs/>
              </w:rPr>
              <w:t>Výška antény nad terénem [m]</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Souřadnice</w:t>
            </w:r>
          </w:p>
        </w:tc>
      </w:tr>
      <w:tr>
        <w:trPr>
          <w:trHeight w:val="322" w:hRule="exact"/>
        </w:trPr>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Kojál</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Z009R</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ČRa</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43</w:t>
            </w:r>
          </w:p>
        </w:tc>
        <w:tc>
          <w:tcPr>
            <w:tcBorders>
              <w:top w:val="single" w:sz="4"/>
              <w:left w:val="single" w:sz="4"/>
              <w:bottom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49.3694444N, 16.8163889E</w:t>
            </w:r>
          </w:p>
        </w:tc>
      </w:tr>
    </w:tbl>
    <w:p>
      <w:pPr>
        <w:pStyle w:val="Style23"/>
        <w:keepNext w:val="0"/>
        <w:keepLines w:val="0"/>
        <w:widowControl w:val="0"/>
        <w:shd w:val="clear" w:color="auto" w:fill="auto"/>
        <w:bidi w:val="0"/>
        <w:spacing w:before="0" w:after="0" w:line="240" w:lineRule="auto"/>
        <w:ind w:left="336" w:right="0" w:firstLine="0"/>
        <w:jc w:val="left"/>
        <w:rPr>
          <w:sz w:val="18"/>
          <w:szCs w:val="18"/>
        </w:rPr>
      </w:pPr>
      <w:r>
        <w:rPr>
          <w:rStyle w:val="CharStyle24"/>
          <w:b/>
          <w:bCs/>
          <w:sz w:val="18"/>
          <w:szCs w:val="18"/>
        </w:rPr>
        <w:t>1.4.2. Požadavky na prvky anténních systémů</w:t>
      </w:r>
    </w:p>
    <w:p>
      <w:pPr>
        <w:widowControl w:val="0"/>
        <w:spacing w:after="199" w:line="1" w:lineRule="exact"/>
      </w:pPr>
    </w:p>
    <w:p>
      <w:pPr>
        <w:pStyle w:val="Style15"/>
        <w:keepNext w:val="0"/>
        <w:keepLines w:val="0"/>
        <w:widowControl w:val="0"/>
        <w:shd w:val="clear" w:color="auto" w:fill="auto"/>
        <w:bidi w:val="0"/>
        <w:spacing w:before="0" w:after="120" w:line="257" w:lineRule="auto"/>
        <w:ind w:left="0" w:right="0" w:firstLine="0"/>
        <w:jc w:val="both"/>
      </w:pPr>
      <w:r>
        <w:rPr>
          <w:rStyle w:val="CharStyle16"/>
        </w:rPr>
        <w:t>Anténní systém retranslační stanice zůstane původní. Součástí dodávky bude dutinový nebo hybridní filtr na frekvenci přijímacích kmitočtů.</w:t>
      </w:r>
    </w:p>
    <w:p>
      <w:pPr>
        <w:pStyle w:val="Style15"/>
        <w:keepNext w:val="0"/>
        <w:keepLines w:val="0"/>
        <w:widowControl w:val="0"/>
        <w:shd w:val="clear" w:color="auto" w:fill="auto"/>
        <w:bidi w:val="0"/>
        <w:spacing w:before="0" w:after="120" w:line="254" w:lineRule="auto"/>
        <w:ind w:left="0" w:right="0" w:firstLine="0"/>
        <w:jc w:val="both"/>
      </w:pPr>
      <w:r>
        <w:rPr>
          <w:rStyle w:val="CharStyle16"/>
        </w:rPr>
        <w:t>Předpokládané pokrytí ze stávajících a nové budovaného stanoviště je znázorněno na mapě Jihomoravského kraje. Jedná se o matematický model pokrytí území rádiovým signálem. Dodavatel odpovídá za instalaci, nastavení a kvalitu zařízení. Instalace musí být provedena v souladu s platnými normami.</w:t>
      </w:r>
    </w:p>
    <w:p>
      <w:pPr>
        <w:widowControl w:val="0"/>
        <w:jc w:val="center"/>
        <w:rPr>
          <w:sz w:val="2"/>
          <w:szCs w:val="2"/>
        </w:rPr>
      </w:pPr>
      <w:r>
        <w:drawing>
          <wp:inline>
            <wp:extent cx="5266690" cy="256032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pic:blipFill>
                  <pic:spPr>
                    <a:xfrm>
                      <a:ext cx="5266690" cy="2560320"/>
                    </a:xfrm>
                    <a:prstGeom prst="rect"/>
                  </pic:spPr>
                </pic:pic>
              </a:graphicData>
            </a:graphic>
          </wp:inline>
        </w:drawing>
      </w:r>
    </w:p>
    <w:p>
      <w:pPr>
        <w:pStyle w:val="Style9"/>
        <w:keepNext w:val="0"/>
        <w:keepLines w:val="0"/>
        <w:widowControl w:val="0"/>
        <w:shd w:val="clear" w:color="auto" w:fill="auto"/>
        <w:bidi w:val="0"/>
        <w:spacing w:before="0" w:after="0" w:line="240" w:lineRule="auto"/>
        <w:ind w:left="0" w:right="0" w:firstLine="0"/>
        <w:jc w:val="left"/>
      </w:pPr>
      <w:r>
        <w:rPr>
          <w:rStyle w:val="CharStyle10"/>
          <w:b/>
          <w:bCs/>
        </w:rPr>
        <w:t>Obrázek 1 Celková mapa pokrytí JmK</w:t>
      </w:r>
    </w:p>
    <w:p>
      <w:pPr>
        <w:pStyle w:val="Style53"/>
        <w:keepNext/>
        <w:keepLines/>
        <w:widowControl w:val="0"/>
        <w:shd w:val="clear" w:color="auto" w:fill="auto"/>
        <w:bidi w:val="0"/>
        <w:spacing w:before="0" w:after="140" w:line="348" w:lineRule="auto"/>
        <w:ind w:left="0" w:right="0"/>
        <w:jc w:val="both"/>
      </w:pPr>
      <w:bookmarkStart w:id="18" w:name="bookmark18"/>
      <w:r>
        <w:rPr>
          <w:rStyle w:val="CharStyle54"/>
          <w:b/>
          <w:bCs/>
        </w:rPr>
        <w:t>1.4.1. Požadavky na instalaci</w:t>
      </w:r>
      <w:bookmarkEnd w:id="18"/>
    </w:p>
    <w:p>
      <w:pPr>
        <w:pStyle w:val="Style15"/>
        <w:keepNext w:val="0"/>
        <w:keepLines w:val="0"/>
        <w:widowControl w:val="0"/>
        <w:shd w:val="clear" w:color="auto" w:fill="auto"/>
        <w:bidi w:val="0"/>
        <w:spacing w:before="0" w:after="0" w:line="386" w:lineRule="auto"/>
        <w:ind w:left="0" w:right="0" w:firstLine="0"/>
        <w:jc w:val="both"/>
        <w:sectPr>
          <w:footerReference w:type="default" r:id="rId9"/>
          <w:footnotePr>
            <w:pos w:val="pageBottom"/>
            <w:numFmt w:val="upperRoman"/>
            <w:numStart w:val="1"/>
            <w:numRestart w:val="continuous"/>
            <w15:footnoteColumns w:val="1"/>
          </w:footnotePr>
          <w:pgSz w:w="11900" w:h="16840"/>
          <w:pgMar w:top="1624" w:right="1499" w:bottom="1393" w:left="1597" w:header="1196" w:footer="3" w:gutter="0"/>
          <w:pgNumType w:start="1"/>
          <w:cols w:space="720"/>
          <w:noEndnote/>
          <w:rtlGutter w:val="0"/>
          <w:docGrid w:linePitch="360"/>
        </w:sectPr>
      </w:pPr>
      <w:r>
        <w:rPr>
          <w:rStyle w:val="CharStyle16"/>
        </w:rPr>
        <w:t>Zadavatel požaduje provést instalaci v souladu se všemi zákonnými předpisy a dále s požadavky vlastníka objektu v místě instalace. Zejména musí být dodrženy požadavky na ochranu zařízení před bleskem a přepětím. Instalace bude provedena dle ČSN EN 62305 jako neizolovaná s ohledem na to, že stávající část ochrany objektu před bleskem je provedena dle ČSN 34 1390. Vyrovnání potenciálu bleskových proudů bude provedeno anténní bleskojistkou.</w:t>
      </w:r>
    </w:p>
    <w:p>
      <w:pPr>
        <w:pStyle w:val="Style23"/>
        <w:keepNext w:val="0"/>
        <w:keepLines w:val="0"/>
        <w:widowControl w:val="0"/>
        <w:shd w:val="clear" w:color="auto" w:fill="auto"/>
        <w:bidi w:val="0"/>
        <w:spacing w:before="0" w:after="0" w:line="240" w:lineRule="auto"/>
        <w:ind w:left="43" w:right="0" w:firstLine="0"/>
        <w:jc w:val="left"/>
      </w:pPr>
      <w:r>
        <w:rPr>
          <w:rStyle w:val="CharStyle24"/>
          <w:b/>
          <w:bCs/>
        </w:rPr>
        <w:t>Příloha č. 2 Rozpočet</w:t>
      </w:r>
    </w:p>
    <w:tbl>
      <w:tblPr>
        <w:tblOverlap w:val="never"/>
        <w:jc w:val="center"/>
        <w:tblLayout w:type="fixed"/>
      </w:tblPr>
      <w:tblGrid>
        <w:gridCol w:w="1046"/>
        <w:gridCol w:w="7397"/>
        <w:gridCol w:w="1632"/>
        <w:gridCol w:w="715"/>
        <w:gridCol w:w="1459"/>
        <w:gridCol w:w="1906"/>
      </w:tblGrid>
      <w:tr>
        <w:trPr>
          <w:trHeight w:val="720" w:hRule="exact"/>
        </w:trPr>
        <w:tc>
          <w:tcPr>
            <w:tcBorders>
              <w:top w:val="single" w:sz="4"/>
              <w:left w:val="single" w:sz="4"/>
            </w:tcBorders>
            <w:shd w:val="clear" w:color="auto" w:fill="D9E7FC"/>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Položka</w:t>
            </w:r>
          </w:p>
        </w:tc>
        <w:tc>
          <w:tcPr>
            <w:tcBorders>
              <w:top w:val="single" w:sz="4"/>
              <w:left w:val="single" w:sz="4"/>
            </w:tcBorders>
            <w:shd w:val="clear" w:color="auto" w:fill="D9E7FC"/>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Název - popis</w:t>
            </w:r>
          </w:p>
        </w:tc>
        <w:tc>
          <w:tcPr>
            <w:tcBorders>
              <w:top w:val="single" w:sz="4"/>
              <w:left w:val="single" w:sz="4"/>
            </w:tcBorders>
            <w:shd w:val="clear" w:color="auto" w:fill="D9E7FC"/>
            <w:vAlign w:val="center"/>
          </w:tcPr>
          <w:p>
            <w:pPr>
              <w:pStyle w:val="Style27"/>
              <w:keepNext w:val="0"/>
              <w:keepLines w:val="0"/>
              <w:widowControl w:val="0"/>
              <w:shd w:val="clear" w:color="auto" w:fill="auto"/>
              <w:bidi w:val="0"/>
              <w:spacing w:before="0" w:after="0" w:line="283" w:lineRule="auto"/>
              <w:ind w:left="0" w:right="0" w:firstLine="0"/>
              <w:jc w:val="center"/>
              <w:rPr>
                <w:sz w:val="17"/>
                <w:szCs w:val="17"/>
              </w:rPr>
            </w:pPr>
            <w:r>
              <w:rPr>
                <w:rStyle w:val="CharStyle28"/>
                <w:b/>
                <w:bCs/>
                <w:sz w:val="17"/>
                <w:szCs w:val="17"/>
              </w:rPr>
              <w:t>Cena za jednotku v Kč bez DPH</w:t>
            </w:r>
          </w:p>
        </w:tc>
        <w:tc>
          <w:tcPr>
            <w:tcBorders>
              <w:top w:val="single" w:sz="4"/>
              <w:left w:val="single" w:sz="4"/>
            </w:tcBorders>
            <w:shd w:val="clear" w:color="auto" w:fill="D9E7FC"/>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Počet</w:t>
            </w:r>
          </w:p>
        </w:tc>
        <w:tc>
          <w:tcPr>
            <w:tcBorders>
              <w:top w:val="single" w:sz="4"/>
              <w:left w:val="single" w:sz="4"/>
            </w:tcBorders>
            <w:shd w:val="clear" w:color="auto" w:fill="D9E7FC"/>
            <w:vAlign w:val="center"/>
          </w:tcPr>
          <w:p>
            <w:pPr>
              <w:pStyle w:val="Style27"/>
              <w:keepNext w:val="0"/>
              <w:keepLines w:val="0"/>
              <w:widowControl w:val="0"/>
              <w:shd w:val="clear" w:color="auto" w:fill="auto"/>
              <w:bidi w:val="0"/>
              <w:spacing w:before="0" w:after="0" w:line="276" w:lineRule="auto"/>
              <w:ind w:left="0" w:right="0" w:firstLine="0"/>
              <w:jc w:val="center"/>
              <w:rPr>
                <w:sz w:val="17"/>
                <w:szCs w:val="17"/>
              </w:rPr>
            </w:pPr>
            <w:r>
              <w:rPr>
                <w:rStyle w:val="CharStyle28"/>
                <w:b/>
                <w:bCs/>
                <w:sz w:val="17"/>
                <w:szCs w:val="17"/>
              </w:rPr>
              <w:t>Cena celkem v Kč bez DPH</w:t>
            </w:r>
          </w:p>
        </w:tc>
        <w:tc>
          <w:tcPr>
            <w:tcBorders>
              <w:top w:val="single" w:sz="4"/>
              <w:left w:val="single" w:sz="4"/>
              <w:right w:val="single" w:sz="4"/>
            </w:tcBorders>
            <w:shd w:val="clear" w:color="auto" w:fill="D9E7FC"/>
            <w:vAlign w:val="center"/>
          </w:tcPr>
          <w:p>
            <w:pPr>
              <w:pStyle w:val="Style27"/>
              <w:keepNext w:val="0"/>
              <w:keepLines w:val="0"/>
              <w:widowControl w:val="0"/>
              <w:shd w:val="clear" w:color="auto" w:fill="auto"/>
              <w:bidi w:val="0"/>
              <w:spacing w:before="0" w:after="0" w:line="283" w:lineRule="auto"/>
              <w:ind w:left="0" w:right="0" w:firstLine="0"/>
              <w:jc w:val="center"/>
              <w:rPr>
                <w:sz w:val="17"/>
                <w:szCs w:val="17"/>
              </w:rPr>
            </w:pPr>
            <w:r>
              <w:rPr>
                <w:rStyle w:val="CharStyle28"/>
                <w:b/>
                <w:bCs/>
                <w:sz w:val="17"/>
                <w:szCs w:val="17"/>
              </w:rPr>
              <w:t>Cena celkem v Kč vč. DPH</w:t>
            </w:r>
          </w:p>
        </w:tc>
      </w:tr>
      <w:tr>
        <w:trPr>
          <w:trHeight w:val="24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Stanoviště Kojál</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50"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sz w:val="17"/>
                <w:szCs w:val="17"/>
              </w:rPr>
              <w:t>Retranslační stanice DMR Tier II včetně nabíjecího zdroje 230 V AC akumulátorů</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7"/>
                <w:szCs w:val="17"/>
              </w:rPr>
            </w:pPr>
            <w:r>
              <w:rPr>
                <w:rStyle w:val="CharStyle28"/>
                <w:sz w:val="17"/>
                <w:szCs w:val="17"/>
              </w:rPr>
              <w:t>100 178,00 Kč</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7"/>
                <w:szCs w:val="17"/>
              </w:rPr>
            </w:pPr>
            <w:r>
              <w:rPr>
                <w:rStyle w:val="CharStyle28"/>
                <w:sz w:val="17"/>
                <w:szCs w:val="17"/>
              </w:rPr>
              <w:t>100 178,00 Kč</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7"/>
                <w:szCs w:val="17"/>
              </w:rPr>
            </w:pPr>
            <w:r>
              <w:rPr>
                <w:rStyle w:val="CharStyle28"/>
                <w:sz w:val="17"/>
                <w:szCs w:val="17"/>
              </w:rPr>
              <w:t>121 215,38 Kč</w:t>
            </w:r>
          </w:p>
        </w:tc>
      </w:tr>
      <w:tr>
        <w:trPr>
          <w:trHeight w:val="24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sz w:val="17"/>
                <w:szCs w:val="17"/>
              </w:rPr>
              <w:t>Licence na připojení retranslační stanice do infrastruktury Capacity Plus Multi Site</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520"/>
              <w:jc w:val="both"/>
              <w:rPr>
                <w:sz w:val="17"/>
                <w:szCs w:val="17"/>
              </w:rPr>
            </w:pPr>
            <w:r>
              <w:rPr>
                <w:rStyle w:val="CharStyle28"/>
                <w:sz w:val="17"/>
                <w:szCs w:val="17"/>
              </w:rPr>
              <w:t>44 122,00 Kč</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40"/>
              <w:jc w:val="both"/>
              <w:rPr>
                <w:sz w:val="17"/>
                <w:szCs w:val="17"/>
              </w:rPr>
            </w:pPr>
            <w:r>
              <w:rPr>
                <w:rStyle w:val="CharStyle28"/>
                <w:sz w:val="17"/>
                <w:szCs w:val="17"/>
              </w:rPr>
              <w:t>44 122,00 Kč</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760"/>
              <w:jc w:val="both"/>
              <w:rPr>
                <w:sz w:val="17"/>
                <w:szCs w:val="17"/>
              </w:rPr>
            </w:pPr>
            <w:r>
              <w:rPr>
                <w:rStyle w:val="CharStyle28"/>
                <w:sz w:val="17"/>
                <w:szCs w:val="17"/>
              </w:rPr>
              <w:t>53 387,62 Kč</w:t>
            </w:r>
          </w:p>
        </w:tc>
      </w:tr>
      <w:tr>
        <w:trPr>
          <w:trHeight w:val="24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3</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sz w:val="17"/>
                <w:szCs w:val="17"/>
              </w:rPr>
              <w:t>Anténní sdružovač VHF</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620"/>
              <w:jc w:val="both"/>
              <w:rPr>
                <w:sz w:val="17"/>
                <w:szCs w:val="17"/>
              </w:rPr>
            </w:pPr>
            <w:r>
              <w:rPr>
                <w:rStyle w:val="CharStyle28"/>
                <w:sz w:val="17"/>
                <w:szCs w:val="17"/>
              </w:rPr>
              <w:t>9 750,00 Kč</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60"/>
              <w:jc w:val="both"/>
              <w:rPr>
                <w:sz w:val="17"/>
                <w:szCs w:val="17"/>
              </w:rPr>
            </w:pPr>
            <w:r>
              <w:rPr>
                <w:rStyle w:val="CharStyle28"/>
                <w:sz w:val="17"/>
                <w:szCs w:val="17"/>
              </w:rPr>
              <w:t>9 750,00 Kč</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760"/>
              <w:jc w:val="both"/>
              <w:rPr>
                <w:sz w:val="17"/>
                <w:szCs w:val="17"/>
              </w:rPr>
            </w:pPr>
            <w:r>
              <w:rPr>
                <w:rStyle w:val="CharStyle28"/>
                <w:sz w:val="17"/>
                <w:szCs w:val="17"/>
              </w:rPr>
              <w:t>11 797,50 Kč</w:t>
            </w:r>
          </w:p>
        </w:tc>
      </w:tr>
      <w:tr>
        <w:trPr>
          <w:trHeight w:val="24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4</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sz w:val="17"/>
                <w:szCs w:val="17"/>
              </w:rPr>
              <w:t>Záložní akumulátor 12 V na 30 minut provozu</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620"/>
              <w:jc w:val="both"/>
              <w:rPr>
                <w:sz w:val="17"/>
                <w:szCs w:val="17"/>
              </w:rPr>
            </w:pPr>
            <w:r>
              <w:rPr>
                <w:rStyle w:val="CharStyle28"/>
                <w:sz w:val="17"/>
                <w:szCs w:val="17"/>
              </w:rPr>
              <w:t>7 500,00 Kč</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60"/>
              <w:jc w:val="both"/>
              <w:rPr>
                <w:sz w:val="17"/>
                <w:szCs w:val="17"/>
              </w:rPr>
            </w:pPr>
            <w:r>
              <w:rPr>
                <w:rStyle w:val="CharStyle28"/>
                <w:sz w:val="17"/>
                <w:szCs w:val="17"/>
              </w:rPr>
              <w:t>7 500,00 Kč</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7"/>
                <w:szCs w:val="17"/>
              </w:rPr>
            </w:pPr>
            <w:r>
              <w:rPr>
                <w:rStyle w:val="CharStyle28"/>
                <w:sz w:val="17"/>
                <w:szCs w:val="17"/>
              </w:rPr>
              <w:t>9 075,00 Kč</w:t>
            </w:r>
          </w:p>
        </w:tc>
      </w:tr>
      <w:tr>
        <w:trPr>
          <w:trHeight w:val="250"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5</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sz w:val="17"/>
                <w:szCs w:val="17"/>
              </w:rPr>
              <w:t>Filtr přijímače dutinové konstrukce</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520"/>
              <w:jc w:val="both"/>
              <w:rPr>
                <w:sz w:val="17"/>
                <w:szCs w:val="17"/>
              </w:rPr>
            </w:pPr>
            <w:r>
              <w:rPr>
                <w:rStyle w:val="CharStyle28"/>
                <w:sz w:val="17"/>
                <w:szCs w:val="17"/>
              </w:rPr>
              <w:t>14 915,00 Kč</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40"/>
              <w:jc w:val="both"/>
              <w:rPr>
                <w:sz w:val="17"/>
                <w:szCs w:val="17"/>
              </w:rPr>
            </w:pPr>
            <w:r>
              <w:rPr>
                <w:rStyle w:val="CharStyle28"/>
                <w:sz w:val="17"/>
                <w:szCs w:val="17"/>
              </w:rPr>
              <w:t>14 915,00 Kč</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760"/>
              <w:jc w:val="left"/>
              <w:rPr>
                <w:sz w:val="17"/>
                <w:szCs w:val="17"/>
              </w:rPr>
            </w:pPr>
            <w:r>
              <w:rPr>
                <w:rStyle w:val="CharStyle28"/>
                <w:sz w:val="17"/>
                <w:szCs w:val="17"/>
              </w:rPr>
              <w:t>18 047,15 Kč</w:t>
            </w:r>
          </w:p>
        </w:tc>
      </w:tr>
      <w:tr>
        <w:trPr>
          <w:trHeight w:val="24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6</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sz w:val="17"/>
                <w:szCs w:val="17"/>
              </w:rPr>
              <w:t>provedení napájení retranslační stanice</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620"/>
              <w:jc w:val="both"/>
              <w:rPr>
                <w:sz w:val="17"/>
                <w:szCs w:val="17"/>
              </w:rPr>
            </w:pPr>
            <w:r>
              <w:rPr>
                <w:rStyle w:val="CharStyle28"/>
                <w:sz w:val="17"/>
                <w:szCs w:val="17"/>
              </w:rPr>
              <w:t>5 625,00 Kč</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60"/>
              <w:jc w:val="both"/>
              <w:rPr>
                <w:sz w:val="17"/>
                <w:szCs w:val="17"/>
              </w:rPr>
            </w:pPr>
            <w:r>
              <w:rPr>
                <w:rStyle w:val="CharStyle28"/>
                <w:sz w:val="17"/>
                <w:szCs w:val="17"/>
              </w:rPr>
              <w:t>5 625,00 Kč</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7"/>
                <w:szCs w:val="17"/>
              </w:rPr>
            </w:pPr>
            <w:r>
              <w:rPr>
                <w:rStyle w:val="CharStyle28"/>
                <w:sz w:val="17"/>
                <w:szCs w:val="17"/>
              </w:rPr>
              <w:t>6 806,25 Kč</w:t>
            </w:r>
          </w:p>
        </w:tc>
      </w:tr>
      <w:tr>
        <w:trPr>
          <w:trHeight w:val="24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7</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sz w:val="17"/>
                <w:szCs w:val="17"/>
              </w:rPr>
              <w:t>Instalační skříň včetně výbavy 22U x 1200 mm (vč. poličky na router)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520"/>
              <w:jc w:val="both"/>
              <w:rPr>
                <w:sz w:val="17"/>
                <w:szCs w:val="17"/>
              </w:rPr>
            </w:pPr>
            <w:r>
              <w:rPr>
                <w:rStyle w:val="CharStyle28"/>
                <w:sz w:val="17"/>
                <w:szCs w:val="17"/>
              </w:rPr>
              <w:t>19 275,00 Kč</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40"/>
              <w:jc w:val="both"/>
              <w:rPr>
                <w:sz w:val="17"/>
                <w:szCs w:val="17"/>
              </w:rPr>
            </w:pPr>
            <w:r>
              <w:rPr>
                <w:rStyle w:val="CharStyle28"/>
                <w:sz w:val="17"/>
                <w:szCs w:val="17"/>
              </w:rPr>
              <w:t>19 275,00 Kč</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760"/>
              <w:jc w:val="both"/>
              <w:rPr>
                <w:sz w:val="17"/>
                <w:szCs w:val="17"/>
              </w:rPr>
            </w:pPr>
            <w:r>
              <w:rPr>
                <w:rStyle w:val="CharStyle28"/>
                <w:sz w:val="17"/>
                <w:szCs w:val="17"/>
              </w:rPr>
              <w:t>23 322,75 Kč</w:t>
            </w:r>
          </w:p>
        </w:tc>
      </w:tr>
      <w:tr>
        <w:trPr>
          <w:trHeight w:val="250"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8</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sz w:val="17"/>
                <w:szCs w:val="17"/>
              </w:rPr>
              <w:t>Demontáž stávající technologie</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520"/>
              <w:jc w:val="both"/>
              <w:rPr>
                <w:sz w:val="17"/>
                <w:szCs w:val="17"/>
              </w:rPr>
            </w:pPr>
            <w:r>
              <w:rPr>
                <w:rStyle w:val="CharStyle28"/>
                <w:sz w:val="17"/>
                <w:szCs w:val="17"/>
              </w:rPr>
              <w:t>10 850,00 Kč</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40"/>
              <w:jc w:val="both"/>
              <w:rPr>
                <w:sz w:val="17"/>
                <w:szCs w:val="17"/>
              </w:rPr>
            </w:pPr>
            <w:r>
              <w:rPr>
                <w:rStyle w:val="CharStyle28"/>
                <w:sz w:val="17"/>
                <w:szCs w:val="17"/>
              </w:rPr>
              <w:t>10 850,00 Kč</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760"/>
              <w:jc w:val="left"/>
              <w:rPr>
                <w:sz w:val="17"/>
                <w:szCs w:val="17"/>
              </w:rPr>
            </w:pPr>
            <w:r>
              <w:rPr>
                <w:rStyle w:val="CharStyle28"/>
                <w:sz w:val="17"/>
                <w:szCs w:val="17"/>
              </w:rPr>
              <w:t>13 128,50 Kč</w:t>
            </w:r>
          </w:p>
        </w:tc>
      </w:tr>
      <w:tr>
        <w:trPr>
          <w:trHeight w:val="24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b/>
                <w:bCs/>
                <w:sz w:val="17"/>
                <w:szCs w:val="17"/>
              </w:rPr>
              <w:t>9</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sz w:val="17"/>
                <w:szCs w:val="17"/>
              </w:rPr>
              <w:t>Instalace nové technologie</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520"/>
              <w:jc w:val="both"/>
              <w:rPr>
                <w:sz w:val="17"/>
                <w:szCs w:val="17"/>
              </w:rPr>
            </w:pPr>
            <w:r>
              <w:rPr>
                <w:rStyle w:val="CharStyle28"/>
                <w:sz w:val="17"/>
                <w:szCs w:val="17"/>
              </w:rPr>
              <w:t>24 000,00 Kč</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sz w:val="17"/>
                <w:szCs w:val="17"/>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40"/>
              <w:jc w:val="both"/>
              <w:rPr>
                <w:sz w:val="17"/>
                <w:szCs w:val="17"/>
              </w:rPr>
            </w:pPr>
            <w:r>
              <w:rPr>
                <w:rStyle w:val="CharStyle28"/>
                <w:sz w:val="17"/>
                <w:szCs w:val="17"/>
              </w:rPr>
              <w:t>24 000,00 Kč</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760"/>
              <w:jc w:val="left"/>
              <w:rPr>
                <w:sz w:val="17"/>
                <w:szCs w:val="17"/>
              </w:rPr>
            </w:pPr>
            <w:r>
              <w:rPr>
                <w:rStyle w:val="CharStyle28"/>
                <w:sz w:val="17"/>
                <w:szCs w:val="17"/>
              </w:rPr>
              <w:t>29 040,00 Kč</w:t>
            </w:r>
          </w:p>
        </w:tc>
      </w:tr>
      <w:tr>
        <w:trPr>
          <w:trHeight w:val="274" w:hRule="exact"/>
        </w:trPr>
        <w:tc>
          <w:tcPr>
            <w:gridSpan w:val="4"/>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b/>
                <w:bCs/>
                <w:sz w:val="17"/>
                <w:szCs w:val="17"/>
              </w:rPr>
              <w:t>Cena celkem</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right"/>
              <w:rPr>
                <w:sz w:val="17"/>
                <w:szCs w:val="17"/>
              </w:rPr>
            </w:pPr>
            <w:r>
              <w:rPr>
                <w:rStyle w:val="CharStyle28"/>
                <w:b/>
                <w:bCs/>
                <w:sz w:val="17"/>
                <w:szCs w:val="17"/>
              </w:rPr>
              <w:t>236 215,00 Kč</w:t>
            </w:r>
          </w:p>
        </w:tc>
        <w:tc>
          <w:tcPr>
            <w:tcBorders>
              <w:top w:val="single" w:sz="4"/>
              <w:left w:val="single" w:sz="4"/>
              <w:bottom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right"/>
              <w:rPr>
                <w:sz w:val="17"/>
                <w:szCs w:val="17"/>
              </w:rPr>
            </w:pPr>
            <w:r>
              <w:rPr>
                <w:rStyle w:val="CharStyle28"/>
                <w:b/>
                <w:bCs/>
                <w:sz w:val="17"/>
                <w:szCs w:val="17"/>
              </w:rPr>
              <w:t>285 820,15 Kč</w:t>
            </w:r>
          </w:p>
        </w:tc>
      </w:tr>
    </w:tbl>
    <w:p>
      <w:pPr>
        <w:sectPr>
          <w:footerReference w:type="default" r:id="rId10"/>
          <w:footnotePr>
            <w:pos w:val="pageBottom"/>
            <w:numFmt w:val="upperRoman"/>
            <w:numStart w:val="1"/>
            <w:numRestart w:val="continuous"/>
            <w15:footnoteColumns w:val="1"/>
          </w:footnotePr>
          <w:pgSz w:w="16840" w:h="11900" w:orient="landscape"/>
          <w:pgMar w:top="845" w:right="1423" w:bottom="485" w:left="1261" w:header="417" w:footer="57" w:gutter="0"/>
          <w:pgNumType w:start="12"/>
          <w:cols w:space="720"/>
          <w:noEndnote/>
          <w:rtlGutter w:val="0"/>
          <w:docGrid w:linePitch="360"/>
        </w:sectPr>
      </w:pPr>
    </w:p>
    <w:p>
      <w:pPr>
        <w:pStyle w:val="Style2"/>
        <w:keepNext w:val="0"/>
        <w:keepLines w:val="0"/>
        <w:widowControl w:val="0"/>
        <w:shd w:val="clear" w:color="auto" w:fill="auto"/>
        <w:tabs>
          <w:tab w:pos="5131" w:val="left"/>
        </w:tabs>
        <w:bidi w:val="0"/>
        <w:spacing w:before="0" w:after="0" w:line="298" w:lineRule="auto"/>
        <w:ind w:left="0" w:right="0" w:firstLine="0"/>
        <w:jc w:val="left"/>
      </w:pPr>
      <w:r>
        <w:rPr>
          <w:rStyle w:val="CharStyle3"/>
          <w:lang w:val="cs-CZ" w:eastAsia="cs-CZ" w:bidi="cs-CZ"/>
        </w:rPr>
        <w:t xml:space="preserve">V Brně dne </w:t>
      </w:r>
      <w:r>
        <w:rPr>
          <w:rStyle w:val="CharStyle3"/>
          <w:b/>
          <w:bCs/>
          <w:i/>
          <w:iCs/>
          <w:color w:val="2D68A2"/>
          <w:lang w:val="cs-CZ" w:eastAsia="cs-CZ" w:bidi="cs-CZ"/>
        </w:rPr>
        <w:t>JÍM</w:t>
      </w:r>
      <w:r>
        <w:rPr>
          <w:rStyle w:val="CharStyle3"/>
          <w:color w:val="2D68A2"/>
          <w:lang w:val="cs-CZ" w:eastAsia="cs-CZ" w:bidi="cs-CZ"/>
        </w:rPr>
        <w:tab/>
      </w:r>
      <w:r>
        <w:rPr>
          <w:rStyle w:val="CharStyle3"/>
          <w:lang w:val="cs-CZ" w:eastAsia="cs-CZ" w:bidi="cs-CZ"/>
        </w:rPr>
        <w:t>V Praze dne 13.05.2024</w:t>
      </w:r>
    </w:p>
    <w:sectPr>
      <w:footnotePr>
        <w:pos w:val="pageBottom"/>
        <w:numFmt w:val="upperRoman"/>
        <w:numStart w:val="1"/>
        <w:numRestart w:val="continuous"/>
        <w15:footnoteColumns w:val="1"/>
      </w:footnotePr>
      <w:type w:val="continuous"/>
      <w:pgSz w:w="16840" w:h="11900" w:orient="landscape"/>
      <w:pgMar w:top="845" w:right="1423" w:bottom="485" w:left="126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3780155</wp:posOffset>
              </wp:positionH>
              <wp:positionV relativeFrom="page">
                <wp:posOffset>9983470</wp:posOffset>
              </wp:positionV>
              <wp:extent cx="39370" cy="94615"/>
              <wp:wrapNone/>
              <wp:docPr id="12" name="Shape 12"/>
              <a:graphic xmlns:a="http://schemas.openxmlformats.org/drawingml/2006/main">
                <a:graphicData uri="http://schemas.microsoft.com/office/word/2010/wordprocessingShape">
                  <wps:wsp>
                    <wps:cNvSpPr txBox="1"/>
                    <wps:spPr>
                      <a:xfrm>
                        <a:ext cx="39370" cy="94615"/>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49"/>
                                <w:rFonts w:ascii="Arial" w:eastAsia="Arial" w:hAnsi="Arial" w:cs="Arial"/>
                                <w:sz w:val="18"/>
                                <w:szCs w:val="18"/>
                              </w:rPr>
                              <w:t>#</w:t>
                            </w:r>
                          </w:fldSimple>
                        </w:p>
                      </w:txbxContent>
                    </wps:txbx>
                    <wps:bodyPr wrap="none" lIns="0" tIns="0" rIns="0" bIns="0">
                      <a:spAutoFit/>
                    </wps:bodyPr>
                  </wps:wsp>
                </a:graphicData>
              </a:graphic>
            </wp:anchor>
          </w:drawing>
        </mc:Choice>
        <mc:Fallback>
          <w:pict>
            <v:shape id="_x0000_s1038" type="#_x0000_t202" style="position:absolute;margin-left:297.65000000000003pt;margin-top:786.10000000000002pt;width:3.1000000000000001pt;height:7.4500000000000002pt;z-index:-188744062;mso-wrap-style:none;mso-wrap-distance-left:0;mso-wrap-distance-right:0;mso-position-horizontal-relative:page;mso-position-vertical-relative:page" wrapcoords="0 0" filled="f" stroked="f">
              <v:textbox style="mso-fit-shape-to-text:t" inset="0,0,0,0">
                <w:txbxContent>
                  <w:p>
                    <w:pPr>
                      <w:pStyle w:val="Style4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49"/>
                          <w:rFonts w:ascii="Arial" w:eastAsia="Arial" w:hAnsi="Arial" w:cs="Arial"/>
                          <w:sz w:val="18"/>
                          <w:szCs w:val="18"/>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40" w:lineRule="auto"/>
        <w:ind w:left="0" w:right="0" w:firstLine="0"/>
        <w:jc w:val="left"/>
      </w:pPr>
      <w:r>
        <w:rPr>
          <w:rStyle w:val="CharStyle3"/>
          <w:vertAlign w:val="superscript"/>
          <w:lang w:val="cs-CZ" w:eastAsia="cs-CZ" w:bidi="cs-CZ"/>
        </w:rPr>
        <w:footnoteRef/>
      </w:r>
      <w:r>
        <w:rPr>
          <w:rStyle w:val="CharStyle3"/>
          <w:lang w:val="cs-CZ" w:eastAsia="cs-CZ" w:bidi="cs-CZ"/>
        </w:rPr>
        <w:t xml:space="preserve"> </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decimal"/>
      <w:lvlText w:val="%1."/>
    </w:lvl>
    <w:lvl w:ilvl="1">
      <w:start w:val="4"/>
      <w:numFmt w:val="decimal"/>
      <w:lvlText w:val="%1.%2."/>
    </w:lvl>
    <w:lvl w:ilvl="2">
      <w:start w:val="1"/>
      <w:numFmt w:val="decimal"/>
      <w:lvlText w:val="%1.%2.%3."/>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10">
    <w:multiLevelType w:val="multilevel"/>
    <w:lvl w:ilvl="0">
      <w:start w:val="1"/>
      <w:numFmt w:val="decimal"/>
      <w:lvlText w:val="%1."/>
    </w:lvl>
    <w:lvl w:ilvl="1">
      <w:start w:val="1"/>
      <w:numFmt w:val="decimal"/>
      <w:lvlText w:val="%1.%2."/>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0">
    <w:multiLevelType w:val="multilevel"/>
    <w:lvl w:ilvl="0">
      <w:start w:val="1"/>
      <w:numFmt w:val="decimal"/>
      <w:lvlText w:val="%1."/>
    </w:lvl>
    <w:lvl w:ilvl="1">
      <w:start w:val="4"/>
      <w:numFmt w:val="decimal"/>
      <w:lvlText w:val="%1.%2."/>
    </w:lvl>
    <w:lvl w:ilvl="2">
      <w:start w:val="1"/>
      <w:numFmt w:val="decimal"/>
      <w:lvlText w:val="%1.%2.%3."/>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sz w:val="18"/>
      <w:szCs w:val="18"/>
      <w:u w:val="none"/>
      <w:lang w:val="en-US" w:eastAsia="en-US" w:bidi="en-US"/>
    </w:rPr>
  </w:style>
  <w:style w:type="character" w:customStyle="1" w:styleId="CharStyle10">
    <w:name w:val="Titulek obrázku_"/>
    <w:basedOn w:val="DefaultParagraphFont"/>
    <w:link w:val="Style9"/>
    <w:rPr>
      <w:rFonts w:ascii="Arial" w:eastAsia="Arial" w:hAnsi="Arial" w:cs="Arial"/>
      <w:b/>
      <w:bCs/>
      <w:i w:val="0"/>
      <w:iCs w:val="0"/>
      <w:smallCaps w:val="0"/>
      <w:strike w:val="0"/>
      <w:sz w:val="17"/>
      <w:szCs w:val="17"/>
      <w:u w:val="none"/>
    </w:rPr>
  </w:style>
  <w:style w:type="character" w:customStyle="1" w:styleId="CharStyle13">
    <w:name w:val="Základní text (2)_"/>
    <w:basedOn w:val="DefaultParagraphFont"/>
    <w:link w:val="Style12"/>
    <w:rPr>
      <w:rFonts w:ascii="Arial" w:eastAsia="Arial" w:hAnsi="Arial" w:cs="Arial"/>
      <w:b/>
      <w:bCs/>
      <w:i w:val="0"/>
      <w:iCs w:val="0"/>
      <w:smallCaps w:val="0"/>
      <w:strike w:val="0"/>
      <w:sz w:val="8"/>
      <w:szCs w:val="8"/>
      <w:u w:val="none"/>
    </w:rPr>
  </w:style>
  <w:style w:type="character" w:customStyle="1" w:styleId="CharStyle16">
    <w:name w:val="Základní text_"/>
    <w:basedOn w:val="DefaultParagraphFont"/>
    <w:link w:val="Style15"/>
    <w:rPr>
      <w:rFonts w:ascii="Arial" w:eastAsia="Arial" w:hAnsi="Arial" w:cs="Arial"/>
      <w:b w:val="0"/>
      <w:bCs w:val="0"/>
      <w:i w:val="0"/>
      <w:iCs w:val="0"/>
      <w:smallCaps w:val="0"/>
      <w:strike w:val="0"/>
      <w:sz w:val="18"/>
      <w:szCs w:val="18"/>
      <w:u w:val="none"/>
    </w:rPr>
  </w:style>
  <w:style w:type="character" w:customStyle="1" w:styleId="CharStyle19">
    <w:name w:val="Nadpis #1_"/>
    <w:basedOn w:val="DefaultParagraphFont"/>
    <w:link w:val="Style18"/>
    <w:rPr>
      <w:rFonts w:ascii="Arial" w:eastAsia="Arial" w:hAnsi="Arial" w:cs="Arial"/>
      <w:b w:val="0"/>
      <w:bCs w:val="0"/>
      <w:i w:val="0"/>
      <w:iCs w:val="0"/>
      <w:smallCaps w:val="0"/>
      <w:strike w:val="0"/>
      <w:sz w:val="72"/>
      <w:szCs w:val="72"/>
      <w:u w:val="none"/>
    </w:rPr>
  </w:style>
  <w:style w:type="character" w:customStyle="1" w:styleId="CharStyle21">
    <w:name w:val="Základní text (4)_"/>
    <w:basedOn w:val="DefaultParagraphFont"/>
    <w:link w:val="Style20"/>
    <w:rPr>
      <w:rFonts w:ascii="Arial" w:eastAsia="Arial" w:hAnsi="Arial" w:cs="Arial"/>
      <w:b w:val="0"/>
      <w:bCs w:val="0"/>
      <w:i w:val="0"/>
      <w:iCs w:val="0"/>
      <w:smallCaps w:val="0"/>
      <w:strike w:val="0"/>
      <w:sz w:val="16"/>
      <w:szCs w:val="16"/>
      <w:u w:val="none"/>
    </w:rPr>
  </w:style>
  <w:style w:type="character" w:customStyle="1" w:styleId="CharStyle24">
    <w:name w:val="Titulek tabulky_"/>
    <w:basedOn w:val="DefaultParagraphFont"/>
    <w:link w:val="Style23"/>
    <w:rPr>
      <w:rFonts w:ascii="Arial" w:eastAsia="Arial" w:hAnsi="Arial" w:cs="Arial"/>
      <w:b/>
      <w:bCs/>
      <w:i w:val="0"/>
      <w:iCs w:val="0"/>
      <w:smallCaps w:val="0"/>
      <w:strike w:val="0"/>
      <w:sz w:val="17"/>
      <w:szCs w:val="17"/>
      <w:u w:val="none"/>
    </w:rPr>
  </w:style>
  <w:style w:type="character" w:customStyle="1" w:styleId="CharStyle28">
    <w:name w:val="Jiné_"/>
    <w:basedOn w:val="DefaultParagraphFont"/>
    <w:link w:val="Style27"/>
    <w:rPr>
      <w:rFonts w:ascii="Arial" w:eastAsia="Arial" w:hAnsi="Arial" w:cs="Arial"/>
      <w:b w:val="0"/>
      <w:bCs w:val="0"/>
      <w:i w:val="0"/>
      <w:iCs w:val="0"/>
      <w:smallCaps w:val="0"/>
      <w:strike w:val="0"/>
      <w:sz w:val="18"/>
      <w:szCs w:val="18"/>
      <w:u w:val="none"/>
    </w:rPr>
  </w:style>
  <w:style w:type="character" w:customStyle="1" w:styleId="CharStyle47">
    <w:name w:val="Základní text (3)_"/>
    <w:basedOn w:val="DefaultParagraphFont"/>
    <w:link w:val="Style46"/>
    <w:rPr>
      <w:rFonts w:ascii="Arial" w:eastAsia="Arial" w:hAnsi="Arial" w:cs="Arial"/>
      <w:b/>
      <w:bCs/>
      <w:i w:val="0"/>
      <w:iCs w:val="0"/>
      <w:smallCaps w:val="0"/>
      <w:strike w:val="0"/>
      <w:sz w:val="22"/>
      <w:szCs w:val="22"/>
      <w:u w:val="none"/>
    </w:rPr>
  </w:style>
  <w:style w:type="character" w:customStyle="1" w:styleId="CharStyle49">
    <w:name w:val="Záhlaví nebo zápatí (2)_"/>
    <w:basedOn w:val="DefaultParagraphFont"/>
    <w:link w:val="Style48"/>
    <w:rPr>
      <w:rFonts w:ascii="Times New Roman" w:eastAsia="Times New Roman" w:hAnsi="Times New Roman" w:cs="Times New Roman"/>
      <w:b w:val="0"/>
      <w:bCs w:val="0"/>
      <w:i w:val="0"/>
      <w:iCs w:val="0"/>
      <w:smallCaps w:val="0"/>
      <w:strike w:val="0"/>
      <w:sz w:val="20"/>
      <w:szCs w:val="20"/>
      <w:u w:val="none"/>
    </w:rPr>
  </w:style>
  <w:style w:type="character" w:customStyle="1" w:styleId="CharStyle52">
    <w:name w:val="Nadpis #2_"/>
    <w:basedOn w:val="DefaultParagraphFont"/>
    <w:link w:val="Style51"/>
    <w:rPr>
      <w:rFonts w:ascii="Arial" w:eastAsia="Arial" w:hAnsi="Arial" w:cs="Arial"/>
      <w:b/>
      <w:bCs/>
      <w:i w:val="0"/>
      <w:iCs w:val="0"/>
      <w:smallCaps w:val="0"/>
      <w:strike w:val="0"/>
      <w:sz w:val="48"/>
      <w:szCs w:val="48"/>
      <w:u w:val="none"/>
    </w:rPr>
  </w:style>
  <w:style w:type="character" w:customStyle="1" w:styleId="CharStyle54">
    <w:name w:val="Nadpis #3_"/>
    <w:basedOn w:val="DefaultParagraphFont"/>
    <w:link w:val="Style53"/>
    <w:rPr>
      <w:rFonts w:ascii="Arial" w:eastAsia="Arial" w:hAnsi="Arial" w:cs="Arial"/>
      <w:b/>
      <w:bCs/>
      <w:i w:val="0"/>
      <w:iCs w:val="0"/>
      <w:smallCaps w:val="0"/>
      <w:strike w:val="0"/>
      <w:sz w:val="20"/>
      <w:szCs w:val="20"/>
      <w:u w:val="none"/>
    </w:rPr>
  </w:style>
  <w:style w:type="character" w:customStyle="1" w:styleId="CharStyle56">
    <w:name w:val="Obsah_"/>
    <w:basedOn w:val="DefaultParagraphFont"/>
    <w:link w:val="Style55"/>
    <w:rPr>
      <w:rFonts w:ascii="Arial" w:eastAsia="Arial" w:hAnsi="Arial" w:cs="Arial"/>
      <w:b w:val="0"/>
      <w:bCs w:val="0"/>
      <w:i w:val="0"/>
      <w:iCs w:val="0"/>
      <w:smallCaps w:val="0"/>
      <w:strike w:val="0"/>
      <w:sz w:val="18"/>
      <w:szCs w:val="18"/>
      <w:u w:val="none"/>
    </w:rPr>
  </w:style>
  <w:style w:type="paragraph" w:customStyle="1" w:styleId="Style2">
    <w:name w:val="Poznámka pod čarou"/>
    <w:basedOn w:val="Normal"/>
    <w:link w:val="CharStyle3"/>
    <w:pPr>
      <w:widowControl w:val="0"/>
      <w:shd w:val="clear" w:color="auto" w:fill="auto"/>
      <w:spacing w:line="269" w:lineRule="auto"/>
    </w:pPr>
    <w:rPr>
      <w:rFonts w:ascii="Arial" w:eastAsia="Arial" w:hAnsi="Arial" w:cs="Arial"/>
      <w:b w:val="0"/>
      <w:bCs w:val="0"/>
      <w:i w:val="0"/>
      <w:iCs w:val="0"/>
      <w:smallCaps w:val="0"/>
      <w:strike w:val="0"/>
      <w:sz w:val="18"/>
      <w:szCs w:val="18"/>
      <w:u w:val="none"/>
      <w:lang w:val="en-US" w:eastAsia="en-US" w:bidi="en-US"/>
    </w:rPr>
  </w:style>
  <w:style w:type="paragraph" w:customStyle="1" w:styleId="Style9">
    <w:name w:val="Titulek obrázku"/>
    <w:basedOn w:val="Normal"/>
    <w:link w:val="CharStyle10"/>
    <w:pPr>
      <w:widowControl w:val="0"/>
      <w:shd w:val="clear" w:color="auto" w:fill="auto"/>
    </w:pPr>
    <w:rPr>
      <w:rFonts w:ascii="Arial" w:eastAsia="Arial" w:hAnsi="Arial" w:cs="Arial"/>
      <w:b/>
      <w:bCs/>
      <w:i w:val="0"/>
      <w:iCs w:val="0"/>
      <w:smallCaps w:val="0"/>
      <w:strike w:val="0"/>
      <w:sz w:val="17"/>
      <w:szCs w:val="17"/>
      <w:u w:val="none"/>
    </w:rPr>
  </w:style>
  <w:style w:type="paragraph" w:customStyle="1" w:styleId="Style12">
    <w:name w:val="Základní text (2)"/>
    <w:basedOn w:val="Normal"/>
    <w:link w:val="CharStyle13"/>
    <w:pPr>
      <w:widowControl w:val="0"/>
      <w:shd w:val="clear" w:color="auto" w:fill="auto"/>
    </w:pPr>
    <w:rPr>
      <w:rFonts w:ascii="Arial" w:eastAsia="Arial" w:hAnsi="Arial" w:cs="Arial"/>
      <w:b/>
      <w:bCs/>
      <w:i w:val="0"/>
      <w:iCs w:val="0"/>
      <w:smallCaps w:val="0"/>
      <w:strike w:val="0"/>
      <w:sz w:val="8"/>
      <w:szCs w:val="8"/>
      <w:u w:val="none"/>
    </w:rPr>
  </w:style>
  <w:style w:type="paragraph" w:customStyle="1" w:styleId="Style15">
    <w:name w:val="Základní text"/>
    <w:basedOn w:val="Normal"/>
    <w:link w:val="CharStyle16"/>
    <w:pPr>
      <w:widowControl w:val="0"/>
      <w:shd w:val="clear" w:color="auto" w:fill="auto"/>
      <w:spacing w:after="200" w:line="266" w:lineRule="auto"/>
    </w:pPr>
    <w:rPr>
      <w:rFonts w:ascii="Arial" w:eastAsia="Arial" w:hAnsi="Arial" w:cs="Arial"/>
      <w:b w:val="0"/>
      <w:bCs w:val="0"/>
      <w:i w:val="0"/>
      <w:iCs w:val="0"/>
      <w:smallCaps w:val="0"/>
      <w:strike w:val="0"/>
      <w:sz w:val="18"/>
      <w:szCs w:val="18"/>
      <w:u w:val="none"/>
    </w:rPr>
  </w:style>
  <w:style w:type="paragraph" w:customStyle="1" w:styleId="Style18">
    <w:name w:val="Nadpis #1"/>
    <w:basedOn w:val="Normal"/>
    <w:link w:val="CharStyle19"/>
    <w:pPr>
      <w:widowControl w:val="0"/>
      <w:shd w:val="clear" w:color="auto" w:fill="auto"/>
      <w:spacing w:after="60"/>
      <w:ind w:right="540"/>
      <w:jc w:val="right"/>
      <w:outlineLvl w:val="0"/>
    </w:pPr>
    <w:rPr>
      <w:rFonts w:ascii="Arial" w:eastAsia="Arial" w:hAnsi="Arial" w:cs="Arial"/>
      <w:b w:val="0"/>
      <w:bCs w:val="0"/>
      <w:i w:val="0"/>
      <w:iCs w:val="0"/>
      <w:smallCaps w:val="0"/>
      <w:strike w:val="0"/>
      <w:sz w:val="72"/>
      <w:szCs w:val="72"/>
      <w:u w:val="none"/>
    </w:rPr>
  </w:style>
  <w:style w:type="paragraph" w:customStyle="1" w:styleId="Style20">
    <w:name w:val="Základní text (4)"/>
    <w:basedOn w:val="Normal"/>
    <w:link w:val="CharStyle21"/>
    <w:pPr>
      <w:widowControl w:val="0"/>
      <w:shd w:val="clear" w:color="auto" w:fill="auto"/>
      <w:spacing w:after="320"/>
      <w:ind w:right="540"/>
      <w:jc w:val="right"/>
    </w:pPr>
    <w:rPr>
      <w:rFonts w:ascii="Arial" w:eastAsia="Arial" w:hAnsi="Arial" w:cs="Arial"/>
      <w:b w:val="0"/>
      <w:bCs w:val="0"/>
      <w:i w:val="0"/>
      <w:iCs w:val="0"/>
      <w:smallCaps w:val="0"/>
      <w:strike w:val="0"/>
      <w:sz w:val="16"/>
      <w:szCs w:val="16"/>
      <w:u w:val="none"/>
    </w:rPr>
  </w:style>
  <w:style w:type="paragraph" w:customStyle="1" w:styleId="Style23">
    <w:name w:val="Titulek tabulky"/>
    <w:basedOn w:val="Normal"/>
    <w:link w:val="CharStyle24"/>
    <w:pPr>
      <w:widowControl w:val="0"/>
      <w:shd w:val="clear" w:color="auto" w:fill="auto"/>
    </w:pPr>
    <w:rPr>
      <w:rFonts w:ascii="Arial" w:eastAsia="Arial" w:hAnsi="Arial" w:cs="Arial"/>
      <w:b/>
      <w:bCs/>
      <w:i w:val="0"/>
      <w:iCs w:val="0"/>
      <w:smallCaps w:val="0"/>
      <w:strike w:val="0"/>
      <w:sz w:val="17"/>
      <w:szCs w:val="17"/>
      <w:u w:val="none"/>
    </w:rPr>
  </w:style>
  <w:style w:type="paragraph" w:customStyle="1" w:styleId="Style27">
    <w:name w:val="Jiné"/>
    <w:basedOn w:val="Normal"/>
    <w:link w:val="CharStyle28"/>
    <w:pPr>
      <w:widowControl w:val="0"/>
      <w:shd w:val="clear" w:color="auto" w:fill="auto"/>
      <w:spacing w:after="200" w:line="266" w:lineRule="auto"/>
    </w:pPr>
    <w:rPr>
      <w:rFonts w:ascii="Arial" w:eastAsia="Arial" w:hAnsi="Arial" w:cs="Arial"/>
      <w:b w:val="0"/>
      <w:bCs w:val="0"/>
      <w:i w:val="0"/>
      <w:iCs w:val="0"/>
      <w:smallCaps w:val="0"/>
      <w:strike w:val="0"/>
      <w:sz w:val="18"/>
      <w:szCs w:val="18"/>
      <w:u w:val="none"/>
    </w:rPr>
  </w:style>
  <w:style w:type="paragraph" w:customStyle="1" w:styleId="Style46">
    <w:name w:val="Základní text (3)"/>
    <w:basedOn w:val="Normal"/>
    <w:link w:val="CharStyle47"/>
    <w:pPr>
      <w:widowControl w:val="0"/>
      <w:shd w:val="clear" w:color="auto" w:fill="auto"/>
      <w:spacing w:after="220"/>
    </w:pPr>
    <w:rPr>
      <w:rFonts w:ascii="Arial" w:eastAsia="Arial" w:hAnsi="Arial" w:cs="Arial"/>
      <w:b/>
      <w:bCs/>
      <w:i w:val="0"/>
      <w:iCs w:val="0"/>
      <w:smallCaps w:val="0"/>
      <w:strike w:val="0"/>
      <w:sz w:val="22"/>
      <w:szCs w:val="22"/>
      <w:u w:val="none"/>
    </w:rPr>
  </w:style>
  <w:style w:type="paragraph" w:customStyle="1" w:styleId="Style48">
    <w:name w:val="Záhlaví nebo zápatí (2)"/>
    <w:basedOn w:val="Normal"/>
    <w:link w:val="CharStyle4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1">
    <w:name w:val="Nadpis #2"/>
    <w:basedOn w:val="Normal"/>
    <w:link w:val="CharStyle52"/>
    <w:pPr>
      <w:widowControl w:val="0"/>
      <w:shd w:val="clear" w:color="auto" w:fill="auto"/>
      <w:spacing w:after="4140"/>
      <w:jc w:val="center"/>
      <w:outlineLvl w:val="1"/>
    </w:pPr>
    <w:rPr>
      <w:rFonts w:ascii="Arial" w:eastAsia="Arial" w:hAnsi="Arial" w:cs="Arial"/>
      <w:b/>
      <w:bCs/>
      <w:i w:val="0"/>
      <w:iCs w:val="0"/>
      <w:smallCaps w:val="0"/>
      <w:strike w:val="0"/>
      <w:sz w:val="48"/>
      <w:szCs w:val="48"/>
      <w:u w:val="none"/>
    </w:rPr>
  </w:style>
  <w:style w:type="paragraph" w:customStyle="1" w:styleId="Style53">
    <w:name w:val="Nadpis #3"/>
    <w:basedOn w:val="Normal"/>
    <w:link w:val="CharStyle54"/>
    <w:pPr>
      <w:widowControl w:val="0"/>
      <w:shd w:val="clear" w:color="auto" w:fill="auto"/>
      <w:spacing w:after="180"/>
      <w:ind w:firstLine="340"/>
      <w:outlineLvl w:val="2"/>
    </w:pPr>
    <w:rPr>
      <w:rFonts w:ascii="Arial" w:eastAsia="Arial" w:hAnsi="Arial" w:cs="Arial"/>
      <w:b/>
      <w:bCs/>
      <w:i w:val="0"/>
      <w:iCs w:val="0"/>
      <w:smallCaps w:val="0"/>
      <w:strike w:val="0"/>
      <w:sz w:val="20"/>
      <w:szCs w:val="20"/>
      <w:u w:val="none"/>
    </w:rPr>
  </w:style>
  <w:style w:type="paragraph" w:customStyle="1" w:styleId="Style55">
    <w:name w:val="Obsah"/>
    <w:basedOn w:val="Normal"/>
    <w:link w:val="CharStyle56"/>
    <w:pPr>
      <w:widowControl w:val="0"/>
      <w:shd w:val="clear" w:color="auto" w:fill="auto"/>
      <w:spacing w:after="100"/>
      <w:ind w:firstLine="420"/>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s>
</file>