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7"/>
        </w:rPr>
        <w:t>IIHIIIHIII</w:t>
      </w:r>
      <w:bookmarkEnd w:id="0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344" w:right="0" w:firstLine="0"/>
        <w:jc w:val="left"/>
        <w:rPr>
          <w:sz w:val="18"/>
          <w:szCs w:val="18"/>
        </w:rPr>
      </w:pPr>
      <w:r>
        <w:rPr>
          <w:rStyle w:val="CharStyle12"/>
          <w:rFonts w:ascii="Palatino Linotype" w:eastAsia="Palatino Linotype" w:hAnsi="Palatino Linotype" w:cs="Palatino Linotype"/>
          <w:sz w:val="18"/>
          <w:szCs w:val="18"/>
        </w:rPr>
        <w:t>2024004725</w:t>
      </w:r>
    </w:p>
    <w:tbl>
      <w:tblPr>
        <w:tblOverlap w:val="never"/>
        <w:jc w:val="center"/>
        <w:tblLayout w:type="fixed"/>
      </w:tblPr>
      <w:tblGrid>
        <w:gridCol w:w="2640"/>
        <w:gridCol w:w="7032"/>
      </w:tblGrid>
      <w:tr>
        <w:trPr>
          <w:trHeight w:val="355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2"/>
                <w:szCs w:val="22"/>
              </w:rPr>
            </w:pPr>
            <w:r>
              <w:rPr>
                <w:rStyle w:val="CharStyle15"/>
                <w:sz w:val="22"/>
                <w:szCs w:val="22"/>
              </w:rPr>
              <w:t>SMLOUVA O DÍLO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2"/>
        </w:rPr>
        <w:t>podle ustanovení § 2586 a násl. zákona č. 89/2012 Sb. občanského zákoníku, uzavřená mezi</w:t>
      </w:r>
    </w:p>
    <w:tbl>
      <w:tblPr>
        <w:tblOverlap w:val="never"/>
        <w:jc w:val="center"/>
        <w:tblLayout w:type="fixed"/>
      </w:tblPr>
      <w:tblGrid>
        <w:gridCol w:w="2640"/>
        <w:gridCol w:w="7032"/>
      </w:tblGrid>
      <w:tr>
        <w:trPr>
          <w:trHeight w:val="46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5"/>
              </w:rPr>
              <w:t>(dále jen „smlouva")</w:t>
            </w:r>
          </w:p>
        </w:tc>
      </w:tr>
      <w:tr>
        <w:trPr>
          <w:trHeight w:val="72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Kamenice 798/1 d, 625 00 Brno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  <w:spacing w:val="1"/>
                <w:shd w:val="clear" w:color="auto" w:fill="000000"/>
              </w:rPr>
              <w:t>.........</w:t>
            </w:r>
            <w:r>
              <w:rPr>
                <w:rStyle w:val="CharStyle15"/>
                <w:spacing w:val="2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</w:rPr>
              <w:t>​.</w:t>
            </w:r>
            <w:r>
              <w:rPr>
                <w:rStyle w:val="CharStyle15"/>
                <w:spacing w:val="1"/>
                <w:shd w:val="clear" w:color="auto" w:fill="000000"/>
              </w:rPr>
              <w:t>..........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pacing w:val="4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pacing w:val="4"/>
                <w:shd w:val="clear" w:color="auto" w:fill="000000"/>
              </w:rPr>
              <w:t>......</w:t>
            </w:r>
            <w:r>
              <w:rPr>
                <w:rStyle w:val="CharStyle15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5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CharStyle15"/>
                <w:spacing w:val="2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8"/>
                <w:shd w:val="clear" w:color="auto" w:fill="000000"/>
              </w:rPr>
              <w:t>...</w:t>
            </w:r>
            <w:r>
              <w:rPr>
                <w:rStyle w:val="CharStyle15"/>
                <w:spacing w:val="9"/>
                <w:shd w:val="clear" w:color="auto" w:fill="000000"/>
              </w:rPr>
              <w:t>..</w:t>
            </w:r>
            <w:r>
              <w:rPr>
                <w:rStyle w:val="CharStyle15"/>
                <w:shd w:val="clear" w:color="auto" w:fill="000000"/>
              </w:rPr>
              <w:t>​.......​.......​......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00346292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CZ00346292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Krajský soud v Brně sp. zn. Pr 1245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MONETA Money Bank, a.s., č. ú. 117203514/0600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i/>
          <w:iCs/>
        </w:rPr>
        <w:t>„objednáte?)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40"/>
        <w:gridCol w:w="7032"/>
      </w:tblGrid>
      <w:tr>
        <w:trPr>
          <w:trHeight w:val="58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BAREKO služby s.r.o.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Školská 689/20, 110 00 Praha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Bohumír Hlaváč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pacing w:val="7"/>
                <w:shd w:val="clear" w:color="auto" w:fill="000000"/>
              </w:rPr>
              <w:t>....</w:t>
            </w:r>
            <w:r>
              <w:rPr>
                <w:rStyle w:val="CharStyle15"/>
                <w:spacing w:val="8"/>
                <w:shd w:val="clear" w:color="auto" w:fill="000000"/>
              </w:rPr>
              <w:t>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2"/>
                <w:shd w:val="clear" w:color="auto" w:fill="000000"/>
              </w:rPr>
              <w:t>......</w:t>
            </w:r>
            <w:r>
              <w:rPr>
                <w:rStyle w:val="CharStyle15"/>
                <w:spacing w:val="3"/>
                <w:shd w:val="clear" w:color="auto" w:fill="000000"/>
              </w:rPr>
              <w:t>.............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09767053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 09767053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Městský soud v Praze oddíl C, vložka 342215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2301913072/2010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i/>
          <w:iCs/>
        </w:rPr>
        <w:t>„zhotovíte?)</w:t>
      </w:r>
    </w:p>
    <w:p>
      <w:pPr>
        <w:widowControl w:val="0"/>
        <w:spacing w:after="779" w:line="1" w:lineRule="exact"/>
      </w:pP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/>
        <w:ind w:left="400" w:right="0" w:hanging="400"/>
        <w:jc w:val="both"/>
      </w:pPr>
      <w:r>
        <w:rPr>
          <w:rStyle w:val="CharStyle31"/>
        </w:rPr>
        <w:t>Zhotovitel se zavazuje, že pro objednatele provede dílo, spočívající v opravě lapolu v objektu výjezdové základny ZZS JmK v Blansku, K.H.Máchy 2342/17 a to vše způsobem a v rozsahu dle soupisu prací s výkazem, který je jako příloha nedílnou součástí této smlouvy. Součástí díla je přitom vše, čeho je třeba provést, zapracovat či jinak vynaložit k dosažení výsledné podoby díla, jak vyplývá z této přílohy. Součástí díla je rovněž likvidace suti, průběžný a závěrečný úklid staveniště.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/>
        <w:ind w:left="400" w:right="0" w:hanging="400"/>
        <w:jc w:val="both"/>
      </w:pPr>
      <w:r>
        <w:rPr>
          <w:rStyle w:val="CharStyle31"/>
        </w:rPr>
        <w:t>Při provádění díla se pak zhotovitel zavazuje postupovat tak, aby nebyl narušen provoz zdravotnického zařízení objednatele v místě plnění.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/>
        <w:ind w:left="400" w:right="0" w:hanging="400"/>
        <w:jc w:val="both"/>
      </w:pPr>
      <w:r>
        <w:rPr>
          <w:rStyle w:val="CharStyle31"/>
        </w:rPr>
        <w:t xml:space="preserve">Zhotovitel se zavazuje provést dílo podle čl. 1 této smlouvy ve Ihůtě nejpozději do </w:t>
      </w:r>
      <w:r>
        <w:rPr>
          <w:rStyle w:val="CharStyle31"/>
          <w:b/>
          <w:bCs/>
        </w:rPr>
        <w:t xml:space="preserve">30. 9. 2024 </w:t>
      </w:r>
      <w:r>
        <w:rPr>
          <w:rStyle w:val="CharStyle31"/>
        </w:rPr>
        <w:t>od nabytí účinnosti této smlouvy.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  <w:tab w:pos="5918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31"/>
        </w:rPr>
        <w:t xml:space="preserve">Závazek zhotovitele k provedení díla v dohodnutém rozsahu se považuje za splněný dokončením všech prací spojených se zhotovením díla, předáním </w:t>
      </w:r>
      <w:r>
        <w:rPr>
          <w:rStyle w:val="CharStyle31"/>
          <w:i/>
          <w:iCs/>
        </w:rPr>
        <w:t>a</w:t>
      </w:r>
      <w:r>
        <w:rPr>
          <w:rStyle w:val="CharStyle31"/>
        </w:rPr>
        <w:t xml:space="preserve"> převzetím díla formou písemného předávacího protokolu, podepsaného oběma smluvními stranami. Objednatel přitom není povinen potvrdit zhotoviteli předávací protokol, zjistí-Ii se na předávaném díle., váda, která brání řádnému užívání díla nebo více než 3 jiné vady a nedodělky.</w:t>
        <w:tab/>
        <w:t>\'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/>
        <w:ind w:left="500" w:right="0" w:hanging="500"/>
        <w:jc w:val="both"/>
      </w:pPr>
      <w:r>
        <w:rPr>
          <w:rStyle w:val="CharStyle31"/>
        </w:rPr>
        <w:t>Pro případ prodlení se splněním svého závazku podle čl. 1 této smlouvy ve lhůtě podle čl. 3 této smlouvy se zhotovitel zavazuje zaplatit objednateli smluvní pokutu ve výši 0,1% z celkové ceny díla podle čl. 6 této smlouvy za každý započatý den tohoto prodlení. Zaplacením této smluvní pokuty není dotčen nárok objednatele na případnou náhradu škody v plné výši.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/>
        <w:ind w:left="500" w:right="0" w:hanging="500"/>
        <w:jc w:val="both"/>
      </w:pPr>
      <w:r>
        <w:rPr>
          <w:rStyle w:val="CharStyle31"/>
        </w:rPr>
        <w:t xml:space="preserve">Objednatel se zavazuje zaplatit zhotoviteli za dílo podle čl. 1 této smlouvy cenu díla ve výši: </w:t>
      </w:r>
      <w:r>
        <w:rPr>
          <w:rStyle w:val="CharStyle31"/>
          <w:b/>
          <w:bCs/>
        </w:rPr>
        <w:t xml:space="preserve">99491,- </w:t>
      </w:r>
      <w:r>
        <w:rPr>
          <w:rStyle w:val="CharStyle31"/>
        </w:rPr>
        <w:t xml:space="preserve">Kč bez DPH, tj. </w:t>
      </w:r>
      <w:r>
        <w:rPr>
          <w:rStyle w:val="CharStyle31"/>
          <w:b/>
          <w:bCs/>
        </w:rPr>
        <w:t xml:space="preserve">120384,- </w:t>
      </w:r>
      <w:r>
        <w:rPr>
          <w:rStyle w:val="CharStyle31"/>
        </w:rPr>
        <w:t>Kč včetně DPH. Součástí této ceny jsou veškeré náklady zhotovitele, spojené se splněním závazku zhotovitele podle čl. 1 této smlouvy. Tato cena je stanovena podle rozpočtu, u něhož se zaručuje úplnost, který je obsažen v příloze této smlouvy. Změna ceny je možná pouze v případě zákonné změny sazby DPH.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/>
        <w:ind w:left="500" w:right="0" w:hanging="500"/>
        <w:jc w:val="both"/>
      </w:pPr>
      <w:r>
        <w:rPr>
          <w:rStyle w:val="CharStyle31"/>
        </w:rPr>
        <w:t>V případě stavebních prací nad rámec díla podle čl. 1 této smlouvy, které by byly mezi oběma stranami dohodnuty formou písemného dodatku k této smlouvě, se objednatel zavazuje zaplatit zhotoviteli za tyto práce cenu ve výši ceny obvyklé.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/>
        <w:ind w:left="500" w:right="0" w:hanging="500"/>
        <w:jc w:val="both"/>
      </w:pPr>
      <w:r>
        <w:rPr>
          <w:rStyle w:val="CharStyle31"/>
        </w:rPr>
        <w:t xml:space="preserve">Cena díla podle cl. 6. této smlouvy je splatná po splněni závazku k provedení díla způsobem podle čl. 4 této smlouvy ve lhůtě do 30-ti dnů od předložení jeho písemného vyhotovení (faktury/daňového dokladu). Faktura bude doručena elektronicky na email: </w:t>
      </w:r>
      <w:r>
        <w:rPr>
          <w:rStyle w:val="CharStyle31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1"/>
          <w:spacing w:val="2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31"/>
          <w:lang w:val="en-US" w:eastAsia="en-US" w:bidi="en-US"/>
        </w:rPr>
        <w:t xml:space="preserve"> </w:t>
      </w:r>
      <w:r>
        <w:rPr>
          <w:rStyle w:val="CharStyle31"/>
        </w:rPr>
        <w:t xml:space="preserve">a </w:t>
      </w:r>
      <w:r>
        <w:rPr>
          <w:rStyle w:val="CharStyle31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1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1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1"/>
          <w:shd w:val="clear" w:color="auto" w:fill="000000"/>
          <w:lang w:val="en-US" w:eastAsia="en-US" w:bidi="en-US"/>
        </w:rPr>
        <w:t>.</w:t>
      </w:r>
      <w:r>
        <w:rPr>
          <w:rStyle w:val="CharStyle31"/>
          <w:lang w:val="en-US" w:eastAsia="en-US" w:bidi="en-US"/>
        </w:rPr>
        <w:t xml:space="preserve"> </w:t>
      </w:r>
      <w:r>
        <w:rPr>
          <w:rStyle w:val="CharStyle31"/>
        </w:rPr>
        <w:t>Na faktuře musí být mimo jiné uvedeno toto číslo veřejné zakázky, ke které se faktura vztahuje: P24V00001684. Přílohou faktury bude kopie oboustranně podepsaného předávacího protokolu. Nebude-Ii faktura splňovat veškeré náležitosti daňového dokladu podle zákona a další náležitosti podle této smlouvy, je objednatel oprávněn vrátit takovou fakturu zhotoviteli k opravě, přičemž doba její splatnosti začne znovu celá běžet ode dne doručeni opravené faktury objednateli.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/>
        <w:ind w:left="500" w:right="0" w:hanging="500"/>
        <w:jc w:val="both"/>
      </w:pPr>
      <w:r>
        <w:rPr>
          <w:rStyle w:val="CharStyle31"/>
        </w:rPr>
        <w:t>Zhotovitel se zavazuje vést o provádění díla provozní deník, obsahující záznamy o všech skutečnostech důležitých pro plněni závazku zhotovitele podle této smlouvy. Zhotovitel je rovněž povinen zpracovat technickou zprávu o provedeni díla, a to 1 x v písemné podobě a v el. podobě. Objednatel je oprávněn nahlížet do dokumentace a připojovat k ní svoje průběžná stanoviska a vyjádření.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0" w:val="left"/>
        </w:tabs>
        <w:bidi w:val="0"/>
        <w:spacing w:before="0"/>
        <w:ind w:left="500" w:right="0" w:hanging="500"/>
        <w:jc w:val="both"/>
      </w:pPr>
      <w:r>
        <w:rPr>
          <w:rStyle w:val="CharStyle31"/>
        </w:rPr>
        <w:t>Pro případ prodlení s úhradou ceny díla ve lhůtě podle čl. 8 této smlouvy se objednatel zavazuje zaplatit zhotoviteli úrok z prodlení ve výši dle zákona.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0" w:val="left"/>
        </w:tabs>
        <w:bidi w:val="0"/>
        <w:spacing w:before="0"/>
        <w:ind w:left="500" w:right="0" w:hanging="500"/>
        <w:jc w:val="both"/>
      </w:pPr>
      <w:r>
        <w:rPr>
          <w:rStyle w:val="CharStyle31"/>
        </w:rPr>
        <w:t>Zhotovitel odpovídá objednateli za to, že dílo podle čl. 1 této smlouvy bude odpovídat tuzemským právním předpisům, technickým, hygienickým a jiným normám, a že bude mít ty vlastnosti, které jsou u děl tohoto druhu obvyklé. V tomto smyslu se zhotovitel zavazuje bezplatně odstraňovat vady, které se na dílo podle čl. 1 této smlouvy vyskytnou v záruční době 24 měsíců ode dne splnění závazku zhotovitele k provedení díla způsobem podle čl. 4 této smlouvy.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/>
        <w:ind w:left="500" w:right="0" w:hanging="500"/>
        <w:jc w:val="both"/>
      </w:pPr>
      <w:r>
        <w:rPr>
          <w:rStyle w:val="CharStyle31"/>
        </w:rPr>
        <w:t>Zhotovitel se zavazuje rozhodovat o písemných reklamacích objednatele v období po dokončení díla písemně ve lhůtě do 15-ti dnů od jejich doručení, a ve stejné lhůtě provést odstranění vad z oprávněných reklamací, nebude-li mezi oběma stranami v jednotlivém případě dohodnuto jinak.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line="283" w:lineRule="auto"/>
        <w:ind w:left="500" w:right="0" w:hanging="500"/>
        <w:jc w:val="both"/>
      </w:pPr>
      <w:r>
        <w:rPr>
          <w:rStyle w:val="CharStyle31"/>
        </w:rPr>
        <w:t xml:space="preserve">Pro případ sporu o oprávněnost reklamace se objednateli vyhrazuje právo nechat vyhotovit k prověření jakosti díla soudně znalecký posudek, jehož výroku se obě strany </w:t>
      </w:r>
      <w:r>
        <w:rPr>
          <w:rStyle w:val="CharStyle31"/>
          <w:i/>
          <w:iCs/>
        </w:rPr>
        <w:t>zavazují</w:t>
      </w:r>
      <w:r>
        <w:rPr>
          <w:rStyle w:val="CharStyle31"/>
        </w:rPr>
        <w:t xml:space="preserve"> podřizovat s tím, že náklady na vyhotoveni tohoto posudku se zavazuje nést ten účastník sporu, kterému tento posudek nedal zapravdu.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5" w:val="left"/>
        </w:tabs>
        <w:bidi w:val="0"/>
        <w:spacing w:before="0" w:line="312" w:lineRule="auto"/>
        <w:ind w:right="0"/>
        <w:jc w:val="both"/>
      </w:pPr>
      <w:r>
        <w:rPr>
          <w:rStyle w:val="CharStyle3"/>
        </w:rPr>
        <w:t>Nepřikroči-li zhotovitel k odstraněni vady ve lhůtě podle čl. 12 této smlouvy nebo v ném z důvodů na své straně nepokračuje, a to ani po písemné výzvě objednatele, je objednatel oprávněn nechat provést toto odstranění třetí osobou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5" w:val="left"/>
        </w:tabs>
        <w:bidi w:val="0"/>
        <w:spacing w:before="0" w:line="310" w:lineRule="auto"/>
        <w:ind w:right="0"/>
        <w:jc w:val="both"/>
      </w:pPr>
      <w:r>
        <w:rPr>
          <w:rStyle w:val="CharStyle3"/>
        </w:rPr>
        <w:t>Pro případ prodleni zhotovitele se splněním jeho povinností podle čl. 11 této smlouvy ve Ihutě podle čl. 12 této smlouvy se zhotovitel zavazuje zaplatit objednateli smluvní pokutu ve výši 500,- Kč za každý započatý den tohoto prodlení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5" w:val="left"/>
        </w:tabs>
        <w:bidi w:val="0"/>
        <w:spacing w:before="0"/>
        <w:ind w:right="0"/>
        <w:jc w:val="both"/>
      </w:pPr>
      <w:r>
        <w:rPr>
          <w:rStyle w:val="CharStyle3"/>
        </w:rPr>
        <w:t>Objednatel je oprávněn odstoupit od této smlouvy o dílo, bude-li zhotovitel v prodlení se splněním svého závazku podle čl. 1 této smlouvy ve lhůtě podle čl. 3 této smlouvy o více než 2 týdny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5" w:val="left"/>
        </w:tabs>
        <w:bidi w:val="0"/>
        <w:spacing w:before="0" w:line="300" w:lineRule="auto"/>
        <w:ind w:right="0"/>
        <w:jc w:val="both"/>
      </w:pPr>
      <w:r>
        <w:rPr>
          <w:rStyle w:val="CharStyle3"/>
        </w:rPr>
        <w:t>Zaplacením smluvní pokuty podle této smlouvy není dotčeno právo objednatele na náhradu případné škody v plné výši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5" w:val="left"/>
        </w:tabs>
        <w:bidi w:val="0"/>
        <w:spacing w:before="0"/>
        <w:ind w:right="0"/>
        <w:jc w:val="both"/>
      </w:pPr>
      <w:r>
        <w:rPr>
          <w:rStyle w:val="CharStyle3"/>
        </w:rPr>
        <w:t>Neni-li touto smlouvou ujednáno jinak, řídí se vzájemný právní vztah mezi zhotovitelem a objednatelem ust § 2586 a násl občanského zákoníku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5" w:val="left"/>
        </w:tabs>
        <w:bidi w:val="0"/>
        <w:spacing w:before="0" w:line="312" w:lineRule="auto"/>
        <w:ind w:right="0"/>
        <w:jc w:val="both"/>
      </w:pPr>
      <w:r>
        <w:rPr>
          <w:rStyle w:val="CharStyle3"/>
        </w:rPr>
        <w:t>Tato smlouva se uzavírá na základě návrhu na její uzavření ze strany objednatele Předpokladem uzavřeni této smlouvy je její písemná forma a dohoda o jejích podstatných náležitostech, čímž se rozumí celý obsah této smlouvy, jak je uveden v čl 1 až 23 této smlouvy Objednatel přitom předem vylučuje přijetí tohoto návrhu s dodatkem nebo odchylkou ve smyslu ust § 1740 odst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5" w:val="left"/>
        </w:tabs>
        <w:bidi w:val="0"/>
        <w:spacing w:before="0"/>
        <w:ind w:left="0" w:right="0" w:firstLine="0"/>
        <w:jc w:val="left"/>
      </w:pPr>
      <w:r>
        <w:rPr>
          <w:rStyle w:val="CharStyle3"/>
        </w:rPr>
        <w:t>Tuto smlouvu lze změnit nebo zrušit pouze jinou písemnou dohodu obou smluvních stran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/>
        <w:ind w:right="0"/>
        <w:jc w:val="both"/>
      </w:pPr>
      <w:r>
        <w:rPr>
          <w:rStyle w:val="CharStyle3"/>
        </w:rPr>
        <w:t>Tato smlouva nabývá platnosti dnem jejího uzavřeni a účinnosti dnem jejího uveřejnění v registru smluv dle příslušných ustanoveni zákona č 340/2015 Sb o registru smluv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5" w:val="left"/>
        </w:tabs>
        <w:bidi w:val="0"/>
        <w:spacing w:before="0"/>
        <w:ind w:right="0"/>
        <w:jc w:val="both"/>
      </w:pPr>
      <w:r>
        <w:rPr>
          <w:rStyle w:val="CharStyle3"/>
        </w:rPr>
        <w:t>Dáno ve dvou originálních písemných vyhotoveních, z nichž každá ze smluvních stran obdrží po jednom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5" w:val="left"/>
        </w:tabs>
        <w:bidi w:val="0"/>
        <w:spacing w:before="0" w:after="920"/>
        <w:ind w:right="0"/>
        <w:jc w:val="both"/>
      </w:pPr>
      <w:r>
        <mc:AlternateContent>
          <mc:Choice Requires="wps">
            <w:drawing>
              <wp:anchor distT="0" distB="917575" distL="114300" distR="1270000" simplePos="0" relativeHeight="125829378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1028700</wp:posOffset>
                </wp:positionV>
                <wp:extent cx="664210" cy="17653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421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450000000000003pt;margin-top:81.pt;width:52.300000000000004pt;height:13.9pt;z-index:-125829375;mso-wrap-distance-left:9.pt;mso-wrap-distance-right:100.pt;mso-wrap-distance-bottom:72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438785" distB="0" distL="135890" distR="114300" simplePos="0" relativeHeight="125829380" behindDoc="0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1467485</wp:posOffset>
            </wp:positionV>
            <wp:extent cx="1798320" cy="658495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98320" cy="6584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</w:rPr>
        <w:t>Zhotovitel je povinen po celou dobu trvání smluvního vztahu naplňovat podmínky dle Nařízeni Rady (EU) 2022/576 ze dne 8 dubna 2022, kterým se mění nařízení (EU) č 833/2014 o omezujících opatřeních vzhledem k činnostem Ruska destabilizujícím situaci na Ukrajině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40" w:line="240" w:lineRule="auto"/>
        <w:ind w:left="1940" w:right="0" w:firstLine="0"/>
        <w:jc w:val="left"/>
      </w:pPr>
      <w:r>
        <w:drawing>
          <wp:anchor distT="0" distB="170815" distL="126365" distR="114300" simplePos="0" relativeHeight="125829381" behindDoc="0" locked="0" layoutInCell="1" allowOverlap="1">
            <wp:simplePos x="0" y="0"/>
            <wp:positionH relativeFrom="page">
              <wp:posOffset>4220210</wp:posOffset>
            </wp:positionH>
            <wp:positionV relativeFrom="paragraph">
              <wp:posOffset>482600</wp:posOffset>
            </wp:positionV>
            <wp:extent cx="1109345" cy="926465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09345" cy="9264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4208145</wp:posOffset>
                </wp:positionH>
                <wp:positionV relativeFrom="paragraph">
                  <wp:posOffset>1427480</wp:posOffset>
                </wp:positionV>
                <wp:extent cx="822960" cy="14922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296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1.35000000000002pt;margin-top:112.40000000000001pt;width:64.799999999999997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za zhotovitele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</w:rPr>
        <w:t>V Brně dne 31 5.2024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95" w:lineRule="auto"/>
        <w:ind w:left="0" w:right="0" w:firstLine="140"/>
        <w:jc w:val="left"/>
        <w:rPr>
          <w:sz w:val="19"/>
          <w:szCs w:val="19"/>
        </w:rPr>
      </w:pPr>
      <w:r>
        <w:rPr>
          <w:rStyle w:val="CharStyle3"/>
        </w:rPr>
        <w:t xml:space="preserve">MUDr Hana Albrechtová ředitelka </w:t>
      </w:r>
      <w:r>
        <w:rPr>
          <w:rStyle w:val="CharStyle3"/>
          <w:sz w:val="19"/>
          <w:szCs w:val="19"/>
        </w:rPr>
        <w:t>za objednatele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297" w:right="531" w:bottom="1712" w:left="1429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1"/>
        </w:rPr>
        <w:t>Příloha č. 1 Soupis prací s výkazem výměr a rozpočtem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40"/>
        </w:rPr>
        <w:t>POLOŽKOVÝ ROZPOČET</w:t>
      </w:r>
      <w:bookmarkEnd w:id="2"/>
    </w:p>
    <w:tbl>
      <w:tblPr>
        <w:tblOverlap w:val="never"/>
        <w:jc w:val="center"/>
        <w:tblLayout w:type="fixed"/>
      </w:tblPr>
      <w:tblGrid>
        <w:gridCol w:w="250"/>
        <w:gridCol w:w="1560"/>
        <w:gridCol w:w="1680"/>
        <w:gridCol w:w="2942"/>
        <w:gridCol w:w="1757"/>
        <w:gridCol w:w="1637"/>
      </w:tblGrid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Rozpočet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68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5"/>
                <w:rFonts w:ascii="Palatino Linotype" w:eastAsia="Palatino Linotype" w:hAnsi="Palatino Linotype" w:cs="Palatino Linotype"/>
                <w:sz w:val="18"/>
                <w:szCs w:val="18"/>
              </w:rPr>
              <w:t>0</w:t>
              <w:tab/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JKSO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Objekt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Název objektu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SKP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sanace jímky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Měrná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Stavba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Název 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1111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rekonstrukce jímky- myčka ZZS JMK Blansko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Náklady na 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Projektant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Typ rozpočtu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Zpracovatel projektu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Objednatel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Dodavatel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Zakázkové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1111</w:t>
            </w: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Rozpočtoval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Počet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5"/>
                <w:sz w:val="26"/>
                <w:szCs w:val="26"/>
              </w:rPr>
              <w:t>ROZPOČTOVÉ NÁKLADY</w:t>
            </w:r>
          </w:p>
        </w:tc>
      </w:tr>
      <w:tr>
        <w:trPr>
          <w:trHeight w:val="31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Základní rozpočtové náklady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Ostatní rozpočtové náklady</w:t>
            </w:r>
          </w:p>
        </w:tc>
      </w:tr>
      <w:tr>
        <w:trPr>
          <w:trHeight w:val="29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Z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R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HSV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90 446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3 799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PSV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M práce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M dodávky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Mimostaveništni doprava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5 246</w:t>
            </w:r>
          </w:p>
        </w:tc>
      </w:tr>
      <w:tr>
        <w:trPr>
          <w:trHeight w:val="29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ZRN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90 446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Zařízeni staveniště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</w:tr>
      <w:tr>
        <w:trPr>
          <w:trHeight w:val="29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</w:tr>
      <w:tr>
        <w:trPr>
          <w:trHeight w:val="29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</w:tr>
      <w:tr>
        <w:trPr>
          <w:trHeight w:val="29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ZRN+HZS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90 446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Ostatní náklady neuvedené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</w:t>
            </w:r>
          </w:p>
        </w:tc>
      </w:tr>
      <w:tr>
        <w:trPr>
          <w:trHeight w:val="29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ZRN+ost.náklady+HZS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99 491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Ostatní náklady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9 045</w:t>
            </w:r>
          </w:p>
        </w:tc>
      </w:tr>
      <w:tr>
        <w:trPr>
          <w:trHeight w:val="23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Vypracoval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Za zhotovitele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Za objednatele</w:t>
            </w:r>
          </w:p>
        </w:tc>
      </w:tr>
      <w:tr>
        <w:trPr>
          <w:trHeight w:val="26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Jméno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Datum 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Podpis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Jméno: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Datum 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Podpis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Jméno 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Datum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Podpis: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301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Základ pro DPH</w:t>
              <w:tab/>
              <w:t>21,0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99 491 Kč</w:t>
            </w:r>
          </w:p>
        </w:tc>
      </w:tr>
      <w:tr>
        <w:trPr>
          <w:trHeight w:val="23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300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DPH</w:t>
              <w:tab/>
              <w:t>21,0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20 893 Kč</w:t>
            </w:r>
          </w:p>
        </w:tc>
      </w:tr>
      <w:tr>
        <w:trPr>
          <w:trHeight w:val="24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311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Základ pro 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 Kč</w:t>
            </w:r>
          </w:p>
        </w:tc>
      </w:tr>
      <w:tr>
        <w:trPr>
          <w:trHeight w:val="24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311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DPH</w:t>
              <w:tab/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0 Kč</w:t>
            </w:r>
          </w:p>
        </w:tc>
      </w:tr>
      <w:tr>
        <w:trPr>
          <w:trHeight w:val="384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DFE1EE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5"/>
                <w:sz w:val="24"/>
                <w:szCs w:val="24"/>
              </w:rPr>
              <w:t>CENA ZA OBJEKT CELKEM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FE1EE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CharStyle15"/>
                <w:sz w:val="24"/>
                <w:szCs w:val="24"/>
              </w:rPr>
              <w:t>120 384 Kč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  <w:rPr>
          <w:sz w:val="17"/>
          <w:szCs w:val="17"/>
        </w:rPr>
      </w:pPr>
      <w:r>
        <w:rPr>
          <w:rStyle w:val="CharStyle12"/>
          <w:sz w:val="17"/>
          <w:szCs w:val="17"/>
        </w:rPr>
        <w:t>Poznámka</w:t>
      </w:r>
    </w:p>
    <w:p>
      <w:pPr>
        <w:widowControl w:val="0"/>
        <w:spacing w:after="1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52" w:lineRule="auto"/>
        <w:ind w:left="0" w:right="0" w:firstLine="0"/>
        <w:jc w:val="center"/>
      </w:pPr>
      <w: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5713730</wp:posOffset>
            </wp:positionH>
            <wp:positionV relativeFrom="paragraph">
              <wp:posOffset>546100</wp:posOffset>
            </wp:positionV>
            <wp:extent cx="798830" cy="572770"/>
            <wp:wrapTight wrapText="left">
              <wp:wrapPolygon>
                <wp:start x="17710" y="0"/>
                <wp:lineTo x="21600" y="0"/>
                <wp:lineTo x="21600" y="21600"/>
                <wp:lineTo x="0" y="21600"/>
                <wp:lineTo x="0" y="4620"/>
                <wp:lineTo x="13821" y="4620"/>
                <wp:lineTo x="13821" y="1502"/>
                <wp:lineTo x="17710" y="1502"/>
                <wp:lineTo x="17710" y="0"/>
              </wp:wrapPolygon>
            </wp:wrapTight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798830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  <w:sz w:val="24"/>
          <w:szCs w:val="24"/>
        </w:rPr>
        <w:t>Bareko služby s.ro</w:t>
        <w:br/>
      </w:r>
      <w:r>
        <w:rPr>
          <w:rStyle w:val="CharStyle3"/>
        </w:rPr>
        <w:t>Školská 689/20, 110 00 Praha</w:t>
        <w:br/>
        <w:t>IČ. 09767053 DIČ: CZ09767053</w:t>
        <w:br/>
      </w:r>
      <w:r>
        <w:rPr>
          <w:rStyle w:val="CharStyle3"/>
          <w:lang w:val="en-US" w:eastAsia="en-US" w:bidi="en-US"/>
        </w:rPr>
        <w:t>wwwbareko.cz</w:t>
      </w:r>
      <w:r>
        <w:br w:type="page"/>
      </w:r>
    </w:p>
    <w:p>
      <w:pPr>
        <w:pStyle w:val="Style4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rStyle w:val="CharStyle50"/>
        </w:rPr>
        <w:t>Položkový rozpočet</w:t>
      </w:r>
      <w:bookmarkEnd w:id="4"/>
    </w:p>
    <w:tbl>
      <w:tblPr>
        <w:tblOverlap w:val="never"/>
        <w:jc w:val="center"/>
        <w:tblLayout w:type="fixed"/>
      </w:tblPr>
      <w:tblGrid>
        <w:gridCol w:w="1690"/>
        <w:gridCol w:w="4838"/>
        <w:gridCol w:w="3408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Stavba : Objekt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15"/>
              </w:rPr>
              <w:t>1111 rekonstrukce jímky- myčka ZZS JMK Blansko 01 sanace jímky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Rozpočet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80"/>
        <w:gridCol w:w="1205"/>
        <w:gridCol w:w="4253"/>
        <w:gridCol w:w="581"/>
        <w:gridCol w:w="907"/>
        <w:gridCol w:w="1027"/>
        <w:gridCol w:w="1464"/>
      </w:tblGrid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Název položky</w:t>
            </w:r>
          </w:p>
        </w:tc>
        <w:tc>
          <w:tcPr>
            <w:tcBorders>
              <w:top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cena / 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7"/>
                <w:szCs w:val="17"/>
              </w:rPr>
            </w:pPr>
            <w:r>
              <w:rPr>
                <w:rStyle w:val="CharStyle15"/>
                <w:sz w:val="17"/>
                <w:szCs w:val="17"/>
              </w:rPr>
              <w:t>celkem (Kč)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Zemní práce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073879111R00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Odstranění osazených stupadel v jímce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6,00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950,00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5 700,00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DFE1E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i/>
                <w:iCs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i/>
                <w:iCs/>
              </w:rPr>
              <w:t>1 Zemni 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15"/>
              </w:rPr>
              <w:t>5 700,00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Vodorovné konstrukce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434191462R00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D+M stupadel-vidlicová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6,00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1 565,00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9 390,00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DFE1E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FE1EE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i/>
                <w:iCs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FE1EE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i/>
                <w:iCs/>
              </w:rPr>
              <w:t>4 Vodorovné konstrukce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E1EE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15"/>
              </w:rPr>
              <w:t>9 390,00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61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Úpravy povrchu vnitřní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610452101R00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Vnitř omítka s přísadou na zvýšeni vodotěsn doplnění nerovnosti stěn a podlah 30%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6,20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2 230,00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13 826.00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DFE1E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i/>
                <w:iCs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 xml:space="preserve">61 </w:t>
            </w:r>
            <w:r>
              <w:rPr>
                <w:rStyle w:val="CharStyle15"/>
                <w:i/>
                <w:iCs/>
              </w:rPr>
              <w:t>Úpravy povrchů vnitřní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13 826,00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62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Úpravy povrchu vnější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627471111U00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Reprof stěn sanač malta 1vrst 1cm ERGELIT nataženi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16,00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2 530,00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40 480,00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627471211U00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Reprof podlah sanač malta 1vrst 1cm-ERGELIT natažení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2 430,00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12 150,00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DFE1E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i/>
                <w:iCs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 xml:space="preserve">62 </w:t>
            </w:r>
            <w:r>
              <w:rPr>
                <w:rStyle w:val="CharStyle15"/>
                <w:i/>
                <w:iCs/>
              </w:rPr>
              <w:t>Úpravy povrchů vnější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52 630,00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8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Trubní vedeni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899501411R00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Stupadla šachtová vidlicová s vysek otvoru, beton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6,00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850,00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5 100,00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DFE1E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FE1EE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i/>
                <w:iCs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FE1EE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 xml:space="preserve">8 </w:t>
            </w:r>
            <w:r>
              <w:rPr>
                <w:rStyle w:val="CharStyle15"/>
                <w:i/>
                <w:iCs/>
              </w:rPr>
              <w:t>Trubní vedeni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E1EE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15"/>
              </w:rPr>
              <w:t>5 100,00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9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Technická zpráva, provozní deník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555541411R00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Technická zpráva, provozní denik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DFE1E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i/>
                <w:iCs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FE1EE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i/>
                <w:iCs/>
              </w:rPr>
              <w:t>9 Technická zpráva, provozní denik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FE1E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99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Staveništní přesun hmot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999281111R00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Přesun hmot pro opravy a údržbu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4,00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950,00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5"/>
                <w:szCs w:val="15"/>
              </w:rPr>
            </w:pPr>
            <w:r>
              <w:rPr>
                <w:rStyle w:val="CharStyle15"/>
                <w:sz w:val="15"/>
                <w:szCs w:val="15"/>
              </w:rPr>
              <w:t>3 800,00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FE1E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FE1EE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i/>
                <w:iCs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DFE1EE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 xml:space="preserve">99 </w:t>
            </w:r>
            <w:r>
              <w:rPr>
                <w:rStyle w:val="CharStyle15"/>
                <w:i/>
                <w:iCs/>
              </w:rPr>
              <w:t>Staveništní přesun hmot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FE1EE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15"/>
              </w:rPr>
              <w:t>3 800,00</w:t>
            </w:r>
          </w:p>
        </w:tc>
      </w:tr>
    </w:tbl>
    <w:p>
      <w:pPr>
        <w:widowControl w:val="0"/>
        <w:spacing w:after="14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52" w:lineRule="auto"/>
        <w:ind w:left="0" w:right="0" w:firstLine="0"/>
        <w:jc w:val="center"/>
      </w:pPr>
      <w:r>
        <w:rPr>
          <w:rStyle w:val="CharStyle3"/>
          <w:sz w:val="24"/>
          <w:szCs w:val="24"/>
        </w:rPr>
        <w:t>Bareko služby s.r.o.</w:t>
        <w:br/>
      </w:r>
      <w:r>
        <w:rPr>
          <w:rStyle w:val="CharStyle3"/>
        </w:rPr>
        <w:t>Školská 689/20, 1W 00 Praha</w:t>
        <w:br/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9"/>
          <w:shd w:val="clear" w:color="auto" w:fill="000000"/>
        </w:rPr>
        <w:t>.</w:t>
      </w:r>
      <w:r>
        <w:rPr>
          <w:rStyle w:val="CharStyle3"/>
          <w:spacing w:val="10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..​.........</w:t>
      </w:r>
      <w:r>
        <w:rPr>
          <w:rStyle w:val="CharStyle3"/>
          <w:spacing w:val="1"/>
          <w:shd w:val="clear" w:color="auto" w:fill="000000"/>
        </w:rPr>
        <w:t>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pacing w:val="2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​.....................</w:t>
      </w:r>
      <w:r>
        <w:rPr>
          <w:rStyle w:val="CharStyle3"/>
        </w:rPr>
        <w:br/>
      </w:r>
      <w:r>
        <w:rPr>
          <w:rStyle w:val="CharStyle3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2"/>
          <w:shd w:val="clear" w:color="auto" w:fill="000000"/>
          <w:lang w:val="en-US" w:eastAsia="en-US" w:bidi="en-US"/>
        </w:rPr>
        <w:t>...........</w:t>
      </w:r>
      <w:r>
        <w:rPr>
          <w:rStyle w:val="CharStyle3"/>
          <w:spacing w:val="3"/>
          <w:shd w:val="clear" w:color="auto" w:fill="000000"/>
          <w:lang w:val="en-US" w:eastAsia="en-US" w:bidi="en-US"/>
        </w:rPr>
        <w:t>....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657985" cy="585470"/>
            <wp:docPr id="13" name="Picut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657985" cy="58547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14"/>
      <w:footnotePr>
        <w:pos w:val="pageBottom"/>
        <w:numFmt w:val="decimal"/>
        <w:numRestart w:val="continuous"/>
      </w:footnotePr>
      <w:pgSz w:w="11900" w:h="16840"/>
      <w:pgMar w:top="297" w:right="531" w:bottom="1712" w:left="142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1019810</wp:posOffset>
              </wp:positionH>
              <wp:positionV relativeFrom="page">
                <wp:posOffset>9890760</wp:posOffset>
              </wp:positionV>
              <wp:extent cx="2856230" cy="12509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5623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17_2024: Oprava lapolu VZ Blansko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0.299999999999997pt;margin-top:778.80000000000007pt;width:224.90000000000001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17_2024: Oprava lapolu VZ Blansko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10030460</wp:posOffset>
              </wp:positionV>
              <wp:extent cx="5864225" cy="13081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6422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23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Zpracováno programem BUlLDpower, © RTS, a.s.</w:t>
                            <w:tab/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84.850000000000009pt;margin-top:789.80000000000007pt;width:461.75pt;height:10.3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23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sz w:val="17"/>
                        <w:szCs w:val="17"/>
                      </w:rPr>
                      <w:t>Zpracováno programem BUlLDpower, © RTS, a.s.</w:t>
                      <w:tab/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Nadpis #1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Základní text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Nadpis #2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0">
    <w:name w:val="Nadpis #3_"/>
    <w:basedOn w:val="DefaultParagraphFont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80" w:line="307" w:lineRule="auto"/>
      <w:ind w:left="520" w:hanging="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auto"/>
      <w:spacing w:after="40"/>
      <w:ind w:right="24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2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0">
    <w:name w:val="Základní text"/>
    <w:basedOn w:val="Normal"/>
    <w:link w:val="CharStyle31"/>
    <w:pPr>
      <w:widowControl w:val="0"/>
      <w:shd w:val="clear" w:color="auto" w:fill="auto"/>
      <w:spacing w:after="2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9">
    <w:name w:val="Nadpis #2"/>
    <w:basedOn w:val="Normal"/>
    <w:link w:val="CharStyle40"/>
    <w:pPr>
      <w:widowControl w:val="0"/>
      <w:shd w:val="clear" w:color="auto" w:fill="auto"/>
      <w:spacing w:after="10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49">
    <w:name w:val="Nadpis #3"/>
    <w:basedOn w:val="Normal"/>
    <w:link w:val="CharStyle50"/>
    <w:pPr>
      <w:widowControl w:val="0"/>
      <w:shd w:val="clear" w:color="auto" w:fill="auto"/>
      <w:spacing w:after="240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Relationship Id="rId14" Type="http://schemas.openxmlformats.org/officeDocument/2006/relationships/footer" Target="footer2.xml"/></Relationships>
</file>