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bookmarkStart w:id="0" w:name="bookmark0"/>
      <w:r>
        <w:rPr>
          <w:rStyle w:val="CharStyle12"/>
        </w:rPr>
        <w:t>IIIIIIIIIIIIIHIIII</w:t>
      </w:r>
      <w:bookmarkEnd w:id="0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firstLine="0"/>
        <w:jc w:val="right"/>
      </w:pPr>
      <w:r>
        <w:rPr>
          <w:rStyle w:val="CharStyle17"/>
        </w:rPr>
        <w:t>2024004726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r>
        <w:rPr>
          <w:rStyle w:val="CharStyle19"/>
          <w:b/>
          <w:bCs/>
        </w:rPr>
        <w:t>KUPNÍ SMLOUVA</w:t>
      </w:r>
      <w:bookmarkEnd w:id="2"/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560" w:line="252" w:lineRule="auto"/>
        <w:ind w:left="2440" w:right="0" w:hanging="2440"/>
        <w:jc w:val="left"/>
      </w:pPr>
      <w:bookmarkStart w:id="4" w:name="bookmark4"/>
      <w:r>
        <w:rPr>
          <w:rStyle w:val="CharStyle21"/>
        </w:rPr>
        <w:t>uzavřená v souladu s ustanovením § 2079 a násl. zákona č. 89/2012 Sb., občanský zákoník, mezi níže uvedenými smluvními stranami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2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12700</wp:posOffset>
                </wp:positionV>
                <wp:extent cx="1618615" cy="161544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8615" cy="16154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Kontaktní osoba: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Bankovní spojení (číslo účtu):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9.pt;margin-top:1.pt;width:127.45pt;height:127.2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  <w:b/>
          <w:bCs/>
        </w:rPr>
        <w:t>Zdravotnická záchranná služba Jihomoravského kraje,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rStyle w:val="CharStyle3"/>
        </w:rPr>
        <w:t>Kamenice 798/1 d, 625 00 Brno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rStyle w:val="CharStyle3"/>
        </w:rPr>
        <w:t>MUDr. Hana Albrechtová, ředitelka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rStyle w:val="CharStyle3"/>
        </w:rPr>
        <w:t>I</w:t>
      </w:r>
      <w:r>
        <w:rPr>
          <w:rStyle w:val="CharStyle3"/>
          <w:shd w:val="clear" w:color="auto" w:fill="000000"/>
        </w:rPr>
        <w:t>......​</w:t>
      </w:r>
      <w:r>
        <w:rPr>
          <w:rStyle w:val="CharStyle3"/>
          <w:spacing w:val="4"/>
          <w:shd w:val="clear" w:color="auto" w:fill="000000"/>
        </w:rPr>
        <w:t>....</w:t>
      </w:r>
      <w:r>
        <w:rPr>
          <w:rStyle w:val="CharStyle3"/>
          <w:spacing w:val="5"/>
          <w:shd w:val="clear" w:color="auto" w:fill="000000"/>
        </w:rPr>
        <w:t>...</w:t>
      </w:r>
      <w:r>
        <w:rPr>
          <w:rStyle w:val="CharStyle3"/>
          <w:shd w:val="clear" w:color="auto" w:fill="000000"/>
        </w:rPr>
        <w:t>​...</w:t>
      </w:r>
      <w:r>
        <w:rPr>
          <w:rStyle w:val="CharStyle3"/>
          <w:spacing w:val="1"/>
          <w:shd w:val="clear" w:color="auto" w:fill="000000"/>
        </w:rPr>
        <w:t>.........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3"/>
          <w:shd w:val="clear" w:color="auto" w:fill="000000"/>
        </w:rPr>
        <w:t>..</w:t>
      </w:r>
      <w:r>
        <w:rPr>
          <w:rStyle w:val="CharStyle3"/>
          <w:spacing w:val="4"/>
          <w:shd w:val="clear" w:color="auto" w:fill="000000"/>
        </w:rPr>
        <w:t>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3"/>
          <w:shd w:val="clear" w:color="auto" w:fill="000000"/>
        </w:rPr>
        <w:t>..</w:t>
      </w:r>
      <w:r>
        <w:rPr>
          <w:rStyle w:val="CharStyle3"/>
          <w:spacing w:val="4"/>
          <w:shd w:val="clear" w:color="auto" w:fill="000000"/>
        </w:rPr>
        <w:t>......</w:t>
      </w:r>
      <w:r>
        <w:rPr>
          <w:rStyle w:val="CharStyle3"/>
          <w:u w:val="single"/>
          <w:shd w:val="clear" w:color="auto" w:fill="000000"/>
        </w:rPr>
        <w:t>​</w:t>
      </w:r>
      <w:r>
        <w:rPr>
          <w:rStyle w:val="CharStyle3"/>
          <w:spacing w:val="3"/>
          <w:u w:val="single"/>
          <w:shd w:val="clear" w:color="auto" w:fill="000000"/>
        </w:rPr>
        <w:t>....</w:t>
      </w:r>
      <w:r>
        <w:rPr>
          <w:rStyle w:val="CharStyle3"/>
          <w:spacing w:val="4"/>
          <w:u w:val="single"/>
          <w:shd w:val="clear" w:color="auto" w:fill="000000"/>
        </w:rPr>
        <w:t>.......</w:t>
      </w:r>
      <w:r>
        <w:rPr>
          <w:rStyle w:val="CharStyle3"/>
          <w:u w:val="single"/>
          <w:shd w:val="clear" w:color="auto" w:fill="000000"/>
        </w:rPr>
        <w:t>​</w:t>
      </w:r>
      <w:r>
        <w:rPr>
          <w:rStyle w:val="CharStyle3"/>
          <w:spacing w:val="5"/>
          <w:u w:val="single"/>
          <w:shd w:val="clear" w:color="auto" w:fill="000000"/>
        </w:rPr>
        <w:t>....</w:t>
      </w:r>
      <w:r>
        <w:rPr>
          <w:rStyle w:val="CharStyle3"/>
          <w:spacing w:val="1"/>
          <w:u w:val="single"/>
          <w:shd w:val="clear" w:color="auto" w:fill="000000"/>
        </w:rPr>
        <w:t>..</w:t>
      </w:r>
      <w:r>
        <w:rPr>
          <w:rStyle w:val="CharStyle3"/>
          <w:spacing w:val="2"/>
          <w:u w:val="single"/>
          <w:shd w:val="clear" w:color="auto" w:fill="000000"/>
        </w:rPr>
        <w:t>.............</w:t>
      </w:r>
      <w:r>
        <w:rPr>
          <w:rStyle w:val="CharStyle3"/>
          <w:shd w:val="clear" w:color="auto" w:fill="000000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rStyle w:val="CharStyle3"/>
          <w:spacing w:val="7"/>
          <w:shd w:val="clear" w:color="auto" w:fill="000000"/>
        </w:rPr>
        <w:t>......</w:t>
      </w:r>
      <w:r>
        <w:rPr>
          <w:rStyle w:val="CharStyle3"/>
          <w:shd w:val="clear" w:color="auto" w:fill="000000"/>
        </w:rPr>
        <w:t>​....</w:t>
      </w:r>
      <w:r>
        <w:rPr>
          <w:rStyle w:val="CharStyle3"/>
          <w:spacing w:val="1"/>
          <w:shd w:val="clear" w:color="auto" w:fill="000000"/>
        </w:rPr>
        <w:t>.....</w:t>
      </w:r>
      <w:r>
        <w:rPr>
          <w:rStyle w:val="CharStyle3"/>
          <w:shd w:val="clear" w:color="auto" w:fill="000000"/>
        </w:rPr>
        <w:t>​.......​</w:t>
      </w:r>
      <w:r>
        <w:rPr>
          <w:rStyle w:val="CharStyle3"/>
          <w:spacing w:val="6"/>
          <w:shd w:val="clear" w:color="auto" w:fill="000000"/>
        </w:rPr>
        <w:t>...</w:t>
      </w:r>
      <w:r>
        <w:rPr>
          <w:rStyle w:val="CharStyle3"/>
          <w:spacing w:val="7"/>
          <w:shd w:val="clear" w:color="auto" w:fill="000000"/>
        </w:rPr>
        <w:t>...</w:t>
      </w:r>
      <w:r>
        <w:rPr>
          <w:rStyle w:val="CharStyle3"/>
          <w:shd w:val="clear" w:color="auto" w:fill="000000"/>
        </w:rPr>
        <w:t>​......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rStyle w:val="CharStyle3"/>
        </w:rPr>
        <w:t>00346292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rStyle w:val="CharStyle3"/>
        </w:rPr>
        <w:t>CZ00346292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rStyle w:val="CharStyle3"/>
        </w:rPr>
        <w:t>Krajský soud v Brně sp. zn. Pr 1245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/>
        <w:ind w:left="0" w:right="0" w:firstLine="260"/>
        <w:jc w:val="left"/>
      </w:pPr>
      <w:r>
        <w:rPr>
          <w:rStyle w:val="CharStyle3"/>
        </w:rPr>
        <w:t xml:space="preserve">MONETA Money Bank, a.s., č. ú. 117203514/0600 </w:t>
      </w:r>
      <w:r>
        <w:rPr>
          <w:rStyle w:val="CharStyle3"/>
        </w:rPr>
        <w:t xml:space="preserve">jako kupujícím (dále jen </w:t>
      </w:r>
      <w:r>
        <w:rPr>
          <w:rStyle w:val="CharStyle3"/>
          <w:b/>
          <w:bCs/>
          <w:i/>
          <w:iCs/>
        </w:rPr>
        <w:t>„kupující“)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2898775</wp:posOffset>
                </wp:positionH>
                <wp:positionV relativeFrom="paragraph">
                  <wp:posOffset>12700</wp:posOffset>
                </wp:positionV>
                <wp:extent cx="2658110" cy="130746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58110" cy="1307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PROWORK spol. s r.o.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Jungmannova 1119/2a, 794 01 Krnov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Ing. Petr Havlena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Ing. Petr Havlena 62362496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CZ62362496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C 13180 vedená u Krajského soudu v Ostravě 156993977/0300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28.25pt;margin-top:1.pt;width:209.30000000000001pt;height:102.9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PROWORK spol. s 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Jungmannova 1119/2a, 794 01 Krnov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Ing. Petr Havlena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Ing. Petr Havlena 62362496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CZ62362496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C 13180 vedená u Krajského soudu v Ostravě 156993977/0300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Jméno: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Sídlo: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Jednající: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Kontaktní osoba: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IČO: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Zápis v OR: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40" w:line="240" w:lineRule="auto"/>
        <w:ind w:left="0" w:right="0" w:firstLine="0"/>
        <w:jc w:val="left"/>
      </w:pPr>
      <w:r>
        <w:rPr>
          <w:rStyle w:val="CharStyle3"/>
        </w:rPr>
        <w:t xml:space="preserve">Bankovní spojení (číslo účtu): </w:t>
      </w:r>
      <w:r>
        <w:rPr>
          <w:rStyle w:val="CharStyle3"/>
        </w:rPr>
        <w:t xml:space="preserve">jako prodávajícím (dále jen </w:t>
      </w:r>
      <w:r>
        <w:rPr>
          <w:rStyle w:val="CharStyle3"/>
          <w:b/>
          <w:bCs/>
          <w:i/>
          <w:iCs/>
        </w:rPr>
        <w:t>„prodávající“)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2" w:val="left"/>
        </w:tabs>
        <w:bidi w:val="0"/>
        <w:spacing w:before="0" w:after="260"/>
        <w:ind w:left="540" w:right="0" w:hanging="540"/>
        <w:jc w:val="both"/>
      </w:pPr>
      <w:r>
        <w:rPr>
          <w:rStyle w:val="CharStyle3"/>
        </w:rPr>
        <w:t xml:space="preserve">Prodávající je oprávněn na základě svého vlastnického práva nakládat s tímto zbožím: </w:t>
      </w:r>
      <w:r>
        <w:rPr>
          <w:rStyle w:val="CharStyle3"/>
          <w:b/>
          <w:bCs/>
        </w:rPr>
        <w:t xml:space="preserve">12 kusů dispečerských zdravotních židlí Body+ 24/7 - </w:t>
      </w:r>
      <w:r>
        <w:rPr>
          <w:rStyle w:val="CharStyle3"/>
        </w:rPr>
        <w:t>velikost Robust.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2" w:val="left"/>
        </w:tabs>
        <w:bidi w:val="0"/>
        <w:spacing w:before="0" w:after="440"/>
        <w:ind w:left="540" w:right="0" w:hanging="540"/>
        <w:jc w:val="both"/>
      </w:pPr>
      <w:r>
        <w:rPr>
          <w:rStyle w:val="CharStyle3"/>
        </w:rPr>
        <w:t>Prodávající prodává zboží podle čl. 1 této smlouvy kupujícímu, a kupující kupuje toto zboží do vlastnictví Jihomoravského kraje, jako jeho zřizovatele, za kupní cenu podle čl. 5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2" w:val="left"/>
        </w:tabs>
        <w:bidi w:val="0"/>
        <w:spacing w:before="0" w:after="260"/>
        <w:ind w:left="540" w:right="0" w:hanging="540"/>
        <w:jc w:val="both"/>
      </w:pPr>
      <w:r>
        <w:rPr>
          <w:rStyle w:val="CharStyle3"/>
        </w:rPr>
        <w:t xml:space="preserve">Prodávající se zavazuje splnit svůj závazek k dodání zboží podle čl. 1 této smlouvy nejpozdéji do </w:t>
      </w:r>
      <w:r>
        <w:rPr>
          <w:rStyle w:val="CharStyle3"/>
          <w:b/>
          <w:bCs/>
        </w:rPr>
        <w:t xml:space="preserve">30-ti dní </w:t>
      </w:r>
      <w:r>
        <w:rPr>
          <w:rStyle w:val="CharStyle3"/>
        </w:rPr>
        <w:t>od účinnosti této smlouvy. Závazek prodávajícího k dodání zboží podle čl. 1 této smlouvy se pak považuje za splněný dnem předání a převzetí tohoto zboží, prostého všech vad, v místě plnění formou písemného předávacího protokolu (dodacího listu) podepsaného oběma stranami. Místem plnění se přitom pro účely této smlouvy rozumí sídlo kupujícího v Brně, Kamenice 798/1 d, Brno, 625 00.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2" w:val="left"/>
        </w:tabs>
        <w:bidi w:val="0"/>
        <w:spacing w:before="0" w:after="0" w:line="283" w:lineRule="auto"/>
        <w:ind w:left="540" w:right="0" w:hanging="540"/>
        <w:jc w:val="both"/>
      </w:pPr>
      <w:r>
        <w:rPr>
          <w:rStyle w:val="CharStyle3"/>
        </w:rPr>
        <w:t>Nebezpečí škody na převáděném zboží a vlastnické právo k tomuto zboží přechází z prodávajícího na kupujícího dnem splnění závazku prodávajícího k dodání tohoto zboží způsobem podle čl. 3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2" w:val="left"/>
        </w:tabs>
        <w:bidi w:val="0"/>
        <w:spacing w:before="0" w:after="0" w:line="283" w:lineRule="auto"/>
        <w:ind w:left="520" w:right="0" w:hanging="520"/>
        <w:jc w:val="both"/>
      </w:pPr>
      <w:r>
        <w:rPr>
          <w:rStyle w:val="CharStyle3"/>
        </w:rPr>
        <w:t>Kupující se zavazuje zaplatit prodávajícímu za předmět koupě a prodeje podle čl. 1 této smlouvy kupní cenu ve výši: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321 233,06 Kč </w:t>
      </w:r>
      <w:r>
        <w:rPr>
          <w:rStyle w:val="CharStyle3"/>
        </w:rPr>
        <w:t xml:space="preserve">bez DPH, tzn. </w:t>
      </w:r>
      <w:r>
        <w:rPr>
          <w:rStyle w:val="CharStyle3"/>
          <w:b/>
          <w:bCs/>
        </w:rPr>
        <w:t xml:space="preserve">388 692,00 Kč </w:t>
      </w:r>
      <w:r>
        <w:rPr>
          <w:rStyle w:val="CharStyle3"/>
        </w:rPr>
        <w:t>včetně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520" w:right="0" w:firstLine="20"/>
        <w:jc w:val="both"/>
      </w:pPr>
      <w:r>
        <w:rPr>
          <w:rStyle w:val="CharStyle3"/>
        </w:rPr>
        <w:t>Součástí této ceny jsou veškeré náklady prodávajícího na splnění jeho závazku k dodání zboží podle této smlouvy. Změna ceny je možná pouze v případě zákonné změny sazby DPH.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2" w:val="left"/>
        </w:tabs>
        <w:bidi w:val="0"/>
        <w:spacing w:before="0"/>
        <w:ind w:left="520" w:right="0" w:hanging="520"/>
        <w:jc w:val="both"/>
      </w:pPr>
      <w:r>
        <w:rPr>
          <w:rStyle w:val="CharStyle3"/>
        </w:rPr>
        <w:t xml:space="preserve">Kupní cena podle čl. 5 této smlouvy je splatná na účet prodávajícího po splnění závazku prodávajícího k dodání zboží podle čl. 1 této smlouvy způsobem podle čl. 3 této smlouvy na základě jejího písemného vyúčtování (faktury/daňového dokladu) ve lhůtě do 30 dnů od jejího doručení. Faktura bude doručena elektronicky na email: 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hd w:val="clear" w:color="auto" w:fill="000000"/>
          <w:lang w:val="en-US" w:eastAsia="en-US" w:bidi="en-US"/>
        </w:rPr>
        <w:t>.</w:t>
      </w:r>
      <w:r>
        <w:rPr>
          <w:rStyle w:val="CharStyle3"/>
        </w:rPr>
        <w:t xml:space="preserve">a 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...................</w:t>
      </w:r>
      <w:r>
        <w:rPr>
          <w:rStyle w:val="CharStyle3"/>
          <w:color w:val="2D66A0"/>
          <w:lang w:val="en-US" w:eastAsia="en-US" w:bidi="en-US"/>
        </w:rPr>
        <w:t xml:space="preserve">. </w:t>
      </w:r>
      <w:r>
        <w:rPr>
          <w:rStyle w:val="CharStyle3"/>
        </w:rPr>
        <w:t>Na faktuře musí být mimo jiné vždy uvedeno toto číslo veřejné zakázky, ke které se faktura vztahuje: P24V00001833. Přílohou faktury bude rovněž kopie písemného předávacího protokolu podepsaného oběma stranami. 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2" w:val="left"/>
        </w:tabs>
        <w:bidi w:val="0"/>
        <w:spacing w:before="0"/>
        <w:ind w:left="520" w:right="0" w:hanging="520"/>
        <w:jc w:val="both"/>
      </w:pPr>
      <w:r>
        <w:rPr>
          <w:rStyle w:val="CharStyle3"/>
        </w:rPr>
        <w:t>S převodem zboží podle čl. 1 této smlouvy je spojena záruka za jeho jakost v trvání min. 60 měsíců. V rámci této záruky se prodávající zavazuje bezplatné odstraňovat vady na zboží podle čl. 1 této smlouvy, a to ve lhůtě do 14-ti dnů od doručení příslušné reklamace písemné kupujícího. Písemná forma reklamace se považuje za dodrženou i v případě jejího odeslání elektronickou formou. Za odstranění vady v uvedené lhůtě se přitom považuje i zapůjčení náhradního srovnatelného plnění v této lhůtě, a to na dobu nezbytnou k odstranění reklamované vady.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2" w:val="left"/>
        </w:tabs>
        <w:bidi w:val="0"/>
        <w:spacing w:before="0"/>
        <w:ind w:left="520" w:right="0" w:hanging="520"/>
        <w:jc w:val="both"/>
      </w:pPr>
      <w:r>
        <w:rPr>
          <w:rStyle w:val="CharStyle3"/>
        </w:rPr>
        <w:t>Pro případ sporu o oprávněnost reklamace se kupujícímu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2" w:val="left"/>
        </w:tabs>
        <w:bidi w:val="0"/>
        <w:spacing w:before="0" w:line="283" w:lineRule="auto"/>
        <w:ind w:left="520" w:right="0" w:hanging="520"/>
        <w:jc w:val="both"/>
      </w:pPr>
      <w:r>
        <w:rPr>
          <w:rStyle w:val="CharStyle3"/>
        </w:rPr>
        <w:t>Pro případ prodlení prodávajícího se splněním jeho závazku k dodání zboží ve lhůtě podle čl. 3 této smlouvy nebo k odstranění vady ve lhůtě podle čl. 7 této smlouvy o víc, než 10 dnů, je kupující oprávněn od této smlouvy odstoupit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2" w:val="left"/>
        </w:tabs>
        <w:bidi w:val="0"/>
        <w:spacing w:before="0"/>
        <w:ind w:left="520" w:right="0" w:hanging="520"/>
        <w:jc w:val="both"/>
      </w:pPr>
      <w:r>
        <w:rPr>
          <w:rStyle w:val="CharStyle3"/>
        </w:rPr>
        <w:t>Pro případ prodlení se splněním jeho závazku k dodání zboží ve lhůtě podle čl. 3 této smlouvy a pro případ jeho prodlení s odstraněním vady ve lhůtě podle čl. 7 této smlouvy se prodávající zavazuje platit kupujícímu smluvní pokutu ve výši 0,1 % z kupní ceny podle čl. 5 této smlouvy za každý započatý den tohoto prodlení.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2" w:val="left"/>
        </w:tabs>
        <w:bidi w:val="0"/>
        <w:spacing w:before="0"/>
        <w:ind w:left="520" w:right="0" w:hanging="520"/>
        <w:jc w:val="both"/>
      </w:pPr>
      <w:r>
        <w:rPr>
          <w:rStyle w:val="CharStyle3"/>
        </w:rPr>
        <w:t>Pro případ prodlení kupujícího se zaplacením kupní ceny nebo její části ve lhůtě podle čl. 6 této smlouvy o víc než 10 dnů, je prodávající oprávněn od této smlouvy odstoupit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2" w:val="left"/>
        </w:tabs>
        <w:bidi w:val="0"/>
        <w:spacing w:before="0"/>
        <w:ind w:left="520" w:right="0" w:hanging="520"/>
        <w:jc w:val="both"/>
      </w:pPr>
      <w:r>
        <w:rPr>
          <w:rStyle w:val="CharStyle3"/>
        </w:rPr>
        <w:t>Není-li touto smlouvou ujednáno jinak, řídí se vzájemný právní vztah mezi kupujícím a prodávajícím při realizaci této smlouvy ust. § 2079 a násl. občanského zákoníku. Obě strany přitom vylučují použití ust. §1917 až 1918, §1920 až 1922, §1924, § 2099 až 2101, § 2103 až 2105 a §2165 až 2172 občanského zákoníku a také obchodních zvyklostí, které jsou svým smyslem nebo účinky totožné nebo obdobné s uvedenými ustanoveními, na jejich právní vztah podle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2" w:val="left"/>
        </w:tabs>
        <w:bidi w:val="0"/>
        <w:spacing w:before="0"/>
        <w:ind w:left="520" w:right="0" w:hanging="520"/>
        <w:jc w:val="both"/>
      </w:pPr>
      <w:r>
        <w:rPr>
          <w:rStyle w:val="CharStyle3"/>
        </w:rPr>
        <w:t>Tato smlouva se uzavírá na základě návrhu na její uzavření ze strany kupujícího. Předpokladem uzavření této smlouvy je její písemná forma a dohoda o jejích podstatných náležitostech, čímž se rozumí celý obsah této smlouvy, jak je uveden v čl. 1 až 18 této smlouvy. Kupující přitom předem vylučuje přijetí tohoto návrhu s dodatkem nebo odchylkou ve smyslu ust. § 1740 odst. 3 občanského zákoníku.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2" w:val="left"/>
        </w:tabs>
        <w:bidi w:val="0"/>
        <w:spacing w:before="0" w:after="260"/>
        <w:ind w:left="520" w:right="0" w:hanging="520"/>
        <w:jc w:val="left"/>
      </w:pPr>
      <w:r>
        <w:rPr>
          <w:rStyle w:val="CharStyle3"/>
        </w:rPr>
        <w:t>Prodávající bere na vědomí a souhlasí s tím, aby kupující uveřejnil tuto smlouvu v registru smluv v souladu s ustanoveními zákona č. 340/2015 Sb., o registru smluv, ve znění pozdějších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2" w:val="left"/>
        </w:tabs>
        <w:bidi w:val="0"/>
        <w:spacing w:before="0" w:after="260"/>
        <w:ind w:left="0" w:right="0" w:firstLine="0"/>
        <w:jc w:val="left"/>
      </w:pPr>
      <w:r>
        <w:rPr>
          <w:rStyle w:val="CharStyle3"/>
        </w:rPr>
        <w:t>Tuto smlouvu lze změnit nebo zrušit pouze jinou písemnou dohodou obou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2" w:val="left"/>
        </w:tabs>
        <w:bidi w:val="0"/>
        <w:spacing w:before="0" w:after="260"/>
        <w:ind w:left="520" w:right="0" w:hanging="520"/>
        <w:jc w:val="left"/>
      </w:pPr>
      <w:r>
        <w:rPr>
          <w:rStyle w:val="CharStyle3"/>
        </w:rPr>
        <w:t>Tato smlouva nabývá platnosti dnem jejího uzavření a účinnosti dnem jejího uveřejnění v registru smluv dle čl. 14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2" w:val="left"/>
        </w:tabs>
        <w:bidi w:val="0"/>
        <w:spacing w:before="0" w:after="260"/>
        <w:ind w:left="520" w:right="0" w:hanging="520"/>
        <w:jc w:val="left"/>
      </w:pPr>
      <w:r>
        <w:rPr>
          <w:rStyle w:val="CharStyle3"/>
        </w:rPr>
        <w:t>Prodávající uděluje kupujícímu svůj výslovný souhlas se zveřejněním podmínek této smlouvy v rozsahu a za podmínek vyplývajících z příslušných právních předpisů (zejména zákona č. 106/1999 Sb., o svobodném přístupu k informacím, v platném znění).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2" w:val="left"/>
        </w:tabs>
        <w:bidi w:val="0"/>
        <w:spacing w:before="0" w:after="820"/>
        <w:ind w:left="520" w:right="0" w:hanging="520"/>
        <w:jc w:val="left"/>
      </w:pPr>
      <w:r>
        <w:rPr>
          <w:rStyle w:val="CharStyle3"/>
        </w:rPr>
        <w:t>Dáno ve dvou originálních písemných vyhotoveních, z nichž každá ze smluvních stran obdrží po jednom.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251" w:val="left"/>
          <w:tab w:pos="4992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rStyle w:val="CharStyle3"/>
        </w:rPr>
        <w:t xml:space="preserve">V Brně dne ... Z. </w:t>
      </w:r>
      <w:r>
        <w:rPr>
          <w:rStyle w:val="CharStyle3"/>
          <w:i/>
          <w:iCs/>
          <w:color w:val="2D66A0"/>
        </w:rPr>
        <w:t>W:.</w:t>
      </w:r>
      <w:r>
        <w:rPr>
          <w:rStyle w:val="CharStyle3"/>
          <w:color w:val="2D66A0"/>
        </w:rPr>
        <w:tab/>
        <w:t>7</w:t>
        <w:tab/>
      </w:r>
      <w:r>
        <w:rPr>
          <w:rStyle w:val="CharStyle3"/>
        </w:rPr>
        <w:t>V Krnově dne 10.6.2024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/>
        <w:ind w:right="0"/>
        <w:jc w:val="left"/>
      </w:pPr>
      <w:r>
        <mc:AlternateContent>
          <mc:Choice Requires="wps">
            <w:drawing>
              <wp:anchor distT="0" distB="606425" distL="153670" distR="114935" simplePos="0" relativeHeight="125829382" behindDoc="0" locked="0" layoutInCell="1" allowOverlap="1">
                <wp:simplePos x="0" y="0"/>
                <wp:positionH relativeFrom="page">
                  <wp:posOffset>4197350</wp:posOffset>
                </wp:positionH>
                <wp:positionV relativeFrom="margin">
                  <wp:posOffset>3797935</wp:posOffset>
                </wp:positionV>
                <wp:extent cx="1060450" cy="74676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0450" cy="7467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Ing. Petr</w:t>
                              <w:br/>
                              <w:t>Havlena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30.5pt;margin-top:299.05000000000001pt;width:83.5pt;height:58.800000000000004pt;z-index:-125829371;mso-wrap-distance-left:12.1pt;mso-wrap-distance-right:9.0500000000000007pt;mso-wrap-distance-bottom:47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6"/>
                        </w:rPr>
                        <w:t>Ing. Petr</w:t>
                        <w:br/>
                        <w:t>Havlena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59790" distB="0" distL="114300" distR="236220" simplePos="0" relativeHeight="125829384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margin">
                  <wp:posOffset>4657725</wp:posOffset>
                </wp:positionV>
                <wp:extent cx="978535" cy="49403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8535" cy="494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Ing. Petr Havlena jednatel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27.40000000000003pt;margin-top:366.75pt;width:77.049999999999997pt;height:38.899999999999999pt;z-index:-125829369;mso-wrap-distance-left:9.pt;mso-wrap-distance-top:67.700000000000003pt;mso-wrap-distance-right:18.6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Ing. Petr Havlena jednatel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prodávající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1313815</wp:posOffset>
                </wp:positionH>
                <wp:positionV relativeFrom="margin">
                  <wp:posOffset>4230370</wp:posOffset>
                </wp:positionV>
                <wp:extent cx="542290" cy="164465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229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3"/>
                                <w:color w:val="7FAFE0"/>
                                <w:sz w:val="18"/>
                                <w:szCs w:val="18"/>
                              </w:rPr>
                              <w:t>Kameni</w:t>
                            </w:r>
                            <w:r>
                              <w:rPr>
                                <w:rStyle w:val="CharStyle3"/>
                                <w:spacing w:val="13"/>
                                <w:sz w:val="18"/>
                                <w:szCs w:val="18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3"/>
                                <w:spacing w:val="14"/>
                                <w:sz w:val="18"/>
                                <w:szCs w:val="18"/>
                                <w:shd w:val="clear" w:color="auto" w:fill="000000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03.45pt;margin-top:333.10000000000002pt;width:42.700000000000003pt;height:12.950000000000001pt;z-index:-125829367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3"/>
                          <w:color w:val="7FAFE0"/>
                          <w:sz w:val="18"/>
                          <w:szCs w:val="18"/>
                        </w:rPr>
                        <w:t>Kameni</w:t>
                      </w:r>
                      <w:r>
                        <w:rPr>
                          <w:rStyle w:val="CharStyle3"/>
                          <w:spacing w:val="13"/>
                          <w:sz w:val="18"/>
                          <w:szCs w:val="18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3"/>
                          <w:spacing w:val="14"/>
                          <w:sz w:val="18"/>
                          <w:szCs w:val="18"/>
                          <w:shd w:val="clear" w:color="auto" w:fill="000000"/>
                        </w:rPr>
                        <w:t>.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6" w:name="bookmark6"/>
      <w:r>
        <w:rPr>
          <w:rStyle w:val="CharStyle21"/>
        </w:rPr>
        <w:t>Digitálně podepsal Ing. Petr Havlena</w:t>
      </w:r>
      <w:bookmarkEnd w:id="6"/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/>
        <w:ind w:right="0"/>
        <w:jc w:val="left"/>
      </w:pPr>
      <w:bookmarkStart w:id="8" w:name="bookmark8"/>
      <w:r>
        <w:rPr>
          <w:rStyle w:val="CharStyle21"/>
        </w:rPr>
        <w:t>Datum: 2024.06.11</w:t>
      </w:r>
      <w:bookmarkEnd w:id="8"/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120"/>
        <w:ind w:right="0"/>
        <w:jc w:val="left"/>
      </w:pPr>
      <w:bookmarkStart w:id="10" w:name="bookmark10"/>
      <w:r>
        <w:rPr>
          <w:rStyle w:val="CharStyle21"/>
        </w:rPr>
        <w:t>13:54:37+02'00'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lef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146050</wp:posOffset>
            </wp:positionH>
            <wp:positionV relativeFrom="margin">
              <wp:posOffset>3477895</wp:posOffset>
            </wp:positionV>
            <wp:extent cx="2023745" cy="129222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023745" cy="12922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</w:rPr>
        <w:t xml:space="preserve">MUDr. Hana Albrechtová ředitelka </w:t>
      </w:r>
      <w:r>
        <w:rPr>
          <w:rStyle w:val="CharStyle3"/>
          <w:b/>
          <w:bCs/>
          <w:i/>
          <w:iCs/>
        </w:rPr>
        <w:t>kupující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628" w:right="572" w:bottom="1712" w:left="1575" w:header="20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1024255</wp:posOffset>
              </wp:positionH>
              <wp:positionV relativeFrom="page">
                <wp:posOffset>10067290</wp:posOffset>
              </wp:positionV>
              <wp:extent cx="2020570" cy="10668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2057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4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30-24: Dispečerské židle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80.650000000000006pt;margin-top:792.70000000000005pt;width:159.09999999999999pt;height:8.4000000000000004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4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30-24: Dispečerské židle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Základní text (2)_"/>
    <w:basedOn w:val="DefaultParagraphFont"/>
    <w:link w:val="Style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CharStyle12">
    <w:name w:val="Nadpis #1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CharStyle14">
    <w:name w:val="Záhlaví nebo zápatí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Základní text (3)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9">
    <w:name w:val="Nadpis #2_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Nadpis #3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4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auto"/>
      <w:jc w:val="center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paragraph" w:customStyle="1" w:styleId="Style11">
    <w:name w:val="Nadpis #1"/>
    <w:basedOn w:val="Normal"/>
    <w:link w:val="CharStyle12"/>
    <w:pPr>
      <w:widowControl w:val="0"/>
      <w:shd w:val="clear" w:color="auto" w:fill="auto"/>
      <w:spacing w:after="100"/>
      <w:ind w:right="1620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Style13">
    <w:name w:val="Záhlaví nebo zápatí (2)"/>
    <w:basedOn w:val="Normal"/>
    <w:link w:val="CharStyle1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Základní text (3)"/>
    <w:basedOn w:val="Normal"/>
    <w:link w:val="CharStyle17"/>
    <w:pPr>
      <w:widowControl w:val="0"/>
      <w:shd w:val="clear" w:color="auto" w:fill="auto"/>
      <w:ind w:right="162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8">
    <w:name w:val="Nadpis #2"/>
    <w:basedOn w:val="Normal"/>
    <w:link w:val="CharStyle19"/>
    <w:pPr>
      <w:widowControl w:val="0"/>
      <w:shd w:val="clear" w:color="auto" w:fill="auto"/>
      <w:spacing w:after="26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0">
    <w:name w:val="Nadpis #3"/>
    <w:basedOn w:val="Normal"/>
    <w:link w:val="CharStyle21"/>
    <w:pPr>
      <w:widowControl w:val="0"/>
      <w:shd w:val="clear" w:color="auto" w:fill="auto"/>
      <w:spacing w:after="60" w:line="300" w:lineRule="auto"/>
      <w:ind w:left="520" w:firstLine="20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