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83995" w:rsidRPr="004E1011" w:rsidP="00293CF9" w14:paraId="254F841E" w14:textId="77777777">
      <w:pPr>
        <w:rPr>
          <w:rFonts w:ascii="Tahoma" w:hAnsi="Tahoma" w:cs="Tahoma"/>
          <w:sz w:val="22"/>
          <w:szCs w:val="22"/>
        </w:rPr>
      </w:pPr>
    </w:p>
    <w:p w:rsidR="00293CF9" w:rsidRPr="004E1011" w:rsidP="00293CF9" w14:paraId="5FE9B9DA" w14:textId="18C3A9A3">
      <w:pPr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Níže uvedené smluvní strany (dále společně jako „</w:t>
      </w:r>
      <w:r w:rsidRPr="004E1011">
        <w:rPr>
          <w:rFonts w:ascii="Tahoma" w:hAnsi="Tahoma" w:cs="Tahoma"/>
          <w:b/>
          <w:i/>
          <w:sz w:val="22"/>
          <w:szCs w:val="22"/>
        </w:rPr>
        <w:t>smluvní strany</w:t>
      </w:r>
      <w:r w:rsidRPr="004E1011">
        <w:rPr>
          <w:rFonts w:ascii="Tahoma" w:hAnsi="Tahoma" w:cs="Tahoma"/>
          <w:sz w:val="22"/>
          <w:szCs w:val="22"/>
        </w:rPr>
        <w:t>“ a jednotlivě jako „</w:t>
      </w:r>
      <w:r w:rsidRPr="004E1011">
        <w:rPr>
          <w:rFonts w:ascii="Tahoma" w:hAnsi="Tahoma" w:cs="Tahoma"/>
          <w:b/>
          <w:i/>
          <w:sz w:val="22"/>
          <w:szCs w:val="22"/>
        </w:rPr>
        <w:t>smluvní strana</w:t>
      </w:r>
      <w:r w:rsidRPr="004E1011">
        <w:rPr>
          <w:rFonts w:ascii="Tahoma" w:hAnsi="Tahoma" w:cs="Tahoma"/>
          <w:sz w:val="22"/>
          <w:szCs w:val="22"/>
        </w:rPr>
        <w:t xml:space="preserve">“) </w:t>
      </w:r>
    </w:p>
    <w:p w:rsidR="00293CF9" w:rsidRPr="004E1011" w:rsidP="00293CF9" w14:paraId="248BC5BA" w14:textId="7777777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567" w:right="567"/>
        <w:contextualSpacing/>
        <w:rPr>
          <w:rFonts w:ascii="Tahoma" w:hAnsi="Tahoma" w:cs="Tahoma"/>
          <w:sz w:val="22"/>
          <w:szCs w:val="22"/>
        </w:rPr>
      </w:pPr>
    </w:p>
    <w:p w:rsidR="00293CF9" w:rsidRPr="004E1011" w:rsidP="00293CF9" w14:paraId="212D28C5" w14:textId="77777777">
      <w:pPr>
        <w:spacing w:after="120"/>
        <w:contextualSpacing/>
        <w:rPr>
          <w:rFonts w:ascii="Tahoma" w:hAnsi="Tahoma" w:cs="Tahoma"/>
          <w:b/>
          <w:snapToGrid w:val="0"/>
          <w:sz w:val="22"/>
          <w:szCs w:val="22"/>
        </w:rPr>
      </w:pPr>
      <w:r w:rsidRPr="004E1011">
        <w:rPr>
          <w:rFonts w:ascii="Tahoma" w:hAnsi="Tahoma" w:cs="Tahoma"/>
          <w:b/>
          <w:sz w:val="22"/>
          <w:szCs w:val="22"/>
        </w:rPr>
        <w:t>Státní fond podpory investic</w:t>
      </w:r>
      <w:r w:rsidRPr="004E1011"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293CF9" w:rsidRPr="004E1011" w:rsidP="00293CF9" w14:paraId="5C81C9E2" w14:textId="77777777">
      <w:pPr>
        <w:spacing w:after="120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napToGrid w:val="0"/>
          <w:sz w:val="22"/>
          <w:szCs w:val="22"/>
        </w:rPr>
        <w:t xml:space="preserve">se sídlem 120 00 Praha 2, </w:t>
      </w:r>
      <w:r w:rsidRPr="004E1011">
        <w:rPr>
          <w:rFonts w:ascii="Tahoma" w:hAnsi="Tahoma" w:cs="Tahoma"/>
          <w:sz w:val="22"/>
          <w:szCs w:val="22"/>
        </w:rPr>
        <w:t>Vinohradská 1896/46;</w:t>
      </w:r>
    </w:p>
    <w:p w:rsidR="00293CF9" w:rsidRPr="004E1011" w:rsidP="00293CF9" w14:paraId="7A2AC567" w14:textId="27481511">
      <w:pPr>
        <w:spacing w:after="120"/>
        <w:contextualSpacing/>
        <w:rPr>
          <w:rFonts w:ascii="Tahoma" w:hAnsi="Tahoma" w:cs="Tahoma"/>
          <w:snapToGrid w:val="0"/>
          <w:sz w:val="22"/>
          <w:szCs w:val="22"/>
        </w:rPr>
      </w:pPr>
      <w:r w:rsidRPr="004E1011">
        <w:rPr>
          <w:rFonts w:ascii="Tahoma" w:hAnsi="Tahoma" w:cs="Tahoma"/>
          <w:snapToGrid w:val="0"/>
          <w:sz w:val="22"/>
          <w:szCs w:val="22"/>
        </w:rPr>
        <w:t xml:space="preserve">zastoupen: </w:t>
      </w:r>
      <w:r w:rsidR="003504B0">
        <w:rPr>
          <w:rFonts w:ascii="Tahoma" w:hAnsi="Tahoma" w:cs="Tahoma"/>
          <w:snapToGrid w:val="0"/>
          <w:sz w:val="22"/>
          <w:szCs w:val="22"/>
        </w:rPr>
        <w:t>XXXXX</w:t>
      </w:r>
      <w:r w:rsidRPr="004E1011">
        <w:rPr>
          <w:rFonts w:ascii="Tahoma" w:hAnsi="Tahoma" w:cs="Tahoma"/>
          <w:snapToGrid w:val="0"/>
          <w:sz w:val="22"/>
          <w:szCs w:val="22"/>
        </w:rPr>
        <w:t>, ředitelem Fondu</w:t>
      </w:r>
    </w:p>
    <w:p w:rsidR="00293CF9" w:rsidRPr="004E1011" w:rsidP="00293CF9" w14:paraId="55E40C9C" w14:textId="77777777">
      <w:pPr>
        <w:spacing w:after="120"/>
        <w:contextualSpacing/>
        <w:rPr>
          <w:rFonts w:ascii="Tahoma" w:hAnsi="Tahoma" w:cs="Tahoma"/>
          <w:snapToGrid w:val="0"/>
          <w:sz w:val="22"/>
          <w:szCs w:val="22"/>
        </w:rPr>
      </w:pPr>
      <w:r w:rsidRPr="004E1011">
        <w:rPr>
          <w:rFonts w:ascii="Tahoma" w:hAnsi="Tahoma" w:cs="Tahoma"/>
          <w:snapToGrid w:val="0"/>
          <w:sz w:val="22"/>
          <w:szCs w:val="22"/>
        </w:rPr>
        <w:t xml:space="preserve">IČO </w:t>
      </w:r>
      <w:r w:rsidRPr="004E1011">
        <w:rPr>
          <w:rFonts w:ascii="Tahoma" w:hAnsi="Tahoma" w:cs="Tahoma"/>
          <w:sz w:val="22"/>
          <w:szCs w:val="22"/>
        </w:rPr>
        <w:t>70856788</w:t>
      </w:r>
    </w:p>
    <w:p w:rsidR="00293CF9" w:rsidRPr="004E1011" w:rsidP="00293CF9" w14:paraId="28C490D1" w14:textId="77777777">
      <w:pPr>
        <w:tabs>
          <w:tab w:val="left" w:pos="720"/>
        </w:tabs>
        <w:spacing w:after="120"/>
        <w:ind w:right="566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bankovní spojení: ČNB Praha 1, Na Příkopě 28, 115 03 Praha 1</w:t>
      </w:r>
    </w:p>
    <w:p w:rsidR="00293CF9" w:rsidRPr="004E1011" w:rsidP="00293CF9" w14:paraId="17F47B18" w14:textId="7ECE8E78">
      <w:pPr>
        <w:tabs>
          <w:tab w:val="left" w:pos="720"/>
        </w:tabs>
        <w:spacing w:after="120"/>
        <w:ind w:right="566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číslo účtu: </w:t>
      </w:r>
      <w:r w:rsidR="003504B0">
        <w:rPr>
          <w:rStyle w:val="StylStylNormlnSmlouva11bTunChar"/>
          <w:sz w:val="22"/>
          <w:szCs w:val="22"/>
        </w:rPr>
        <w:t>XXXXX</w:t>
      </w:r>
    </w:p>
    <w:p w:rsidR="00293CF9" w:rsidRPr="004E1011" w:rsidP="00293CF9" w14:paraId="1923010B" w14:textId="2ECA2BA7">
      <w:pPr>
        <w:tabs>
          <w:tab w:val="left" w:pos="720"/>
        </w:tabs>
        <w:spacing w:after="120"/>
        <w:ind w:right="566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(dále jen „</w:t>
      </w:r>
      <w:r w:rsidRPr="004E1011" w:rsidR="00954496">
        <w:rPr>
          <w:rFonts w:ascii="Tahoma" w:hAnsi="Tahoma" w:cs="Tahoma"/>
          <w:b/>
          <w:bCs/>
          <w:sz w:val="22"/>
          <w:szCs w:val="22"/>
        </w:rPr>
        <w:t>O</w:t>
      </w:r>
      <w:r w:rsidRPr="004E1011">
        <w:rPr>
          <w:rFonts w:ascii="Tahoma" w:hAnsi="Tahoma" w:cs="Tahoma"/>
          <w:b/>
          <w:sz w:val="22"/>
          <w:szCs w:val="22"/>
        </w:rPr>
        <w:t>bjednatel</w:t>
      </w:r>
      <w:r w:rsidRPr="004E1011">
        <w:rPr>
          <w:rFonts w:ascii="Tahoma" w:hAnsi="Tahoma" w:cs="Tahoma"/>
          <w:sz w:val="22"/>
          <w:szCs w:val="22"/>
        </w:rPr>
        <w:t>“)</w:t>
      </w:r>
    </w:p>
    <w:p w:rsidR="00293CF9" w:rsidRPr="004E1011" w:rsidP="00293CF9" w14:paraId="6EEBB4BF" w14:textId="77777777">
      <w:pPr>
        <w:spacing w:after="120" w:line="240" w:lineRule="auto"/>
        <w:contextualSpacing/>
        <w:rPr>
          <w:rFonts w:ascii="Tahoma" w:hAnsi="Tahoma" w:cs="Tahoma"/>
          <w:b/>
          <w:snapToGrid w:val="0"/>
          <w:sz w:val="22"/>
          <w:szCs w:val="22"/>
        </w:rPr>
      </w:pPr>
    </w:p>
    <w:p w:rsidR="00293CF9" w:rsidRPr="00A658D8" w:rsidP="00293CF9" w14:paraId="6381F49A" w14:textId="1F771B4C">
      <w:pPr>
        <w:spacing w:after="120" w:line="240" w:lineRule="auto"/>
        <w:contextualSpacing/>
        <w:rPr>
          <w:rFonts w:ascii="Tahoma" w:hAnsi="Tahoma" w:cs="Tahoma"/>
          <w:snapToGrid w:val="0"/>
          <w:sz w:val="22"/>
          <w:szCs w:val="22"/>
        </w:rPr>
      </w:pPr>
      <w:r w:rsidRPr="00A658D8">
        <w:rPr>
          <w:rFonts w:ascii="Tahoma" w:hAnsi="Tahoma" w:cs="Tahoma"/>
          <w:snapToGrid w:val="0"/>
          <w:sz w:val="22"/>
          <w:szCs w:val="22"/>
        </w:rPr>
        <w:t>a</w:t>
      </w:r>
    </w:p>
    <w:p w:rsidR="00293CF9" w:rsidRPr="004E1011" w:rsidP="00293CF9" w14:paraId="0B91A379" w14:textId="77777777">
      <w:pPr>
        <w:pStyle w:val="Default"/>
        <w:spacing w:after="120"/>
        <w:contextualSpacing/>
        <w:rPr>
          <w:rFonts w:ascii="Tahoma" w:hAnsi="Tahoma" w:cs="Tahoma"/>
          <w:b/>
          <w:snapToGrid w:val="0"/>
          <w:sz w:val="22"/>
          <w:szCs w:val="22"/>
        </w:rPr>
      </w:pPr>
    </w:p>
    <w:p w:rsidR="006459AC" w:rsidP="00293CF9" w14:paraId="46519283" w14:textId="290177EA">
      <w:pPr>
        <w:tabs>
          <w:tab w:val="left" w:pos="0"/>
        </w:tabs>
        <w:ind w:right="7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České vysoké učení technické v</w:t>
      </w:r>
      <w:r>
        <w:rPr>
          <w:rFonts w:ascii="Tahoma" w:hAnsi="Tahoma" w:cs="Tahoma"/>
          <w:b/>
          <w:sz w:val="22"/>
          <w:szCs w:val="22"/>
        </w:rPr>
        <w:t> </w:t>
      </w:r>
      <w:r>
        <w:rPr>
          <w:rFonts w:ascii="Tahoma" w:hAnsi="Tahoma" w:cs="Tahoma"/>
          <w:b/>
          <w:sz w:val="22"/>
          <w:szCs w:val="22"/>
        </w:rPr>
        <w:t>Praze</w:t>
      </w:r>
      <w:r>
        <w:rPr>
          <w:rFonts w:ascii="Tahoma" w:hAnsi="Tahoma" w:cs="Tahoma"/>
          <w:b/>
          <w:sz w:val="22"/>
          <w:szCs w:val="22"/>
        </w:rPr>
        <w:t xml:space="preserve"> – veřejná škola univerzitního typu,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293CF9" w:rsidRPr="004E1011" w:rsidP="00293CF9" w14:paraId="6D38FF2B" w14:textId="54E09218">
      <w:pPr>
        <w:tabs>
          <w:tab w:val="left" w:pos="0"/>
        </w:tabs>
        <w:ind w:right="7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Univerzitní centrum energeticky efektivních budov</w:t>
      </w:r>
    </w:p>
    <w:p w:rsidR="00293CF9" w:rsidRPr="00711A91" w:rsidP="00293CF9" w14:paraId="4B84271A" w14:textId="7114C382">
      <w:pPr>
        <w:tabs>
          <w:tab w:val="left" w:pos="0"/>
        </w:tabs>
        <w:ind w:right="71"/>
        <w:rPr>
          <w:rFonts w:ascii="Tahoma" w:hAnsi="Tahoma" w:cs="Tahoma"/>
          <w:sz w:val="22"/>
          <w:szCs w:val="22"/>
        </w:rPr>
      </w:pPr>
      <w:r w:rsidRPr="00711A91">
        <w:rPr>
          <w:rFonts w:ascii="Tahoma" w:hAnsi="Tahoma" w:cs="Tahoma"/>
          <w:sz w:val="22"/>
          <w:szCs w:val="22"/>
        </w:rPr>
        <w:t xml:space="preserve">se sídlem: </w:t>
      </w:r>
      <w:r w:rsidRPr="00711A91" w:rsidR="00711A91">
        <w:rPr>
          <w:rFonts w:ascii="Tahoma" w:hAnsi="Tahoma" w:cs="Tahoma"/>
          <w:sz w:val="22"/>
          <w:szCs w:val="22"/>
        </w:rPr>
        <w:t>Jugoslávských partyzánů 1580/3, 160 00 Praha 6</w:t>
      </w:r>
    </w:p>
    <w:p w:rsidR="00293CF9" w:rsidRPr="00711A91" w:rsidP="00293CF9" w14:paraId="27DCFC0B" w14:textId="3E897607">
      <w:pPr>
        <w:tabs>
          <w:tab w:val="left" w:pos="0"/>
        </w:tabs>
        <w:ind w:right="71"/>
        <w:rPr>
          <w:rFonts w:ascii="Tahoma" w:hAnsi="Tahoma" w:cs="Tahoma"/>
          <w:sz w:val="22"/>
          <w:szCs w:val="22"/>
        </w:rPr>
      </w:pPr>
      <w:r w:rsidRPr="00711A91">
        <w:rPr>
          <w:rFonts w:ascii="Tahoma" w:hAnsi="Tahoma" w:cs="Tahoma"/>
          <w:sz w:val="22"/>
          <w:szCs w:val="22"/>
        </w:rPr>
        <w:t xml:space="preserve">zastoupená: </w:t>
      </w:r>
      <w:r w:rsidR="003504B0">
        <w:rPr>
          <w:rFonts w:ascii="Tahoma" w:hAnsi="Tahoma" w:cs="Tahoma"/>
          <w:sz w:val="22"/>
          <w:szCs w:val="22"/>
        </w:rPr>
        <w:t>XXXXX</w:t>
      </w:r>
      <w:r w:rsidRPr="00711A91" w:rsidR="00711A91">
        <w:rPr>
          <w:rFonts w:ascii="Tahoma" w:hAnsi="Tahoma" w:cs="Tahoma"/>
          <w:sz w:val="22"/>
          <w:szCs w:val="22"/>
        </w:rPr>
        <w:t>, ředitel</w:t>
      </w:r>
    </w:p>
    <w:p w:rsidR="00293CF9" w:rsidRPr="00711A91" w:rsidP="00293CF9" w14:paraId="63BE058A" w14:textId="03AFFB12">
      <w:pPr>
        <w:tabs>
          <w:tab w:val="left" w:pos="0"/>
          <w:tab w:val="left" w:pos="720"/>
        </w:tabs>
        <w:ind w:right="71"/>
        <w:rPr>
          <w:rFonts w:ascii="Tahoma" w:hAnsi="Tahoma" w:cs="Tahoma"/>
          <w:sz w:val="22"/>
          <w:szCs w:val="22"/>
        </w:rPr>
      </w:pPr>
      <w:r w:rsidRPr="00711A91">
        <w:rPr>
          <w:rFonts w:ascii="Tahoma" w:hAnsi="Tahoma" w:cs="Tahoma"/>
          <w:sz w:val="22"/>
          <w:szCs w:val="22"/>
        </w:rPr>
        <w:t>IČO:</w:t>
      </w:r>
      <w:r w:rsidRPr="00711A91" w:rsidR="00711A91">
        <w:rPr>
          <w:rFonts w:ascii="Tahoma" w:hAnsi="Tahoma" w:cs="Tahoma"/>
          <w:sz w:val="22"/>
          <w:szCs w:val="22"/>
        </w:rPr>
        <w:t xml:space="preserve"> 68407700</w:t>
      </w:r>
    </w:p>
    <w:p w:rsidR="00293CF9" w:rsidRPr="00711A91" w:rsidP="00293CF9" w14:paraId="0BE76D48" w14:textId="161A9321">
      <w:pPr>
        <w:tabs>
          <w:tab w:val="left" w:pos="0"/>
        </w:tabs>
        <w:ind w:right="71"/>
        <w:rPr>
          <w:rFonts w:ascii="Tahoma" w:hAnsi="Tahoma" w:cs="Tahoma"/>
          <w:sz w:val="22"/>
          <w:szCs w:val="22"/>
        </w:rPr>
      </w:pPr>
      <w:r w:rsidRPr="00711A91">
        <w:rPr>
          <w:rFonts w:ascii="Tahoma" w:hAnsi="Tahoma" w:cs="Tahoma"/>
          <w:sz w:val="22"/>
          <w:szCs w:val="22"/>
        </w:rPr>
        <w:t>DIČ:</w:t>
      </w:r>
      <w:r w:rsidRPr="00711A91" w:rsidR="00711A91">
        <w:rPr>
          <w:rFonts w:ascii="Tahoma" w:hAnsi="Tahoma" w:cs="Tahoma"/>
          <w:sz w:val="22"/>
          <w:szCs w:val="22"/>
        </w:rPr>
        <w:t xml:space="preserve"> CZ68407700</w:t>
      </w:r>
    </w:p>
    <w:p w:rsidR="00293CF9" w:rsidRPr="00711A91" w:rsidP="00293CF9" w14:paraId="48581715" w14:textId="3747554C">
      <w:pPr>
        <w:tabs>
          <w:tab w:val="left" w:pos="0"/>
        </w:tabs>
        <w:ind w:right="71"/>
        <w:rPr>
          <w:rFonts w:ascii="Tahoma" w:hAnsi="Tahoma" w:cs="Tahoma"/>
          <w:sz w:val="22"/>
          <w:szCs w:val="22"/>
        </w:rPr>
      </w:pPr>
      <w:r w:rsidRPr="00711A91">
        <w:rPr>
          <w:rFonts w:ascii="Tahoma" w:hAnsi="Tahoma" w:cs="Tahoma"/>
          <w:sz w:val="22"/>
          <w:szCs w:val="22"/>
        </w:rPr>
        <w:t>bankovní spojení:</w:t>
      </w:r>
      <w:r w:rsidRPr="00711A91" w:rsidR="00711A91">
        <w:rPr>
          <w:rFonts w:ascii="Tahoma" w:hAnsi="Tahoma" w:cs="Tahoma"/>
          <w:sz w:val="22"/>
          <w:szCs w:val="22"/>
        </w:rPr>
        <w:t xml:space="preserve"> Komerční banka, a.s.</w:t>
      </w:r>
    </w:p>
    <w:p w:rsidR="00293CF9" w:rsidRPr="00711A91" w:rsidP="00293CF9" w14:paraId="767A55BF" w14:textId="0E486FB8">
      <w:pPr>
        <w:tabs>
          <w:tab w:val="left" w:pos="0"/>
        </w:tabs>
        <w:ind w:right="71"/>
        <w:rPr>
          <w:rFonts w:ascii="Tahoma" w:hAnsi="Tahoma" w:cs="Tahoma"/>
          <w:sz w:val="22"/>
          <w:szCs w:val="22"/>
        </w:rPr>
      </w:pPr>
      <w:r w:rsidRPr="00711A91">
        <w:rPr>
          <w:rFonts w:ascii="Tahoma" w:hAnsi="Tahoma" w:cs="Tahoma"/>
          <w:sz w:val="22"/>
          <w:szCs w:val="22"/>
        </w:rPr>
        <w:t>číslo účtu:</w:t>
      </w:r>
      <w:r w:rsidRPr="00711A91" w:rsidR="00711A91">
        <w:rPr>
          <w:rFonts w:ascii="Tahoma" w:hAnsi="Tahoma" w:cs="Tahoma"/>
          <w:sz w:val="22"/>
          <w:szCs w:val="22"/>
        </w:rPr>
        <w:t xml:space="preserve"> </w:t>
      </w:r>
      <w:r w:rsidR="003504B0">
        <w:rPr>
          <w:rFonts w:ascii="Tahoma" w:hAnsi="Tahoma" w:cs="Tahoma"/>
          <w:sz w:val="22"/>
          <w:szCs w:val="22"/>
        </w:rPr>
        <w:t>XXXXX</w:t>
      </w:r>
    </w:p>
    <w:p w:rsidR="00293CF9" w:rsidRPr="004E1011" w:rsidP="00293CF9" w14:paraId="4E38676A" w14:textId="331A3770">
      <w:pPr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(dále jen</w:t>
      </w:r>
      <w:r w:rsidRPr="004E1011" w:rsidR="00954496">
        <w:rPr>
          <w:rFonts w:ascii="Tahoma" w:hAnsi="Tahoma" w:cs="Tahoma"/>
          <w:b/>
          <w:sz w:val="22"/>
          <w:szCs w:val="22"/>
        </w:rPr>
        <w:t xml:space="preserve"> „Z</w:t>
      </w:r>
      <w:r w:rsidRPr="004E1011">
        <w:rPr>
          <w:rFonts w:ascii="Tahoma" w:hAnsi="Tahoma" w:cs="Tahoma"/>
          <w:b/>
          <w:sz w:val="22"/>
          <w:szCs w:val="22"/>
        </w:rPr>
        <w:t>hotovitel“</w:t>
      </w:r>
      <w:r w:rsidRPr="004E1011">
        <w:rPr>
          <w:rFonts w:ascii="Tahoma" w:hAnsi="Tahoma" w:cs="Tahoma"/>
          <w:sz w:val="22"/>
          <w:szCs w:val="22"/>
        </w:rPr>
        <w:t>)</w:t>
      </w:r>
    </w:p>
    <w:p w:rsidR="00293CF9" w:rsidRPr="004E1011" w:rsidP="00293CF9" w14:paraId="64E41E0E" w14:textId="77777777">
      <w:pPr>
        <w:spacing w:after="120" w:line="240" w:lineRule="auto"/>
        <w:contextualSpacing/>
        <w:rPr>
          <w:rFonts w:ascii="Tahoma" w:hAnsi="Tahoma" w:cs="Tahoma"/>
          <w:b/>
          <w:sz w:val="22"/>
          <w:szCs w:val="22"/>
        </w:rPr>
      </w:pPr>
    </w:p>
    <w:p w:rsidR="00293CF9" w:rsidRPr="004E1011" w:rsidP="00293CF9" w14:paraId="1E61E30B" w14:textId="46377EE1">
      <w:pPr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napToGrid w:val="0"/>
          <w:sz w:val="22"/>
          <w:szCs w:val="22"/>
        </w:rPr>
        <w:t xml:space="preserve">uzavřely </w:t>
      </w:r>
      <w:r w:rsidRPr="004E1011" w:rsidR="00356AE7">
        <w:rPr>
          <w:rFonts w:ascii="Tahoma" w:hAnsi="Tahoma" w:cs="Tahoma"/>
          <w:sz w:val="22"/>
          <w:szCs w:val="22"/>
        </w:rPr>
        <w:t xml:space="preserve">po provedeném výběrovém řízení </w:t>
      </w:r>
      <w:r w:rsidRPr="004E1011">
        <w:rPr>
          <w:rFonts w:ascii="Tahoma" w:hAnsi="Tahoma" w:cs="Tahoma"/>
          <w:snapToGrid w:val="0"/>
          <w:sz w:val="22"/>
          <w:szCs w:val="22"/>
        </w:rPr>
        <w:t xml:space="preserve">a za podmínek dále uvedených tuto </w:t>
      </w:r>
      <w:r w:rsidRPr="004E1011" w:rsidR="00954496">
        <w:rPr>
          <w:rFonts w:ascii="Tahoma" w:hAnsi="Tahoma" w:cs="Tahoma"/>
          <w:snapToGrid w:val="0"/>
          <w:sz w:val="22"/>
          <w:szCs w:val="22"/>
        </w:rPr>
        <w:t xml:space="preserve">smíšenou </w:t>
      </w:r>
      <w:r w:rsidRPr="004E1011">
        <w:rPr>
          <w:rFonts w:ascii="Tahoma" w:hAnsi="Tahoma" w:cs="Tahoma"/>
          <w:snapToGrid w:val="0"/>
          <w:sz w:val="22"/>
          <w:szCs w:val="22"/>
        </w:rPr>
        <w:t>smlouvu o</w:t>
      </w:r>
      <w:r w:rsidR="00DE29F9">
        <w:rPr>
          <w:rFonts w:ascii="Tahoma" w:hAnsi="Tahoma" w:cs="Tahoma"/>
          <w:snapToGrid w:val="0"/>
          <w:sz w:val="22"/>
          <w:szCs w:val="22"/>
        </w:rPr>
        <w:t> </w:t>
      </w:r>
      <w:r w:rsidRPr="004E1011" w:rsidR="00954496">
        <w:rPr>
          <w:rFonts w:ascii="Tahoma" w:hAnsi="Tahoma" w:cs="Tahoma"/>
          <w:snapToGrid w:val="0"/>
          <w:sz w:val="22"/>
          <w:szCs w:val="22"/>
        </w:rPr>
        <w:t xml:space="preserve">poskytování služeb, jejichž výsledkem bude vypracované </w:t>
      </w:r>
      <w:r w:rsidRPr="004E1011">
        <w:rPr>
          <w:rFonts w:ascii="Tahoma" w:hAnsi="Tahoma" w:cs="Tahoma"/>
          <w:snapToGrid w:val="0"/>
          <w:sz w:val="22"/>
          <w:szCs w:val="22"/>
        </w:rPr>
        <w:t>dílo</w:t>
      </w:r>
      <w:r w:rsidR="00A658D8">
        <w:rPr>
          <w:rFonts w:ascii="Tahoma" w:hAnsi="Tahoma" w:cs="Tahoma"/>
          <w:snapToGrid w:val="0"/>
          <w:sz w:val="22"/>
          <w:szCs w:val="22"/>
        </w:rPr>
        <w:t xml:space="preserve"> - metodika</w:t>
      </w:r>
      <w:r w:rsidRPr="004E1011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4E1011">
        <w:rPr>
          <w:rFonts w:ascii="Tahoma" w:hAnsi="Tahoma" w:cs="Tahoma"/>
          <w:sz w:val="22"/>
          <w:szCs w:val="22"/>
        </w:rPr>
        <w:t>(dále jen „</w:t>
      </w:r>
      <w:r w:rsidRPr="004E1011" w:rsidR="00954496">
        <w:rPr>
          <w:rFonts w:ascii="Tahoma" w:hAnsi="Tahoma" w:cs="Tahoma"/>
          <w:b/>
          <w:i/>
          <w:sz w:val="22"/>
          <w:szCs w:val="22"/>
        </w:rPr>
        <w:t>S</w:t>
      </w:r>
      <w:r w:rsidRPr="004E1011">
        <w:rPr>
          <w:rFonts w:ascii="Tahoma" w:hAnsi="Tahoma" w:cs="Tahoma"/>
          <w:b/>
          <w:i/>
          <w:sz w:val="22"/>
          <w:szCs w:val="22"/>
        </w:rPr>
        <w:t>mlouva</w:t>
      </w:r>
      <w:r w:rsidRPr="004E1011">
        <w:rPr>
          <w:rFonts w:ascii="Tahoma" w:hAnsi="Tahoma" w:cs="Tahoma"/>
          <w:sz w:val="22"/>
          <w:szCs w:val="22"/>
        </w:rPr>
        <w:t>“)</w:t>
      </w:r>
    </w:p>
    <w:p w:rsidR="00293CF9" w:rsidRPr="004E1011" w:rsidP="00293CF9" w14:paraId="2C4FDC50" w14:textId="77777777">
      <w:pPr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</w:p>
    <w:p w:rsidR="00293CF9" w:rsidRPr="004E1011" w:rsidP="00293CF9" w14:paraId="0EC3AF33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Článek I</w:t>
      </w:r>
    </w:p>
    <w:p w:rsidR="00293CF9" w:rsidRPr="004E1011" w:rsidP="00293CF9" w14:paraId="0424EB9B" w14:textId="73F366D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Účel a předmět S</w:t>
      </w:r>
      <w:r w:rsidRPr="004E1011">
        <w:rPr>
          <w:rFonts w:ascii="Tahoma" w:hAnsi="Tahoma" w:cs="Tahoma"/>
          <w:sz w:val="22"/>
          <w:szCs w:val="22"/>
        </w:rPr>
        <w:t>mlouvy</w:t>
      </w:r>
    </w:p>
    <w:p w:rsidR="00293CF9" w:rsidRPr="004E1011" w:rsidP="00727E5A" w14:paraId="176F5601" w14:textId="4E0102CE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Předmětem </w:t>
      </w:r>
      <w:r w:rsidRPr="004E1011" w:rsidR="00954496">
        <w:rPr>
          <w:rFonts w:ascii="Tahoma" w:hAnsi="Tahoma" w:cs="Tahoma"/>
          <w:sz w:val="22"/>
          <w:szCs w:val="22"/>
        </w:rPr>
        <w:t>S</w:t>
      </w:r>
      <w:r w:rsidRPr="004E1011" w:rsidR="00356AE7">
        <w:rPr>
          <w:rFonts w:ascii="Tahoma" w:hAnsi="Tahoma" w:cs="Tahoma"/>
          <w:sz w:val="22"/>
          <w:szCs w:val="22"/>
        </w:rPr>
        <w:t>mlouvy je</w:t>
      </w:r>
      <w:r w:rsidRPr="004E1011" w:rsidR="00954496">
        <w:rPr>
          <w:rFonts w:ascii="Tahoma" w:hAnsi="Tahoma" w:cs="Tahoma"/>
          <w:sz w:val="22"/>
          <w:szCs w:val="22"/>
        </w:rPr>
        <w:t xml:space="preserve"> poskytování služeb, jejichž výsledkem bude vypracování metodiky </w:t>
      </w:r>
      <w:r w:rsidRPr="004E1011" w:rsidR="00356AE7">
        <w:rPr>
          <w:rFonts w:ascii="Tahoma" w:hAnsi="Tahoma" w:cs="Tahoma"/>
          <w:sz w:val="22"/>
          <w:szCs w:val="22"/>
        </w:rPr>
        <w:t>v</w:t>
      </w:r>
      <w:r w:rsidRPr="004E1011" w:rsidR="00954496">
        <w:rPr>
          <w:rFonts w:ascii="Tahoma" w:hAnsi="Tahoma" w:cs="Tahoma"/>
          <w:sz w:val="22"/>
          <w:szCs w:val="22"/>
        </w:rPr>
        <w:t> </w:t>
      </w:r>
      <w:r w:rsidRPr="004E1011" w:rsidR="00356AE7">
        <w:rPr>
          <w:rFonts w:ascii="Tahoma" w:hAnsi="Tahoma" w:cs="Tahoma"/>
          <w:sz w:val="22"/>
          <w:szCs w:val="22"/>
        </w:rPr>
        <w:t>podobě</w:t>
      </w:r>
      <w:r w:rsidRPr="004E1011" w:rsidR="00954496">
        <w:rPr>
          <w:rFonts w:ascii="Tahoma" w:hAnsi="Tahoma" w:cs="Tahoma"/>
          <w:sz w:val="22"/>
          <w:szCs w:val="22"/>
        </w:rPr>
        <w:t xml:space="preserve"> Návrhu procesu hodnocení a hodnotících kritérií ke komponentě 2.10 – Dostupné bydlení </w:t>
      </w:r>
      <w:r w:rsidRPr="004E1011">
        <w:rPr>
          <w:rFonts w:ascii="Tahoma" w:hAnsi="Tahoma" w:cs="Tahoma"/>
          <w:sz w:val="22"/>
          <w:szCs w:val="22"/>
        </w:rPr>
        <w:t>(dále</w:t>
      </w:r>
      <w:r w:rsidRPr="004E1011" w:rsidR="00954496">
        <w:rPr>
          <w:rFonts w:ascii="Tahoma" w:hAnsi="Tahoma" w:cs="Tahoma"/>
          <w:sz w:val="22"/>
          <w:szCs w:val="22"/>
        </w:rPr>
        <w:t xml:space="preserve"> také jako</w:t>
      </w:r>
      <w:r w:rsidRPr="004E1011">
        <w:rPr>
          <w:rFonts w:ascii="Tahoma" w:hAnsi="Tahoma" w:cs="Tahoma"/>
          <w:sz w:val="22"/>
          <w:szCs w:val="22"/>
        </w:rPr>
        <w:t xml:space="preserve"> „</w:t>
      </w:r>
      <w:r w:rsidRPr="004E1011">
        <w:rPr>
          <w:rFonts w:ascii="Tahoma" w:hAnsi="Tahoma" w:cs="Tahoma"/>
          <w:b/>
          <w:i/>
          <w:sz w:val="22"/>
          <w:szCs w:val="22"/>
        </w:rPr>
        <w:t>dílo</w:t>
      </w:r>
      <w:r w:rsidRPr="004E1011">
        <w:rPr>
          <w:rFonts w:ascii="Tahoma" w:hAnsi="Tahoma" w:cs="Tahoma"/>
          <w:sz w:val="22"/>
          <w:szCs w:val="22"/>
        </w:rPr>
        <w:t>"</w:t>
      </w:r>
      <w:r w:rsidRPr="004E1011" w:rsidR="00954496">
        <w:rPr>
          <w:rFonts w:ascii="Tahoma" w:hAnsi="Tahoma" w:cs="Tahoma"/>
          <w:sz w:val="22"/>
          <w:szCs w:val="22"/>
        </w:rPr>
        <w:t xml:space="preserve"> nebo „</w:t>
      </w:r>
      <w:r w:rsidRPr="004E1011" w:rsidR="00954496">
        <w:rPr>
          <w:rFonts w:ascii="Tahoma" w:hAnsi="Tahoma" w:cs="Tahoma"/>
          <w:b/>
          <w:i/>
          <w:sz w:val="22"/>
          <w:szCs w:val="22"/>
        </w:rPr>
        <w:t>metodika</w:t>
      </w:r>
      <w:r w:rsidRPr="004E1011" w:rsidR="00954496">
        <w:rPr>
          <w:rFonts w:ascii="Tahoma" w:hAnsi="Tahoma" w:cs="Tahoma"/>
          <w:sz w:val="22"/>
          <w:szCs w:val="22"/>
        </w:rPr>
        <w:t>“</w:t>
      </w:r>
      <w:r w:rsidRPr="004E1011">
        <w:rPr>
          <w:rFonts w:ascii="Tahoma" w:hAnsi="Tahoma" w:cs="Tahoma"/>
          <w:sz w:val="22"/>
          <w:szCs w:val="22"/>
        </w:rPr>
        <w:t xml:space="preserve">). </w:t>
      </w:r>
      <w:r w:rsidRPr="004E1011">
        <w:rPr>
          <w:rFonts w:ascii="Tahoma" w:hAnsi="Tahoma" w:cs="Tahoma"/>
          <w:sz w:val="22"/>
          <w:szCs w:val="22"/>
          <w:u w:val="single"/>
        </w:rPr>
        <w:t xml:space="preserve">Podrobná specifikace díla včetně požadavků </w:t>
      </w:r>
      <w:r w:rsidRPr="004E1011" w:rsidR="00954496">
        <w:rPr>
          <w:rFonts w:ascii="Tahoma" w:hAnsi="Tahoma" w:cs="Tahoma"/>
          <w:sz w:val="22"/>
          <w:szCs w:val="22"/>
          <w:u w:val="single"/>
        </w:rPr>
        <w:t>O</w:t>
      </w:r>
      <w:r w:rsidRPr="004E1011">
        <w:rPr>
          <w:rFonts w:ascii="Tahoma" w:hAnsi="Tahoma" w:cs="Tahoma"/>
          <w:sz w:val="22"/>
          <w:szCs w:val="22"/>
          <w:u w:val="single"/>
        </w:rPr>
        <w:t xml:space="preserve">bjednatele </w:t>
      </w:r>
      <w:r w:rsidRPr="004E1011" w:rsidR="00356AE7">
        <w:rPr>
          <w:rFonts w:ascii="Tahoma" w:hAnsi="Tahoma" w:cs="Tahoma"/>
          <w:sz w:val="22"/>
          <w:szCs w:val="22"/>
          <w:u w:val="single"/>
        </w:rPr>
        <w:t xml:space="preserve">na dílo </w:t>
      </w:r>
      <w:r w:rsidRPr="004E1011">
        <w:rPr>
          <w:rFonts w:ascii="Tahoma" w:hAnsi="Tahoma" w:cs="Tahoma"/>
          <w:sz w:val="22"/>
          <w:szCs w:val="22"/>
          <w:u w:val="single"/>
        </w:rPr>
        <w:t>je uvedena v Příloze č. 1 této smlouvy.</w:t>
      </w:r>
      <w:r w:rsidRPr="004E1011">
        <w:rPr>
          <w:rFonts w:ascii="Tahoma" w:hAnsi="Tahoma" w:cs="Tahoma"/>
          <w:sz w:val="22"/>
          <w:szCs w:val="22"/>
        </w:rPr>
        <w:t xml:space="preserve"> </w:t>
      </w:r>
    </w:p>
    <w:p w:rsidR="00293CF9" w:rsidRPr="004E1011" w:rsidP="00293CF9" w14:paraId="25431CC9" w14:textId="533EEFAF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Účelem díla je </w:t>
      </w:r>
      <w:r w:rsidR="002C40A7">
        <w:rPr>
          <w:rFonts w:ascii="Tahoma" w:hAnsi="Tahoma" w:cs="Tahoma"/>
          <w:sz w:val="22"/>
          <w:szCs w:val="22"/>
        </w:rPr>
        <w:t xml:space="preserve">umožnit Objednateli hodnotit kvalitu jednotlivých projektů podaných konečnými příjemci podpory v rámci výzvy k předkládání žádostí o podporu z programu Dostupné bydlení, a to z pohledu designu, environmentální udržitelnosti, sociální udržitelnosti, ekonomické udržitelnosti a kvality procesu realizace projektu. </w:t>
      </w:r>
    </w:p>
    <w:p w:rsidR="00293CF9" w:rsidRPr="004E1011" w:rsidP="00293CF9" w14:paraId="1AB41C3F" w14:textId="397E9529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Předmětem Smlouvy je závazek Z</w:t>
      </w:r>
      <w:r w:rsidRPr="004E1011">
        <w:rPr>
          <w:rFonts w:ascii="Tahoma" w:hAnsi="Tahoma" w:cs="Tahoma"/>
          <w:sz w:val="22"/>
          <w:szCs w:val="22"/>
        </w:rPr>
        <w:t>hotovitele na svůj</w:t>
      </w:r>
      <w:r w:rsidRPr="004E1011">
        <w:rPr>
          <w:rFonts w:ascii="Tahoma" w:hAnsi="Tahoma" w:cs="Tahoma"/>
          <w:sz w:val="22"/>
          <w:szCs w:val="22"/>
        </w:rPr>
        <w:t xml:space="preserve"> náklad a nebezpečí podle této Smlouvy vyhotovit pro Objednatele dílo a závazek O</w:t>
      </w:r>
      <w:r w:rsidRPr="004E1011">
        <w:rPr>
          <w:rFonts w:ascii="Tahoma" w:hAnsi="Tahoma" w:cs="Tahoma"/>
          <w:sz w:val="22"/>
          <w:szCs w:val="22"/>
        </w:rPr>
        <w:t xml:space="preserve">bjednatele </w:t>
      </w:r>
      <w:r w:rsidRPr="004E1011" w:rsidR="00356AE7">
        <w:rPr>
          <w:rFonts w:ascii="Tahoma" w:hAnsi="Tahoma" w:cs="Tahoma"/>
          <w:sz w:val="22"/>
          <w:szCs w:val="22"/>
        </w:rPr>
        <w:t xml:space="preserve">řádné a bezvadné </w:t>
      </w:r>
      <w:r w:rsidRPr="004E1011">
        <w:rPr>
          <w:rFonts w:ascii="Tahoma" w:hAnsi="Tahoma" w:cs="Tahoma"/>
          <w:sz w:val="22"/>
          <w:szCs w:val="22"/>
        </w:rPr>
        <w:t xml:space="preserve">dílo převzít a zaplatit cenu dle článku </w:t>
      </w:r>
      <w:r w:rsidRPr="004E1011">
        <w:rPr>
          <w:rFonts w:ascii="Tahoma" w:hAnsi="Tahoma" w:cs="Tahoma"/>
          <w:sz w:val="22"/>
          <w:szCs w:val="22"/>
        </w:rPr>
        <w:t>II S</w:t>
      </w:r>
      <w:r w:rsidRPr="004E1011">
        <w:rPr>
          <w:rFonts w:ascii="Tahoma" w:hAnsi="Tahoma" w:cs="Tahoma"/>
          <w:sz w:val="22"/>
          <w:szCs w:val="22"/>
        </w:rPr>
        <w:t>mlouvy.</w:t>
      </w:r>
    </w:p>
    <w:p w:rsidR="00293CF9" w:rsidRPr="004E1011" w:rsidP="00293CF9" w14:paraId="0AAC4C78" w14:textId="3D584B61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Veškeré odchylky od specifikace pře</w:t>
      </w:r>
      <w:r w:rsidRPr="004E1011" w:rsidR="001A3818">
        <w:rPr>
          <w:rFonts w:ascii="Tahoma" w:hAnsi="Tahoma" w:cs="Tahoma"/>
          <w:sz w:val="22"/>
          <w:szCs w:val="22"/>
        </w:rPr>
        <w:t>dmětu díla mohou být prováděny Z</w:t>
      </w:r>
      <w:r w:rsidRPr="004E1011">
        <w:rPr>
          <w:rFonts w:ascii="Tahoma" w:hAnsi="Tahoma" w:cs="Tahoma"/>
          <w:sz w:val="22"/>
          <w:szCs w:val="22"/>
        </w:rPr>
        <w:t xml:space="preserve">hotovitelem pouze tehdy, budou-li písemně </w:t>
      </w:r>
      <w:r w:rsidRPr="004E1011" w:rsidR="001A3818">
        <w:rPr>
          <w:rFonts w:ascii="Tahoma" w:hAnsi="Tahoma" w:cs="Tahoma"/>
          <w:sz w:val="22"/>
          <w:szCs w:val="22"/>
        </w:rPr>
        <w:t>odsouhlaseny oprávněnou osobou O</w:t>
      </w:r>
      <w:r w:rsidRPr="004E1011">
        <w:rPr>
          <w:rFonts w:ascii="Tahoma" w:hAnsi="Tahoma" w:cs="Tahoma"/>
          <w:sz w:val="22"/>
          <w:szCs w:val="22"/>
        </w:rPr>
        <w:t xml:space="preserve">bjednatele uvedenou </w:t>
      </w:r>
      <w:r w:rsidRPr="004E1011" w:rsidR="00356AE7">
        <w:rPr>
          <w:rFonts w:ascii="Tahoma" w:hAnsi="Tahoma" w:cs="Tahoma"/>
          <w:sz w:val="22"/>
          <w:szCs w:val="22"/>
        </w:rPr>
        <w:t xml:space="preserve">článku VII odst. 1) </w:t>
      </w:r>
      <w:r w:rsidRPr="004E1011" w:rsidR="001A3818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 xml:space="preserve">mlouvy. </w:t>
      </w:r>
    </w:p>
    <w:p w:rsidR="00293CF9" w:rsidRPr="004E1011" w:rsidP="00293CF9" w14:paraId="0EFE582F" w14:textId="77777777">
      <w:pPr>
        <w:pStyle w:val="ListParagraph"/>
        <w:spacing w:after="120" w:line="240" w:lineRule="auto"/>
        <w:ind w:left="567" w:hanging="567"/>
        <w:contextualSpacing/>
        <w:rPr>
          <w:rFonts w:ascii="Tahoma" w:hAnsi="Tahoma" w:cs="Tahoma"/>
          <w:sz w:val="22"/>
          <w:szCs w:val="22"/>
        </w:rPr>
      </w:pPr>
    </w:p>
    <w:p w:rsidR="00293CF9" w:rsidRPr="004E1011" w:rsidP="00293CF9" w14:paraId="4E89CC94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Článek II</w:t>
      </w:r>
    </w:p>
    <w:p w:rsidR="00293CF9" w:rsidRPr="004E1011" w:rsidP="00293CF9" w14:paraId="177A2AE0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Cena díla a platební podmínky</w:t>
      </w:r>
    </w:p>
    <w:p w:rsidR="00293CF9" w:rsidRPr="004E1011" w:rsidP="0071305F" w14:paraId="44CB9670" w14:textId="78F7007C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Smluvní strany se dohodly, že cena díla činí celkem </w:t>
      </w:r>
      <w:r w:rsidR="00C46074">
        <w:rPr>
          <w:rFonts w:ascii="Tahoma" w:hAnsi="Tahoma" w:cs="Tahoma"/>
          <w:sz w:val="22"/>
          <w:szCs w:val="22"/>
        </w:rPr>
        <w:t>325.000</w:t>
      </w:r>
      <w:r w:rsidRPr="004E1011">
        <w:rPr>
          <w:rFonts w:ascii="Tahoma" w:hAnsi="Tahoma" w:cs="Tahoma"/>
          <w:sz w:val="22"/>
          <w:szCs w:val="22"/>
        </w:rPr>
        <w:t>,- Kč bez daně z přidané hodnoty (dále jen jako „</w:t>
      </w:r>
      <w:r w:rsidRPr="004E1011">
        <w:rPr>
          <w:rFonts w:ascii="Tahoma" w:hAnsi="Tahoma" w:cs="Tahoma"/>
          <w:b/>
          <w:i/>
          <w:sz w:val="22"/>
          <w:szCs w:val="22"/>
        </w:rPr>
        <w:t>DPH</w:t>
      </w:r>
      <w:r w:rsidRPr="004E1011">
        <w:rPr>
          <w:rFonts w:ascii="Tahoma" w:hAnsi="Tahoma" w:cs="Tahoma"/>
          <w:sz w:val="22"/>
          <w:szCs w:val="22"/>
        </w:rPr>
        <w:t xml:space="preserve">“), DPH činí </w:t>
      </w:r>
      <w:r w:rsidR="00C46074">
        <w:rPr>
          <w:rFonts w:ascii="Tahoma" w:hAnsi="Tahoma" w:cs="Tahoma"/>
          <w:sz w:val="22"/>
          <w:szCs w:val="22"/>
        </w:rPr>
        <w:t>68.250</w:t>
      </w:r>
      <w:r w:rsidRPr="004E1011">
        <w:rPr>
          <w:rFonts w:ascii="Tahoma" w:hAnsi="Tahoma" w:cs="Tahoma"/>
          <w:sz w:val="22"/>
          <w:szCs w:val="22"/>
        </w:rPr>
        <w:t xml:space="preserve">,- Kč, celková cena včetně DPH tak činí </w:t>
      </w:r>
      <w:r w:rsidR="00C46074">
        <w:rPr>
          <w:rFonts w:ascii="Tahoma" w:hAnsi="Tahoma" w:cs="Tahoma"/>
          <w:sz w:val="22"/>
          <w:szCs w:val="22"/>
        </w:rPr>
        <w:t>393.250</w:t>
      </w:r>
      <w:r w:rsidRPr="004E1011">
        <w:rPr>
          <w:rFonts w:ascii="Tahoma" w:hAnsi="Tahoma" w:cs="Tahoma"/>
          <w:sz w:val="22"/>
          <w:szCs w:val="22"/>
        </w:rPr>
        <w:t>,- Kč.</w:t>
      </w:r>
    </w:p>
    <w:p w:rsidR="00293CF9" w:rsidRPr="004E1011" w:rsidP="0071305F" w14:paraId="51570FF7" w14:textId="616CD057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Cena za dílo dohodnutá v odst. 1) tohoto článku je cenou pevnou, úplnou a konečnou. Smluvená</w:t>
      </w:r>
      <w:r w:rsidRPr="004E1011" w:rsidR="001A3818">
        <w:rPr>
          <w:rFonts w:ascii="Tahoma" w:hAnsi="Tahoma" w:cs="Tahoma"/>
          <w:sz w:val="22"/>
          <w:szCs w:val="22"/>
        </w:rPr>
        <w:t xml:space="preserve"> cena zahrnuje veškeré náklady Z</w:t>
      </w:r>
      <w:r w:rsidRPr="004E1011">
        <w:rPr>
          <w:rFonts w:ascii="Tahoma" w:hAnsi="Tahoma" w:cs="Tahoma"/>
          <w:sz w:val="22"/>
          <w:szCs w:val="22"/>
        </w:rPr>
        <w:t>hotovitele nutné ke zhotovení díla, jakož i veškeré náklady související.</w:t>
      </w:r>
    </w:p>
    <w:p w:rsidR="00275AC0" w:rsidRPr="004E1011" w:rsidP="0071305F" w14:paraId="70B147ED" w14:textId="0A9B0414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Cena díla sjednaná v odst. 1) tohoto článku bude </w:t>
      </w:r>
      <w:r w:rsidR="00CC67D8">
        <w:rPr>
          <w:rFonts w:ascii="Tahoma" w:hAnsi="Tahoma" w:cs="Tahoma"/>
          <w:sz w:val="22"/>
          <w:szCs w:val="22"/>
        </w:rPr>
        <w:t>Z</w:t>
      </w:r>
      <w:r w:rsidRPr="004E1011">
        <w:rPr>
          <w:rFonts w:ascii="Tahoma" w:hAnsi="Tahoma" w:cs="Tahoma"/>
          <w:sz w:val="22"/>
          <w:szCs w:val="22"/>
        </w:rPr>
        <w:t xml:space="preserve">hotoviteli uhrazena po odevzdání a akceptaci díla </w:t>
      </w:r>
      <w:r w:rsidRPr="004E1011" w:rsidR="001A3818">
        <w:rPr>
          <w:rFonts w:ascii="Tahoma" w:hAnsi="Tahoma" w:cs="Tahoma"/>
          <w:sz w:val="22"/>
          <w:szCs w:val="22"/>
        </w:rPr>
        <w:t>bez výhrad O</w:t>
      </w:r>
      <w:r w:rsidRPr="004E1011">
        <w:rPr>
          <w:rFonts w:ascii="Tahoma" w:hAnsi="Tahoma" w:cs="Tahoma"/>
          <w:sz w:val="22"/>
          <w:szCs w:val="22"/>
        </w:rPr>
        <w:t xml:space="preserve">bjednatelem dle článku IV </w:t>
      </w:r>
      <w:r w:rsidRPr="004E1011" w:rsidR="001A3818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>mlouvy</w:t>
      </w:r>
      <w:r w:rsidRPr="004E1011" w:rsidR="001A3818">
        <w:rPr>
          <w:rFonts w:ascii="Tahoma" w:hAnsi="Tahoma" w:cs="Tahoma"/>
          <w:sz w:val="22"/>
          <w:szCs w:val="22"/>
        </w:rPr>
        <w:t>. Objednatel nebude poskytovat Z</w:t>
      </w:r>
      <w:r w:rsidRPr="004E1011">
        <w:rPr>
          <w:rFonts w:ascii="Tahoma" w:hAnsi="Tahoma" w:cs="Tahoma"/>
          <w:sz w:val="22"/>
          <w:szCs w:val="22"/>
        </w:rPr>
        <w:t>hotoviteli zálohovou platbu</w:t>
      </w:r>
      <w:r w:rsidRPr="004E1011">
        <w:rPr>
          <w:rFonts w:ascii="Tahoma" w:hAnsi="Tahoma" w:cs="Tahoma"/>
          <w:sz w:val="22"/>
          <w:szCs w:val="22"/>
        </w:rPr>
        <w:t>.</w:t>
      </w:r>
    </w:p>
    <w:p w:rsidR="00275AC0" w:rsidRPr="004E1011" w:rsidP="0071305F" w14:paraId="65006120" w14:textId="1F8C5806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Cenu díla uhradí Ob</w:t>
      </w:r>
      <w:r w:rsidRPr="004E1011" w:rsidR="00C61F1B">
        <w:rPr>
          <w:rFonts w:ascii="Tahoma" w:hAnsi="Tahoma" w:cs="Tahoma"/>
          <w:sz w:val="22"/>
          <w:szCs w:val="22"/>
        </w:rPr>
        <w:t>jednatel na základě daňového dokladu (faktury) vystaveného</w:t>
      </w:r>
      <w:r w:rsidRPr="004E1011">
        <w:rPr>
          <w:rFonts w:ascii="Tahoma" w:hAnsi="Tahoma" w:cs="Tahoma"/>
          <w:sz w:val="22"/>
          <w:szCs w:val="22"/>
        </w:rPr>
        <w:t xml:space="preserve"> Z</w:t>
      </w:r>
      <w:r w:rsidRPr="004E1011" w:rsidR="00C61F1B">
        <w:rPr>
          <w:rFonts w:ascii="Tahoma" w:hAnsi="Tahoma" w:cs="Tahoma"/>
          <w:sz w:val="22"/>
          <w:szCs w:val="22"/>
        </w:rPr>
        <w:t>hotovite</w:t>
      </w:r>
      <w:r w:rsidRPr="004E1011">
        <w:rPr>
          <w:rFonts w:ascii="Tahoma" w:hAnsi="Tahoma" w:cs="Tahoma"/>
          <w:sz w:val="22"/>
          <w:szCs w:val="22"/>
        </w:rPr>
        <w:t>lem bankovním převodem na účet Z</w:t>
      </w:r>
      <w:r w:rsidRPr="004E1011" w:rsidR="00C61F1B">
        <w:rPr>
          <w:rFonts w:ascii="Tahoma" w:hAnsi="Tahoma" w:cs="Tahoma"/>
          <w:sz w:val="22"/>
          <w:szCs w:val="22"/>
        </w:rPr>
        <w:t xml:space="preserve">hotovitele uvedený v záhlaví </w:t>
      </w:r>
      <w:r w:rsidRPr="004E1011">
        <w:rPr>
          <w:rFonts w:ascii="Tahoma" w:hAnsi="Tahoma" w:cs="Tahoma"/>
          <w:sz w:val="22"/>
          <w:szCs w:val="22"/>
        </w:rPr>
        <w:t>S</w:t>
      </w:r>
      <w:r w:rsidRPr="004E1011" w:rsidR="00C61F1B">
        <w:rPr>
          <w:rFonts w:ascii="Tahoma" w:hAnsi="Tahoma" w:cs="Tahoma"/>
          <w:sz w:val="22"/>
          <w:szCs w:val="22"/>
        </w:rPr>
        <w:t xml:space="preserve">mlouvy. Faktura musí splňovat všechny náležitosti daňového dokladu, v záhlaví faktury bude uvedeno číslo </w:t>
      </w:r>
      <w:r w:rsidRPr="004E1011">
        <w:rPr>
          <w:rFonts w:ascii="Tahoma" w:hAnsi="Tahoma" w:cs="Tahoma"/>
          <w:sz w:val="22"/>
          <w:szCs w:val="22"/>
        </w:rPr>
        <w:t>S</w:t>
      </w:r>
      <w:r w:rsidRPr="004E1011" w:rsidR="00C61F1B">
        <w:rPr>
          <w:rFonts w:ascii="Tahoma" w:hAnsi="Tahoma" w:cs="Tahoma"/>
          <w:sz w:val="22"/>
          <w:szCs w:val="22"/>
        </w:rPr>
        <w:t>mlouvy. Splatnost faktury je minimálně 2</w:t>
      </w:r>
      <w:r w:rsidR="00E51CA5">
        <w:rPr>
          <w:rFonts w:ascii="Tahoma" w:hAnsi="Tahoma" w:cs="Tahoma"/>
          <w:sz w:val="22"/>
          <w:szCs w:val="22"/>
        </w:rPr>
        <w:t>1</w:t>
      </w:r>
      <w:r w:rsidRPr="004E1011" w:rsidR="00C61F1B">
        <w:rPr>
          <w:rFonts w:ascii="Tahoma" w:hAnsi="Tahoma" w:cs="Tahoma"/>
          <w:sz w:val="22"/>
          <w:szCs w:val="22"/>
        </w:rPr>
        <w:t xml:space="preserve"> dnů od jejího </w:t>
      </w:r>
      <w:r w:rsidR="00C841E5">
        <w:rPr>
          <w:rFonts w:ascii="Tahoma" w:hAnsi="Tahoma" w:cs="Tahoma"/>
          <w:sz w:val="22"/>
          <w:szCs w:val="22"/>
        </w:rPr>
        <w:t xml:space="preserve">prokazatelného </w:t>
      </w:r>
      <w:r w:rsidRPr="004E1011" w:rsidR="00C61F1B">
        <w:rPr>
          <w:rFonts w:ascii="Tahoma" w:hAnsi="Tahoma" w:cs="Tahoma"/>
          <w:sz w:val="22"/>
          <w:szCs w:val="22"/>
        </w:rPr>
        <w:t xml:space="preserve">doručení </w:t>
      </w:r>
      <w:r w:rsidRPr="004E1011">
        <w:rPr>
          <w:rFonts w:ascii="Tahoma" w:hAnsi="Tahoma" w:cs="Tahoma"/>
          <w:sz w:val="22"/>
          <w:szCs w:val="22"/>
        </w:rPr>
        <w:t>O</w:t>
      </w:r>
      <w:r w:rsidRPr="004E1011" w:rsidR="00C61F1B">
        <w:rPr>
          <w:rFonts w:ascii="Tahoma" w:hAnsi="Tahoma" w:cs="Tahoma"/>
          <w:sz w:val="22"/>
          <w:szCs w:val="22"/>
        </w:rPr>
        <w:t>bjednateli. Přílohou faktury musí být předávací protokol a akceptační protokol, podepsané oběma smluvními stranami</w:t>
      </w:r>
      <w:r w:rsidRPr="004E1011" w:rsidR="0051119F">
        <w:rPr>
          <w:rFonts w:ascii="Tahoma" w:hAnsi="Tahoma" w:cs="Tahoma"/>
          <w:sz w:val="22"/>
          <w:szCs w:val="22"/>
        </w:rPr>
        <w:t xml:space="preserve">. </w:t>
      </w:r>
    </w:p>
    <w:p w:rsidR="00112EAD" w:rsidRPr="00E51CA5" w:rsidP="0071305F" w14:paraId="69ADC8C8" w14:textId="56552A87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V případě, že faktura ne</w:t>
      </w:r>
      <w:r w:rsidRPr="004E1011" w:rsidR="001A3818">
        <w:rPr>
          <w:rFonts w:ascii="Tahoma" w:hAnsi="Tahoma" w:cs="Tahoma"/>
          <w:sz w:val="22"/>
          <w:szCs w:val="22"/>
        </w:rPr>
        <w:t>bude obsahovat zákonem a S</w:t>
      </w:r>
      <w:r w:rsidRPr="004E1011">
        <w:rPr>
          <w:rFonts w:ascii="Tahoma" w:hAnsi="Tahoma" w:cs="Tahoma"/>
          <w:sz w:val="22"/>
          <w:szCs w:val="22"/>
        </w:rPr>
        <w:t>mlo</w:t>
      </w:r>
      <w:r w:rsidRPr="004E1011" w:rsidR="001A3818">
        <w:rPr>
          <w:rFonts w:ascii="Tahoma" w:hAnsi="Tahoma" w:cs="Tahoma"/>
          <w:sz w:val="22"/>
          <w:szCs w:val="22"/>
        </w:rPr>
        <w:t>uvou stanovené náležitosti, je O</w:t>
      </w:r>
      <w:r w:rsidRPr="004E1011">
        <w:rPr>
          <w:rFonts w:ascii="Tahoma" w:hAnsi="Tahoma" w:cs="Tahoma"/>
          <w:sz w:val="22"/>
          <w:szCs w:val="22"/>
        </w:rPr>
        <w:t xml:space="preserve">bjednatel oprávněn ji do data splatnosti vrátit s tím, </w:t>
      </w:r>
      <w:r w:rsidRPr="004E1011" w:rsidR="001A3818">
        <w:rPr>
          <w:rFonts w:ascii="Tahoma" w:hAnsi="Tahoma" w:cs="Tahoma"/>
          <w:sz w:val="22"/>
          <w:szCs w:val="22"/>
        </w:rPr>
        <w:t>že Z</w:t>
      </w:r>
      <w:r w:rsidRPr="004E1011">
        <w:rPr>
          <w:rFonts w:ascii="Tahoma" w:hAnsi="Tahoma" w:cs="Tahoma"/>
          <w:sz w:val="22"/>
          <w:szCs w:val="22"/>
        </w:rPr>
        <w:t>hotovitel je poté povinen vystavit novou fakturu s novým termínem spla</w:t>
      </w:r>
      <w:r w:rsidRPr="004E1011" w:rsidR="001A3818">
        <w:rPr>
          <w:rFonts w:ascii="Tahoma" w:hAnsi="Tahoma" w:cs="Tahoma"/>
          <w:sz w:val="22"/>
          <w:szCs w:val="22"/>
        </w:rPr>
        <w:t>tnosti. V takovém případě není Ob</w:t>
      </w:r>
      <w:r w:rsidRPr="004E1011">
        <w:rPr>
          <w:rFonts w:ascii="Tahoma" w:hAnsi="Tahoma" w:cs="Tahoma"/>
          <w:sz w:val="22"/>
          <w:szCs w:val="22"/>
        </w:rPr>
        <w:t>jednatel v prodlení s úhradou faktury</w:t>
      </w:r>
      <w:r w:rsidRPr="004E1011">
        <w:rPr>
          <w:rFonts w:ascii="Tahoma" w:hAnsi="Tahoma" w:cs="Tahoma"/>
          <w:sz w:val="22"/>
          <w:szCs w:val="22"/>
        </w:rPr>
        <w:t xml:space="preserve">. </w:t>
      </w:r>
    </w:p>
    <w:p w:rsidR="00E51CA5" w:rsidRPr="00E51CA5" w:rsidP="0071305F" w14:paraId="4C8F3688" w14:textId="4FE7E710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Daňový doklad (faktura) </w:t>
      </w:r>
      <w:r w:rsidRPr="00F478FB">
        <w:rPr>
          <w:rFonts w:ascii="Tahoma" w:hAnsi="Tahoma" w:cs="Tahoma"/>
          <w:sz w:val="22"/>
          <w:szCs w:val="22"/>
        </w:rPr>
        <w:t>bud</w:t>
      </w:r>
      <w:r>
        <w:rPr>
          <w:rFonts w:ascii="Tahoma" w:hAnsi="Tahoma" w:cs="Tahoma"/>
          <w:sz w:val="22"/>
          <w:szCs w:val="22"/>
        </w:rPr>
        <w:t>e</w:t>
      </w:r>
      <w:r w:rsidRPr="00F478FB">
        <w:rPr>
          <w:rFonts w:ascii="Tahoma" w:hAnsi="Tahoma" w:cs="Tahoma"/>
          <w:sz w:val="22"/>
          <w:szCs w:val="22"/>
        </w:rPr>
        <w:t xml:space="preserve"> doručen poštou v listinné podobě na adresu sídla Objednatele, nebo zaslán v elektronické podobě do datové schránky: </w:t>
      </w:r>
      <w:r w:rsidRPr="00E51CA5">
        <w:rPr>
          <w:rFonts w:ascii="Tahoma" w:hAnsi="Tahoma" w:cs="Tahoma"/>
          <w:bCs/>
          <w:sz w:val="22"/>
          <w:szCs w:val="22"/>
        </w:rPr>
        <w:t>wikaiz5 nebo na e-mail:</w:t>
      </w:r>
      <w:r w:rsidRPr="00F478FB">
        <w:rPr>
          <w:rFonts w:ascii="Tahoma" w:hAnsi="Tahoma" w:cs="Tahoma"/>
          <w:b/>
          <w:sz w:val="22"/>
          <w:szCs w:val="22"/>
        </w:rPr>
        <w:t xml:space="preserve"> </w:t>
      </w:r>
      <w:r w:rsidR="003504B0">
        <w:rPr>
          <w:rFonts w:ascii="Tahoma" w:hAnsi="Tahoma" w:cs="Tahoma"/>
          <w:sz w:val="22"/>
          <w:szCs w:val="22"/>
        </w:rPr>
        <w:t>XXXXX</w:t>
      </w:r>
      <w:r w:rsidRPr="00F478FB">
        <w:rPr>
          <w:rFonts w:ascii="Tahoma" w:hAnsi="Tahoma" w:cs="Tahoma"/>
          <w:sz w:val="22"/>
          <w:szCs w:val="22"/>
        </w:rPr>
        <w:t>. Objednatel preferuje elektronické doruč</w:t>
      </w:r>
      <w:r>
        <w:rPr>
          <w:rFonts w:ascii="Tahoma" w:hAnsi="Tahoma" w:cs="Tahoma"/>
          <w:sz w:val="22"/>
          <w:szCs w:val="22"/>
        </w:rPr>
        <w:t>ení</w:t>
      </w:r>
      <w:r w:rsidRPr="00F478FB">
        <w:rPr>
          <w:rFonts w:ascii="Tahoma" w:hAnsi="Tahoma" w:cs="Tahoma"/>
          <w:sz w:val="22"/>
          <w:szCs w:val="22"/>
        </w:rPr>
        <w:t xml:space="preserve"> daňov</w:t>
      </w:r>
      <w:r>
        <w:rPr>
          <w:rFonts w:ascii="Tahoma" w:hAnsi="Tahoma" w:cs="Tahoma"/>
          <w:sz w:val="22"/>
          <w:szCs w:val="22"/>
        </w:rPr>
        <w:t>ého</w:t>
      </w:r>
      <w:r w:rsidRPr="00F478FB">
        <w:rPr>
          <w:rFonts w:ascii="Tahoma" w:hAnsi="Tahoma" w:cs="Tahoma"/>
          <w:sz w:val="22"/>
          <w:szCs w:val="22"/>
        </w:rPr>
        <w:t xml:space="preserve"> doklad</w:t>
      </w:r>
      <w:r>
        <w:rPr>
          <w:rFonts w:ascii="Tahoma" w:hAnsi="Tahoma" w:cs="Tahoma"/>
          <w:sz w:val="22"/>
          <w:szCs w:val="22"/>
        </w:rPr>
        <w:t>u</w:t>
      </w:r>
      <w:r w:rsidRPr="00F478FB">
        <w:rPr>
          <w:rFonts w:ascii="Tahoma" w:hAnsi="Tahoma" w:cs="Tahoma"/>
          <w:sz w:val="22"/>
          <w:szCs w:val="22"/>
        </w:rPr>
        <w:t>. Objednatel přijímá a zpracovává elektronické faktury.</w:t>
      </w:r>
    </w:p>
    <w:p w:rsidR="00E51CA5" w:rsidRPr="004E1011" w:rsidP="0071305F" w14:paraId="1C56EE4B" w14:textId="188DCF58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F478FB">
        <w:rPr>
          <w:rFonts w:ascii="Tahoma" w:hAnsi="Tahoma" w:cs="Tahoma"/>
          <w:sz w:val="22"/>
          <w:szCs w:val="22"/>
        </w:rPr>
        <w:t>Pokud splatnost uvedená na faktuře nebude odpovídat sjednané splatnosti, Poskytovatel souhlasí s úhradou faktury v řádném termínu dle této Smlouvy a data doručení faktury. V</w:t>
      </w:r>
      <w:r>
        <w:rPr>
          <w:rFonts w:ascii="Tahoma" w:hAnsi="Tahoma" w:cs="Tahoma"/>
          <w:sz w:val="22"/>
          <w:szCs w:val="22"/>
        </w:rPr>
        <w:t> </w:t>
      </w:r>
      <w:r w:rsidRPr="00F478FB">
        <w:rPr>
          <w:rFonts w:ascii="Tahoma" w:hAnsi="Tahoma" w:cs="Tahoma"/>
          <w:sz w:val="22"/>
          <w:szCs w:val="22"/>
        </w:rPr>
        <w:t>tomto případě není Objednatel v prodlení s úhradou faktury.</w:t>
      </w:r>
    </w:p>
    <w:p w:rsidR="0051119F" w:rsidRPr="004E1011" w:rsidP="0071305F" w14:paraId="2DBE117C" w14:textId="0DDE8443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Platba se považuje za</w:t>
      </w:r>
      <w:r w:rsidRPr="004E1011" w:rsidR="001A3818">
        <w:rPr>
          <w:rFonts w:ascii="Tahoma" w:hAnsi="Tahoma" w:cs="Tahoma"/>
          <w:sz w:val="22"/>
          <w:szCs w:val="22"/>
        </w:rPr>
        <w:t xml:space="preserve"> splněnou dnem odepsání z účtu Objednatele ve prospěch účtu Z</w:t>
      </w:r>
      <w:r w:rsidRPr="004E1011">
        <w:rPr>
          <w:rFonts w:ascii="Tahoma" w:hAnsi="Tahoma" w:cs="Tahoma"/>
          <w:sz w:val="22"/>
          <w:szCs w:val="22"/>
        </w:rPr>
        <w:t>hotovitele</w:t>
      </w:r>
      <w:r w:rsidRPr="004E1011">
        <w:rPr>
          <w:rFonts w:ascii="Tahoma" w:hAnsi="Tahoma" w:cs="Tahoma"/>
          <w:sz w:val="22"/>
          <w:szCs w:val="22"/>
        </w:rPr>
        <w:t>.</w:t>
      </w:r>
    </w:p>
    <w:p w:rsidR="009765A3" w:rsidRPr="004E1011" w:rsidP="0071305F" w14:paraId="4DE599C0" w14:textId="4944555F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Zhotovitel prohlašuje, že správce daně před uzavřením </w:t>
      </w:r>
      <w:r w:rsidRPr="004E1011" w:rsidR="001A3818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>mlouvy nerozhodl, že je nespolehlivým plátcem ve smyslu zákona o DPH. V případě, že spr</w:t>
      </w:r>
      <w:r w:rsidRPr="004E1011" w:rsidR="001A3818">
        <w:rPr>
          <w:rFonts w:ascii="Tahoma" w:hAnsi="Tahoma" w:cs="Tahoma"/>
          <w:sz w:val="22"/>
          <w:szCs w:val="22"/>
        </w:rPr>
        <w:t>ávce daně rozhodne po uzavření S</w:t>
      </w:r>
      <w:r w:rsidRPr="004E1011">
        <w:rPr>
          <w:rFonts w:ascii="Tahoma" w:hAnsi="Tahoma" w:cs="Tahoma"/>
          <w:sz w:val="22"/>
          <w:szCs w:val="22"/>
        </w:rPr>
        <w:t xml:space="preserve">mlouvy, že </w:t>
      </w:r>
      <w:r w:rsidRPr="004E1011" w:rsidR="001A3818">
        <w:rPr>
          <w:rFonts w:ascii="Tahoma" w:hAnsi="Tahoma" w:cs="Tahoma"/>
          <w:sz w:val="22"/>
          <w:szCs w:val="22"/>
        </w:rPr>
        <w:t>Z</w:t>
      </w:r>
      <w:r w:rsidRPr="004E1011">
        <w:rPr>
          <w:rFonts w:ascii="Tahoma" w:hAnsi="Tahoma" w:cs="Tahoma"/>
          <w:sz w:val="22"/>
          <w:szCs w:val="22"/>
        </w:rPr>
        <w:t>hotovitel je nespolehlivým plátcem ve sm</w:t>
      </w:r>
      <w:r w:rsidRPr="004E1011" w:rsidR="001A3818">
        <w:rPr>
          <w:rFonts w:ascii="Tahoma" w:hAnsi="Tahoma" w:cs="Tahoma"/>
          <w:sz w:val="22"/>
          <w:szCs w:val="22"/>
        </w:rPr>
        <w:t>yslu zákona o DPH, zavazuje se Z</w:t>
      </w:r>
      <w:r w:rsidRPr="004E1011">
        <w:rPr>
          <w:rFonts w:ascii="Tahoma" w:hAnsi="Tahoma" w:cs="Tahoma"/>
          <w:sz w:val="22"/>
          <w:szCs w:val="22"/>
        </w:rPr>
        <w:t>hotovitel informovat o</w:t>
      </w:r>
      <w:r w:rsidRPr="004E1011" w:rsidR="00346CCC">
        <w:rPr>
          <w:rFonts w:ascii="Tahoma" w:hAnsi="Tahoma" w:cs="Tahoma"/>
          <w:sz w:val="22"/>
          <w:szCs w:val="22"/>
        </w:rPr>
        <w:t> </w:t>
      </w:r>
      <w:r w:rsidRPr="004E1011">
        <w:rPr>
          <w:rFonts w:ascii="Tahoma" w:hAnsi="Tahoma" w:cs="Tahoma"/>
          <w:sz w:val="22"/>
          <w:szCs w:val="22"/>
        </w:rPr>
        <w:t>t</w:t>
      </w:r>
      <w:r w:rsidRPr="004E1011" w:rsidR="00346CCC">
        <w:rPr>
          <w:rFonts w:ascii="Tahoma" w:hAnsi="Tahoma" w:cs="Tahoma"/>
          <w:sz w:val="22"/>
          <w:szCs w:val="22"/>
        </w:rPr>
        <w:t>éto skutečnosti</w:t>
      </w:r>
      <w:r w:rsidRPr="004E1011">
        <w:rPr>
          <w:rFonts w:ascii="Tahoma" w:hAnsi="Tahoma" w:cs="Tahoma"/>
          <w:sz w:val="22"/>
          <w:szCs w:val="22"/>
        </w:rPr>
        <w:t xml:space="preserve"> prokazatelně písemně </w:t>
      </w:r>
      <w:r w:rsidRPr="004E1011" w:rsidR="001A3818">
        <w:rPr>
          <w:rFonts w:ascii="Tahoma" w:hAnsi="Tahoma" w:cs="Tahoma"/>
          <w:sz w:val="22"/>
          <w:szCs w:val="22"/>
        </w:rPr>
        <w:t>O</w:t>
      </w:r>
      <w:r w:rsidRPr="004E1011">
        <w:rPr>
          <w:rFonts w:ascii="Tahoma" w:hAnsi="Tahoma" w:cs="Tahoma"/>
          <w:sz w:val="22"/>
          <w:szCs w:val="22"/>
        </w:rPr>
        <w:t>bjednatele do 24 hodin poté, kdy mu bylo doručeno příslušné rozhodnutí správce daně, a to bez ohledu na vykonatelnost takového rozhodnutí a způsob jeho doručení. Pro případ nepravdivosti prohlášení ve větě prvé tohoto odstavce nebo porušení povinnosti dle věty druhé tohoto odstavce</w:t>
      </w:r>
      <w:r w:rsidRPr="004E1011" w:rsidR="00346CCC">
        <w:rPr>
          <w:rFonts w:ascii="Tahoma" w:hAnsi="Tahoma" w:cs="Tahoma"/>
          <w:sz w:val="22"/>
          <w:szCs w:val="22"/>
        </w:rPr>
        <w:t>,</w:t>
      </w:r>
      <w:r w:rsidRPr="004E1011" w:rsidR="001A3818">
        <w:rPr>
          <w:rFonts w:ascii="Tahoma" w:hAnsi="Tahoma" w:cs="Tahoma"/>
          <w:sz w:val="22"/>
          <w:szCs w:val="22"/>
        </w:rPr>
        <w:t xml:space="preserve"> je Zhotovitel povinen na výzvu O</w:t>
      </w:r>
      <w:r w:rsidRPr="004E1011">
        <w:rPr>
          <w:rFonts w:ascii="Tahoma" w:hAnsi="Tahoma" w:cs="Tahoma"/>
          <w:sz w:val="22"/>
          <w:szCs w:val="22"/>
        </w:rPr>
        <w:t xml:space="preserve">bjednatele zaplatit smluvní pokutu ve výši </w:t>
      </w:r>
      <w:r w:rsidRPr="004E1011" w:rsidR="00346CCC">
        <w:rPr>
          <w:rFonts w:ascii="Tahoma" w:hAnsi="Tahoma" w:cs="Tahoma"/>
          <w:sz w:val="22"/>
          <w:szCs w:val="22"/>
        </w:rPr>
        <w:t xml:space="preserve">odpovídající </w:t>
      </w:r>
      <w:r w:rsidRPr="004E1011">
        <w:rPr>
          <w:rFonts w:ascii="Tahoma" w:hAnsi="Tahoma" w:cs="Tahoma"/>
          <w:sz w:val="22"/>
          <w:szCs w:val="22"/>
        </w:rPr>
        <w:t xml:space="preserve">DPH </w:t>
      </w:r>
      <w:r w:rsidR="00CC67D8">
        <w:rPr>
          <w:rFonts w:ascii="Tahoma" w:hAnsi="Tahoma" w:cs="Tahoma"/>
          <w:sz w:val="22"/>
          <w:szCs w:val="22"/>
        </w:rPr>
        <w:t>z celkového finančního závazku O</w:t>
      </w:r>
      <w:r w:rsidRPr="004E1011">
        <w:rPr>
          <w:rFonts w:ascii="Tahoma" w:hAnsi="Tahoma" w:cs="Tahoma"/>
          <w:sz w:val="22"/>
          <w:szCs w:val="22"/>
        </w:rPr>
        <w:t xml:space="preserve">bjednatele dle </w:t>
      </w:r>
      <w:r w:rsidRPr="004E1011" w:rsidR="001A3818">
        <w:rPr>
          <w:rFonts w:ascii="Tahoma" w:hAnsi="Tahoma" w:cs="Tahoma"/>
          <w:sz w:val="22"/>
          <w:szCs w:val="22"/>
        </w:rPr>
        <w:t>čl. II odst. 1) S</w:t>
      </w:r>
      <w:r w:rsidRPr="004E1011">
        <w:rPr>
          <w:rFonts w:ascii="Tahoma" w:hAnsi="Tahoma" w:cs="Tahoma"/>
          <w:sz w:val="22"/>
          <w:szCs w:val="22"/>
        </w:rPr>
        <w:t>mlouvy.</w:t>
      </w:r>
    </w:p>
    <w:p w:rsidR="009765A3" w:rsidRPr="00E51CA5" w:rsidP="0071305F" w14:paraId="293E6A1D" w14:textId="78E2520C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V případě, že v době, kdy bude dílo dokončeno, bude uvedená sazba </w:t>
      </w:r>
      <w:r w:rsidRPr="004E1011" w:rsidR="00A51E26">
        <w:rPr>
          <w:rFonts w:ascii="Tahoma" w:hAnsi="Tahoma" w:cs="Tahoma"/>
          <w:sz w:val="22"/>
          <w:szCs w:val="22"/>
        </w:rPr>
        <w:t xml:space="preserve">DPH </w:t>
      </w:r>
      <w:r w:rsidRPr="004E1011">
        <w:rPr>
          <w:rFonts w:ascii="Tahoma" w:hAnsi="Tahoma" w:cs="Tahoma"/>
          <w:sz w:val="22"/>
          <w:szCs w:val="22"/>
        </w:rPr>
        <w:t>zákonem o dani z přidané hodn</w:t>
      </w:r>
      <w:r w:rsidRPr="004E1011" w:rsidR="001A3818">
        <w:rPr>
          <w:rFonts w:ascii="Tahoma" w:hAnsi="Tahoma" w:cs="Tahoma"/>
          <w:sz w:val="22"/>
          <w:szCs w:val="22"/>
        </w:rPr>
        <w:t>oty zvýšena nebo snížena, bude Z</w:t>
      </w:r>
      <w:r w:rsidRPr="004E1011">
        <w:rPr>
          <w:rFonts w:ascii="Tahoma" w:hAnsi="Tahoma" w:cs="Tahoma"/>
          <w:sz w:val="22"/>
          <w:szCs w:val="22"/>
        </w:rPr>
        <w:t xml:space="preserve">hotovitel účtovat k ceně plnění daň podle aktuálního znění zákona. Tato změna </w:t>
      </w:r>
      <w:r w:rsidRPr="004E1011" w:rsidR="001A3818">
        <w:rPr>
          <w:rFonts w:ascii="Tahoma" w:hAnsi="Tahoma" w:cs="Tahoma"/>
          <w:sz w:val="22"/>
          <w:szCs w:val="22"/>
        </w:rPr>
        <w:t>nebude považována za změnu S</w:t>
      </w:r>
      <w:r w:rsidRPr="004E1011">
        <w:rPr>
          <w:rFonts w:ascii="Tahoma" w:hAnsi="Tahoma" w:cs="Tahoma"/>
          <w:sz w:val="22"/>
          <w:szCs w:val="22"/>
        </w:rPr>
        <w:t>mlouvy.</w:t>
      </w:r>
    </w:p>
    <w:p w:rsidR="00E51CA5" w:rsidRPr="004E1011" w:rsidP="0071305F" w14:paraId="0FB54334" w14:textId="37DFDAE9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0D2709">
        <w:rPr>
          <w:rFonts w:ascii="Tahoma" w:hAnsi="Tahoma" w:cs="Tahoma"/>
          <w:sz w:val="22"/>
          <w:szCs w:val="22"/>
        </w:rPr>
        <w:t xml:space="preserve">Pokud není faktura doručena </w:t>
      </w:r>
      <w:r>
        <w:rPr>
          <w:rFonts w:ascii="Tahoma" w:hAnsi="Tahoma" w:cs="Tahoma"/>
          <w:sz w:val="22"/>
          <w:szCs w:val="22"/>
        </w:rPr>
        <w:t>Objednateli</w:t>
      </w:r>
      <w:r w:rsidRPr="000D2709">
        <w:rPr>
          <w:rFonts w:ascii="Tahoma" w:hAnsi="Tahoma" w:cs="Tahoma"/>
          <w:sz w:val="22"/>
          <w:szCs w:val="22"/>
        </w:rPr>
        <w:t xml:space="preserve"> nejpozději do 15. prosince daného kalendářního roku nebo je doručena později po tomto datu podle odst. 8</w:t>
      </w:r>
      <w:r>
        <w:rPr>
          <w:rFonts w:ascii="Tahoma" w:hAnsi="Tahoma" w:cs="Tahoma"/>
          <w:sz w:val="22"/>
          <w:szCs w:val="22"/>
        </w:rPr>
        <w:t>)</w:t>
      </w:r>
      <w:r w:rsidRPr="000D2709">
        <w:rPr>
          <w:rFonts w:ascii="Tahoma" w:hAnsi="Tahoma" w:cs="Tahoma"/>
          <w:sz w:val="22"/>
          <w:szCs w:val="22"/>
        </w:rPr>
        <w:t xml:space="preserve">, pak platí, že splatnost veškerých faktur podle této Smlouvy doručených </w:t>
      </w:r>
      <w:r>
        <w:rPr>
          <w:rFonts w:ascii="Tahoma" w:hAnsi="Tahoma" w:cs="Tahoma"/>
          <w:sz w:val="22"/>
          <w:szCs w:val="22"/>
        </w:rPr>
        <w:t>Objednateli</w:t>
      </w:r>
      <w:r w:rsidRPr="000D2709">
        <w:rPr>
          <w:rFonts w:ascii="Tahoma" w:hAnsi="Tahoma" w:cs="Tahoma"/>
          <w:sz w:val="22"/>
          <w:szCs w:val="22"/>
        </w:rPr>
        <w:t xml:space="preserve"> po tomto datu začne běžet 1. února následujícího kalendářního roku. V případě nedostupnosti rozpočtových prostředků </w:t>
      </w:r>
      <w:r>
        <w:rPr>
          <w:rFonts w:ascii="Tahoma" w:hAnsi="Tahoma" w:cs="Tahoma"/>
          <w:sz w:val="22"/>
          <w:szCs w:val="22"/>
        </w:rPr>
        <w:t>Objednatele</w:t>
      </w:r>
      <w:r w:rsidRPr="000D2709">
        <w:rPr>
          <w:rFonts w:ascii="Tahoma" w:hAnsi="Tahoma" w:cs="Tahoma"/>
          <w:sz w:val="22"/>
          <w:szCs w:val="22"/>
        </w:rPr>
        <w:t xml:space="preserve"> začne splatnost veškerých faktur běžet dnem opětovné dostupnosti příslušných rozpočtových prostředků </w:t>
      </w:r>
      <w:r>
        <w:rPr>
          <w:rFonts w:ascii="Tahoma" w:hAnsi="Tahoma" w:cs="Tahoma"/>
          <w:sz w:val="22"/>
          <w:szCs w:val="22"/>
        </w:rPr>
        <w:t>Objednatele</w:t>
      </w:r>
      <w:r w:rsidRPr="000D270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Poskytovatel</w:t>
      </w:r>
      <w:r w:rsidRPr="000D2709">
        <w:rPr>
          <w:rFonts w:ascii="Tahoma" w:hAnsi="Tahoma" w:cs="Tahoma"/>
          <w:sz w:val="22"/>
          <w:szCs w:val="22"/>
        </w:rPr>
        <w:t xml:space="preserve"> bere na vědomí a výslovně souhlasí, že v takových případech není </w:t>
      </w:r>
      <w:r>
        <w:rPr>
          <w:rFonts w:ascii="Tahoma" w:hAnsi="Tahoma" w:cs="Tahoma"/>
          <w:sz w:val="22"/>
          <w:szCs w:val="22"/>
        </w:rPr>
        <w:t>Objednatel</w:t>
      </w:r>
      <w:r w:rsidRPr="000D2709">
        <w:rPr>
          <w:rFonts w:ascii="Tahoma" w:hAnsi="Tahoma" w:cs="Tahoma"/>
          <w:sz w:val="22"/>
          <w:szCs w:val="22"/>
        </w:rPr>
        <w:t xml:space="preserve"> v prodlení s úhradou faktury podle ostatních ustanovení tohoto článku.</w:t>
      </w:r>
    </w:p>
    <w:p w:rsidR="0071305F" w:rsidRPr="004E1011" w:rsidP="00800F22" w14:paraId="7F173978" w14:textId="4C7301CE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Zhotovitel </w:t>
      </w:r>
      <w:r w:rsidRPr="004E1011">
        <w:rPr>
          <w:rFonts w:ascii="Tahoma" w:hAnsi="Tahoma" w:cs="Tahoma"/>
          <w:sz w:val="22"/>
          <w:szCs w:val="22"/>
        </w:rPr>
        <w:t xml:space="preserve">je povinen archivovat veškerou dokumentaci spojenou s předmětem </w:t>
      </w:r>
      <w:r w:rsidRPr="004E1011" w:rsidR="001A3818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 xml:space="preserve">mlouvy nejméně po dobu deseti (10) let od účinnosti </w:t>
      </w:r>
      <w:r w:rsidR="00CC67D8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 xml:space="preserve">mlouvy, včetně umožnění přístupu k ní. Dále je </w:t>
      </w:r>
      <w:r w:rsidRPr="004E1011" w:rsidR="001A3818">
        <w:rPr>
          <w:rFonts w:ascii="Tahoma" w:hAnsi="Tahoma" w:cs="Tahoma"/>
          <w:sz w:val="22"/>
          <w:szCs w:val="22"/>
        </w:rPr>
        <w:t>Z</w:t>
      </w:r>
      <w:r w:rsidRPr="004E1011">
        <w:rPr>
          <w:rFonts w:ascii="Tahoma" w:hAnsi="Tahoma" w:cs="Tahoma"/>
          <w:sz w:val="22"/>
          <w:szCs w:val="22"/>
        </w:rPr>
        <w:t>hotovitel v</w:t>
      </w:r>
      <w:r w:rsidRPr="004E1011">
        <w:rPr>
          <w:rFonts w:ascii="Tahoma" w:hAnsi="Tahoma" w:cs="Tahoma"/>
          <w:sz w:val="22"/>
          <w:szCs w:val="22"/>
        </w:rPr>
        <w:t xml:space="preserve"> souladu s § 2 písm. e) zákona č. 320/2001 Sb., o finanční kontrole, ve znění pozdějších předpisů povinen poskytnout kontrolním orgánům a </w:t>
      </w:r>
      <w:r w:rsidRPr="004E1011" w:rsidR="001A3818">
        <w:rPr>
          <w:rFonts w:ascii="Tahoma" w:hAnsi="Tahoma" w:cs="Tahoma"/>
          <w:sz w:val="22"/>
          <w:szCs w:val="22"/>
        </w:rPr>
        <w:t>O</w:t>
      </w:r>
      <w:r w:rsidRPr="004E1011">
        <w:rPr>
          <w:rFonts w:ascii="Tahoma" w:hAnsi="Tahoma" w:cs="Tahoma"/>
          <w:sz w:val="22"/>
          <w:szCs w:val="22"/>
        </w:rPr>
        <w:t>bjednateli veškerou potřebnou součinnost při výkonu finanční kontroly a obdobně zavázat i své případné poddodavatele.</w:t>
      </w:r>
    </w:p>
    <w:p w:rsidR="0071305F" w:rsidRPr="004E1011" w:rsidP="00293CF9" w14:paraId="3904C002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</w:p>
    <w:p w:rsidR="00293CF9" w:rsidRPr="004E1011" w:rsidP="00293CF9" w14:paraId="0646D9AF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Článek III</w:t>
      </w:r>
    </w:p>
    <w:p w:rsidR="00293CF9" w:rsidRPr="004E1011" w:rsidP="00293CF9" w14:paraId="6719B097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Licence</w:t>
      </w:r>
    </w:p>
    <w:p w:rsidR="00293CF9" w:rsidRPr="004E1011" w:rsidP="00D046A9" w14:paraId="5F987C87" w14:textId="77777777">
      <w:pPr>
        <w:pStyle w:val="ListParagraph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Zhotovitel díla prohlašuje, že je oprávněn vykonávat svým jménem a na svůj účet majetková práva autorů k dílu a že má souhlas autorů k uzavření následujících licenčních ujednání; toto prohlášení zahrnuje i taková práva autorů, která by vytvořením díla teprve vznikla.</w:t>
      </w:r>
    </w:p>
    <w:p w:rsidR="00293CF9" w:rsidRPr="004E1011" w:rsidP="00D046A9" w14:paraId="77EE218E" w14:textId="7618C1BC">
      <w:pPr>
        <w:pStyle w:val="ListParagraph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4E1011" w:rsidR="001A3818">
        <w:rPr>
          <w:rFonts w:ascii="Tahoma" w:hAnsi="Tahoma" w:cs="Tahoma"/>
          <w:sz w:val="22"/>
          <w:szCs w:val="22"/>
        </w:rPr>
        <w:t>Zhotovitel díla poskytuje O</w:t>
      </w:r>
      <w:r w:rsidRPr="004E1011">
        <w:rPr>
          <w:rFonts w:ascii="Tahoma" w:hAnsi="Tahoma" w:cs="Tahoma"/>
          <w:sz w:val="22"/>
          <w:szCs w:val="22"/>
        </w:rPr>
        <w:t>bjednateli díla (nabyvateli licence) oprávnění ke všem v úvahu přicházejícím způsobům užití díla a</w:t>
      </w:r>
      <w:r w:rsidRPr="004E1011" w:rsidR="00C54651">
        <w:rPr>
          <w:rFonts w:ascii="Tahoma" w:hAnsi="Tahoma" w:cs="Tahoma"/>
          <w:sz w:val="22"/>
          <w:szCs w:val="22"/>
        </w:rPr>
        <w:t> </w:t>
      </w:r>
      <w:r w:rsidRPr="004E1011">
        <w:rPr>
          <w:rFonts w:ascii="Tahoma" w:hAnsi="Tahoma" w:cs="Tahoma"/>
          <w:sz w:val="22"/>
          <w:szCs w:val="22"/>
        </w:rPr>
        <w:t>bez jakéhokoliv omezení, a to zejména pokud jde o územní, časový nebo množstevní rozsah užití.</w:t>
      </w:r>
    </w:p>
    <w:p w:rsidR="00293CF9" w:rsidRPr="004E1011" w:rsidP="00D046A9" w14:paraId="058A2E9D" w14:textId="36DA88AA">
      <w:pPr>
        <w:pStyle w:val="ListParagraph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4E1011">
        <w:rPr>
          <w:rFonts w:ascii="Tahoma" w:hAnsi="Tahoma" w:cs="Tahoma"/>
          <w:sz w:val="22"/>
          <w:szCs w:val="22"/>
        </w:rPr>
        <w:t xml:space="preserve">Zhotovitel díla poskytuje licenci </w:t>
      </w:r>
      <w:r w:rsidRPr="004E1011" w:rsidR="001A3818">
        <w:rPr>
          <w:rFonts w:ascii="Tahoma" w:hAnsi="Tahoma" w:cs="Tahoma"/>
          <w:sz w:val="22"/>
          <w:szCs w:val="22"/>
        </w:rPr>
        <w:t>O</w:t>
      </w:r>
      <w:r w:rsidRPr="004E1011">
        <w:rPr>
          <w:rFonts w:ascii="Tahoma" w:hAnsi="Tahoma" w:cs="Tahoma"/>
          <w:sz w:val="22"/>
          <w:szCs w:val="22"/>
        </w:rPr>
        <w:t xml:space="preserve">bjednateli díla (nabyvateli licence) jako výhradní, kdy se </w:t>
      </w:r>
      <w:r w:rsidRPr="004E1011" w:rsidR="001A3818">
        <w:rPr>
          <w:rFonts w:ascii="Tahoma" w:hAnsi="Tahoma" w:cs="Tahoma"/>
          <w:sz w:val="22"/>
          <w:szCs w:val="22"/>
        </w:rPr>
        <w:t>Z</w:t>
      </w:r>
      <w:r w:rsidRPr="004E1011" w:rsidR="00A51E26">
        <w:rPr>
          <w:rFonts w:ascii="Tahoma" w:hAnsi="Tahoma" w:cs="Tahoma"/>
          <w:sz w:val="22"/>
          <w:szCs w:val="22"/>
        </w:rPr>
        <w:t xml:space="preserve">hotovitel </w:t>
      </w:r>
      <w:r w:rsidRPr="004E1011">
        <w:rPr>
          <w:rFonts w:ascii="Tahoma" w:hAnsi="Tahoma" w:cs="Tahoma"/>
          <w:sz w:val="22"/>
          <w:szCs w:val="22"/>
        </w:rPr>
        <w:t>zavazuje neposkytnout licenci třetí osobě a dílo sám neužít. Nabyvatel není povinen licenci využít.</w:t>
      </w:r>
    </w:p>
    <w:p w:rsidR="00293CF9" w:rsidRPr="004E1011" w:rsidP="00D046A9" w14:paraId="212AF16A" w14:textId="78B99FB8">
      <w:pPr>
        <w:pStyle w:val="ListParagraph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4E1011">
        <w:rPr>
          <w:rFonts w:ascii="Tahoma" w:hAnsi="Tahoma" w:cs="Tahoma"/>
          <w:sz w:val="22"/>
          <w:szCs w:val="22"/>
        </w:rPr>
        <w:t>Objednatel díla (nabyvatel licence) je oprávněn upravit či jinak měnit dílo, jeho název, stejně jako spojit dílo s jiným dílem nebo zařadit dílo do díla souborného, a to přímo nebo prostřednictvím třetích osob.</w:t>
      </w:r>
    </w:p>
    <w:p w:rsidR="00D046A9" w:rsidRPr="004E1011" w:rsidP="00D046A9" w14:paraId="077C21B7" w14:textId="7AC9A23E">
      <w:pPr>
        <w:pStyle w:val="ListParagraph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4E1011" w:rsidR="001A3818">
        <w:rPr>
          <w:rFonts w:ascii="Tahoma" w:hAnsi="Tahoma" w:cs="Tahoma"/>
          <w:sz w:val="22"/>
          <w:szCs w:val="22"/>
        </w:rPr>
        <w:t xml:space="preserve">Cena </w:t>
      </w:r>
      <w:r w:rsidRPr="004E1011" w:rsidR="00A0688F">
        <w:rPr>
          <w:rFonts w:ascii="Tahoma" w:hAnsi="Tahoma" w:cs="Tahoma"/>
          <w:sz w:val="22"/>
          <w:szCs w:val="22"/>
        </w:rPr>
        <w:t xml:space="preserve">výše specifikované licence díla </w:t>
      </w:r>
      <w:r w:rsidRPr="004E1011" w:rsidR="001A3818">
        <w:rPr>
          <w:rFonts w:ascii="Tahoma" w:hAnsi="Tahoma" w:cs="Tahoma"/>
          <w:sz w:val="22"/>
          <w:szCs w:val="22"/>
        </w:rPr>
        <w:t>byla dohod</w:t>
      </w:r>
      <w:r w:rsidRPr="004E1011" w:rsidR="00A0688F">
        <w:rPr>
          <w:rFonts w:ascii="Tahoma" w:hAnsi="Tahoma" w:cs="Tahoma"/>
          <w:sz w:val="22"/>
          <w:szCs w:val="22"/>
        </w:rPr>
        <w:t>o</w:t>
      </w:r>
      <w:r w:rsidRPr="004E1011" w:rsidR="001A3818">
        <w:rPr>
          <w:rFonts w:ascii="Tahoma" w:hAnsi="Tahoma" w:cs="Tahoma"/>
          <w:sz w:val="22"/>
          <w:szCs w:val="22"/>
        </w:rPr>
        <w:t>u smluvních stran sjednána ve výši 5% z ceny díla sjednané v článku II odst. 1) Smlouvy</w:t>
      </w:r>
      <w:r w:rsidRPr="004E1011" w:rsidR="00A0688F">
        <w:rPr>
          <w:rFonts w:ascii="Tahoma" w:hAnsi="Tahoma" w:cs="Tahoma"/>
          <w:sz w:val="22"/>
          <w:szCs w:val="22"/>
        </w:rPr>
        <w:t xml:space="preserve">, přičemž </w:t>
      </w:r>
      <w:r w:rsidRPr="004E1011">
        <w:rPr>
          <w:rFonts w:ascii="Tahoma" w:hAnsi="Tahoma" w:cs="Tahoma"/>
          <w:sz w:val="22"/>
          <w:szCs w:val="22"/>
        </w:rPr>
        <w:t>Zhotovitel výslovně prohlašuje, že</w:t>
      </w:r>
      <w:r>
        <w:rPr>
          <w:rFonts w:ascii="Tahoma" w:hAnsi="Tahoma" w:cs="Tahoma"/>
          <w:sz w:val="22"/>
          <w:szCs w:val="22"/>
        </w:rPr>
        <w:t> </w:t>
      </w:r>
      <w:r w:rsidRPr="004E1011" w:rsidR="00A0688F">
        <w:rPr>
          <w:rFonts w:ascii="Tahoma" w:hAnsi="Tahoma" w:cs="Tahoma"/>
          <w:sz w:val="22"/>
          <w:szCs w:val="22"/>
        </w:rPr>
        <w:t xml:space="preserve">tato </w:t>
      </w:r>
      <w:r w:rsidRPr="004E1011">
        <w:rPr>
          <w:rFonts w:ascii="Tahoma" w:hAnsi="Tahoma" w:cs="Tahoma"/>
          <w:sz w:val="22"/>
          <w:szCs w:val="22"/>
        </w:rPr>
        <w:t>cena je již zahrnuta v ceně díla sjed</w:t>
      </w:r>
      <w:r w:rsidRPr="004E1011" w:rsidR="001A3818">
        <w:rPr>
          <w:rFonts w:ascii="Tahoma" w:hAnsi="Tahoma" w:cs="Tahoma"/>
          <w:sz w:val="22"/>
          <w:szCs w:val="22"/>
        </w:rPr>
        <w:t>nané v článku II odst. 1) S</w:t>
      </w:r>
      <w:r w:rsidRPr="004E1011">
        <w:rPr>
          <w:rFonts w:ascii="Tahoma" w:hAnsi="Tahoma" w:cs="Tahoma"/>
          <w:sz w:val="22"/>
          <w:szCs w:val="22"/>
        </w:rPr>
        <w:t>mlouvy</w:t>
      </w:r>
      <w:r w:rsidRPr="004E1011" w:rsidR="00A0688F">
        <w:rPr>
          <w:rFonts w:ascii="Tahoma" w:hAnsi="Tahoma" w:cs="Tahoma"/>
          <w:sz w:val="22"/>
          <w:szCs w:val="22"/>
        </w:rPr>
        <w:t>.</w:t>
      </w:r>
    </w:p>
    <w:p w:rsidR="00C54651" w:rsidRPr="004E1011" w:rsidP="00293CF9" w14:paraId="452D3EA7" w14:textId="6AC6A24E">
      <w:pPr>
        <w:pStyle w:val="Heading1"/>
        <w:spacing w:before="0" w:after="120" w:line="240" w:lineRule="auto"/>
        <w:contextualSpacing/>
        <w:rPr>
          <w:rFonts w:ascii="Tahoma" w:hAnsi="Tahoma" w:cs="Tahoma"/>
          <w:b w:val="0"/>
          <w:bCs w:val="0"/>
          <w:sz w:val="22"/>
          <w:szCs w:val="22"/>
        </w:rPr>
      </w:pPr>
    </w:p>
    <w:p w:rsidR="00C54651" w:rsidRPr="004E1011" w:rsidP="00293CF9" w14:paraId="0EC4EE0B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</w:p>
    <w:p w:rsidR="00293CF9" w:rsidRPr="004E1011" w:rsidP="00293CF9" w14:paraId="0F770898" w14:textId="73C95B6A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Článek </w:t>
      </w:r>
      <w:r w:rsidRPr="004E1011" w:rsidR="00D046A9">
        <w:rPr>
          <w:rFonts w:ascii="Tahoma" w:hAnsi="Tahoma" w:cs="Tahoma"/>
          <w:sz w:val="22"/>
          <w:szCs w:val="22"/>
        </w:rPr>
        <w:t>IV</w:t>
      </w:r>
    </w:p>
    <w:p w:rsidR="00293CF9" w:rsidRPr="004E1011" w:rsidP="00293CF9" w14:paraId="64917713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Termíny plnění, forma zhotoveného díla, kontrolní dny, akceptační řízení</w:t>
      </w:r>
    </w:p>
    <w:p w:rsidR="00293CF9" w:rsidRPr="004E1011" w:rsidP="00887EAF" w14:paraId="6976F6E4" w14:textId="34C2E856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Zhotovitel se zavazuje</w:t>
      </w:r>
      <w:r w:rsidRPr="004E1011" w:rsidR="00A0688F">
        <w:rPr>
          <w:rFonts w:ascii="Tahoma" w:hAnsi="Tahoma" w:cs="Tahoma"/>
          <w:sz w:val="22"/>
          <w:szCs w:val="22"/>
        </w:rPr>
        <w:t xml:space="preserve"> poskytovat služby a </w:t>
      </w:r>
      <w:r w:rsidRPr="004E1011">
        <w:rPr>
          <w:rFonts w:ascii="Tahoma" w:hAnsi="Tahoma" w:cs="Tahoma"/>
          <w:sz w:val="22"/>
          <w:szCs w:val="22"/>
        </w:rPr>
        <w:t>provést dílo ve lhůt</w:t>
      </w:r>
      <w:r w:rsidRPr="004E1011" w:rsidR="00A0688F">
        <w:rPr>
          <w:rFonts w:ascii="Tahoma" w:hAnsi="Tahoma" w:cs="Tahoma"/>
          <w:sz w:val="22"/>
          <w:szCs w:val="22"/>
        </w:rPr>
        <w:t xml:space="preserve">ách specifikovaných v Příloze č. 1 Smlouvy. </w:t>
      </w:r>
      <w:r w:rsidRPr="004E1011" w:rsidR="00664C7C">
        <w:rPr>
          <w:rFonts w:ascii="Tahoma" w:hAnsi="Tahoma" w:cs="Tahoma"/>
          <w:sz w:val="22"/>
          <w:szCs w:val="22"/>
        </w:rPr>
        <w:t>Zhotovitel je povinen práce na díle rozvrhnout tak, aby bylo možné v této lhůtě provést akceptační řízení</w:t>
      </w:r>
      <w:r w:rsidRPr="004E1011" w:rsidR="003F7493">
        <w:rPr>
          <w:rFonts w:ascii="Tahoma" w:hAnsi="Tahoma" w:cs="Tahoma"/>
          <w:sz w:val="22"/>
          <w:szCs w:val="22"/>
        </w:rPr>
        <w:t xml:space="preserve"> dle odst. </w:t>
      </w:r>
      <w:r w:rsidRPr="004E1011" w:rsidR="008E7BD4">
        <w:rPr>
          <w:rFonts w:ascii="Tahoma" w:hAnsi="Tahoma" w:cs="Tahoma"/>
          <w:sz w:val="22"/>
          <w:szCs w:val="22"/>
        </w:rPr>
        <w:t>5</w:t>
      </w:r>
      <w:r w:rsidRPr="004E1011" w:rsidR="003F7493">
        <w:rPr>
          <w:rFonts w:ascii="Tahoma" w:hAnsi="Tahoma" w:cs="Tahoma"/>
          <w:sz w:val="22"/>
          <w:szCs w:val="22"/>
        </w:rPr>
        <w:t>) tohoto článku</w:t>
      </w:r>
      <w:r w:rsidRPr="004E1011" w:rsidR="00664C7C">
        <w:rPr>
          <w:rFonts w:ascii="Tahoma" w:hAnsi="Tahoma" w:cs="Tahoma"/>
          <w:sz w:val="22"/>
          <w:szCs w:val="22"/>
        </w:rPr>
        <w:t xml:space="preserve">, na jehož konci </w:t>
      </w:r>
      <w:r w:rsidRPr="004E1011" w:rsidR="00A0688F">
        <w:rPr>
          <w:rFonts w:ascii="Tahoma" w:hAnsi="Tahoma" w:cs="Tahoma"/>
          <w:sz w:val="22"/>
          <w:szCs w:val="22"/>
        </w:rPr>
        <w:t>O</w:t>
      </w:r>
      <w:r w:rsidRPr="004E1011" w:rsidR="00664C7C">
        <w:rPr>
          <w:rFonts w:ascii="Tahoma" w:hAnsi="Tahoma" w:cs="Tahoma"/>
          <w:sz w:val="22"/>
          <w:szCs w:val="22"/>
        </w:rPr>
        <w:t xml:space="preserve">bjednatel převezme pouze řádně zhotovené dílo bez jakýchkoliv výhrad. V této lhůtě tak nestačí </w:t>
      </w:r>
      <w:r w:rsidRPr="004E1011" w:rsidR="00356AE7">
        <w:rPr>
          <w:rFonts w:ascii="Tahoma" w:hAnsi="Tahoma" w:cs="Tahoma"/>
          <w:sz w:val="22"/>
          <w:szCs w:val="22"/>
        </w:rPr>
        <w:t xml:space="preserve">pouze </w:t>
      </w:r>
      <w:r w:rsidRPr="004E1011" w:rsidR="00664C7C">
        <w:rPr>
          <w:rFonts w:ascii="Tahoma" w:hAnsi="Tahoma" w:cs="Tahoma"/>
          <w:sz w:val="22"/>
          <w:szCs w:val="22"/>
        </w:rPr>
        <w:t>předat dílo</w:t>
      </w:r>
      <w:r w:rsidRPr="004E1011" w:rsidR="00A0688F">
        <w:rPr>
          <w:rFonts w:ascii="Tahoma" w:hAnsi="Tahoma" w:cs="Tahoma"/>
          <w:sz w:val="22"/>
          <w:szCs w:val="22"/>
        </w:rPr>
        <w:t xml:space="preserve"> O</w:t>
      </w:r>
      <w:r w:rsidRPr="004E1011" w:rsidR="00356AE7">
        <w:rPr>
          <w:rFonts w:ascii="Tahoma" w:hAnsi="Tahoma" w:cs="Tahoma"/>
          <w:sz w:val="22"/>
          <w:szCs w:val="22"/>
        </w:rPr>
        <w:t>bjednateli</w:t>
      </w:r>
      <w:r w:rsidRPr="004E1011" w:rsidR="00664C7C">
        <w:rPr>
          <w:rFonts w:ascii="Tahoma" w:hAnsi="Tahoma" w:cs="Tahoma"/>
          <w:sz w:val="22"/>
          <w:szCs w:val="22"/>
        </w:rPr>
        <w:t xml:space="preserve"> k akceptačnímu řízení</w:t>
      </w:r>
      <w:r w:rsidRPr="004E1011" w:rsidR="003F7493">
        <w:rPr>
          <w:rFonts w:ascii="Tahoma" w:hAnsi="Tahoma" w:cs="Tahoma"/>
          <w:sz w:val="22"/>
          <w:szCs w:val="22"/>
        </w:rPr>
        <w:t xml:space="preserve">, ale toto řízení rovněž ukončit, a to akceptací díla bez výhrad.  </w:t>
      </w:r>
    </w:p>
    <w:p w:rsidR="00887EAF" w:rsidRPr="004E1011" w:rsidP="00887EAF" w14:paraId="13EA703B" w14:textId="58237302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Zhotovitel se zavazuje předat dílo </w:t>
      </w:r>
      <w:r w:rsidRPr="004E1011">
        <w:rPr>
          <w:rFonts w:ascii="Tahoma" w:hAnsi="Tahoma" w:cs="Tahoma"/>
          <w:sz w:val="22"/>
          <w:szCs w:val="22"/>
        </w:rPr>
        <w:t>ve formě</w:t>
      </w:r>
      <w:r w:rsidRPr="004E1011" w:rsidR="00CC2486">
        <w:rPr>
          <w:rFonts w:ascii="Tahoma" w:hAnsi="Tahoma" w:cs="Tahoma"/>
          <w:sz w:val="22"/>
          <w:szCs w:val="22"/>
        </w:rPr>
        <w:t>, struktuře a rozsahu</w:t>
      </w:r>
      <w:r w:rsidRPr="004E1011" w:rsidR="00A51E26">
        <w:rPr>
          <w:rFonts w:ascii="Tahoma" w:hAnsi="Tahoma" w:cs="Tahoma"/>
          <w:sz w:val="22"/>
          <w:szCs w:val="22"/>
        </w:rPr>
        <w:t>,</w:t>
      </w:r>
      <w:r w:rsidRPr="004E1011" w:rsidR="00CC2486">
        <w:rPr>
          <w:rFonts w:ascii="Tahoma" w:hAnsi="Tahoma" w:cs="Tahoma"/>
          <w:sz w:val="22"/>
          <w:szCs w:val="22"/>
        </w:rPr>
        <w:t xml:space="preserve"> jak je specifiková</w:t>
      </w:r>
      <w:r w:rsidRPr="004E1011">
        <w:rPr>
          <w:rFonts w:ascii="Tahoma" w:hAnsi="Tahoma" w:cs="Tahoma"/>
          <w:sz w:val="22"/>
          <w:szCs w:val="22"/>
        </w:rPr>
        <w:t>n</w:t>
      </w:r>
      <w:r w:rsidRPr="004E1011" w:rsidR="00CC2486">
        <w:rPr>
          <w:rFonts w:ascii="Tahoma" w:hAnsi="Tahoma" w:cs="Tahoma"/>
          <w:sz w:val="22"/>
          <w:szCs w:val="22"/>
        </w:rPr>
        <w:t>o</w:t>
      </w:r>
      <w:r w:rsidRPr="004E1011" w:rsidR="00A0688F">
        <w:rPr>
          <w:rFonts w:ascii="Tahoma" w:hAnsi="Tahoma" w:cs="Tahoma"/>
          <w:sz w:val="22"/>
          <w:szCs w:val="22"/>
        </w:rPr>
        <w:t xml:space="preserve"> v Příloze č. 1 S</w:t>
      </w:r>
      <w:r w:rsidRPr="004E1011">
        <w:rPr>
          <w:rFonts w:ascii="Tahoma" w:hAnsi="Tahoma" w:cs="Tahoma"/>
          <w:sz w:val="22"/>
          <w:szCs w:val="22"/>
        </w:rPr>
        <w:t>mlouvy.</w:t>
      </w:r>
    </w:p>
    <w:p w:rsidR="00277C68" w:rsidRPr="004E1011" w:rsidP="000D6A4F" w14:paraId="23E05463" w14:textId="0541C5D9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Zhotovitel se zavazuje, že průběh plnění díla bude průb</w:t>
      </w:r>
      <w:r w:rsidRPr="004E1011" w:rsidR="00A0688F">
        <w:rPr>
          <w:rFonts w:ascii="Tahoma" w:hAnsi="Tahoma" w:cs="Tahoma"/>
          <w:sz w:val="22"/>
          <w:szCs w:val="22"/>
        </w:rPr>
        <w:t>ěžně předkládat k odsouhlasení O</w:t>
      </w:r>
      <w:r w:rsidRPr="004E1011">
        <w:rPr>
          <w:rFonts w:ascii="Tahoma" w:hAnsi="Tahoma" w:cs="Tahoma"/>
          <w:sz w:val="22"/>
          <w:szCs w:val="22"/>
        </w:rPr>
        <w:t>bjednat</w:t>
      </w:r>
      <w:r w:rsidRPr="004E1011" w:rsidR="00A0688F">
        <w:rPr>
          <w:rFonts w:ascii="Tahoma" w:hAnsi="Tahoma" w:cs="Tahoma"/>
          <w:sz w:val="22"/>
          <w:szCs w:val="22"/>
        </w:rPr>
        <w:t>eli a veškeré výstupy musí být O</w:t>
      </w:r>
      <w:r w:rsidRPr="004E1011">
        <w:rPr>
          <w:rFonts w:ascii="Tahoma" w:hAnsi="Tahoma" w:cs="Tahoma"/>
          <w:sz w:val="22"/>
          <w:szCs w:val="22"/>
        </w:rPr>
        <w:t xml:space="preserve">bjednatelem odsouhlaseny. </w:t>
      </w:r>
      <w:r w:rsidRPr="004E1011" w:rsidR="000D6A4F">
        <w:rPr>
          <w:rFonts w:ascii="Tahoma" w:hAnsi="Tahoma" w:cs="Tahoma"/>
          <w:sz w:val="22"/>
          <w:szCs w:val="22"/>
        </w:rPr>
        <w:t xml:space="preserve">Objednatel předpokládá konání cca </w:t>
      </w:r>
      <w:r w:rsidR="00B522D4">
        <w:rPr>
          <w:rFonts w:ascii="Tahoma" w:hAnsi="Tahoma" w:cs="Tahoma"/>
          <w:sz w:val="22"/>
          <w:szCs w:val="22"/>
        </w:rPr>
        <w:t>3</w:t>
      </w:r>
      <w:r w:rsidRPr="004E1011" w:rsidR="00A0688F">
        <w:rPr>
          <w:rFonts w:ascii="Tahoma" w:hAnsi="Tahoma" w:cs="Tahoma"/>
          <w:sz w:val="22"/>
          <w:szCs w:val="22"/>
        </w:rPr>
        <w:t xml:space="preserve"> </w:t>
      </w:r>
      <w:r w:rsidRPr="004E1011" w:rsidR="000D6A4F">
        <w:rPr>
          <w:rFonts w:ascii="Tahoma" w:hAnsi="Tahoma" w:cs="Tahoma"/>
          <w:sz w:val="22"/>
          <w:szCs w:val="22"/>
        </w:rPr>
        <w:t>kontrolních dnů v rámci zpracování</w:t>
      </w:r>
      <w:r w:rsidRPr="004E1011" w:rsidR="00A0688F">
        <w:rPr>
          <w:rFonts w:ascii="Tahoma" w:hAnsi="Tahoma" w:cs="Tahoma"/>
          <w:sz w:val="22"/>
          <w:szCs w:val="22"/>
        </w:rPr>
        <w:t xml:space="preserve"> díla. Z kontrolních dnů budou O</w:t>
      </w:r>
      <w:r w:rsidRPr="004E1011" w:rsidR="000D6A4F">
        <w:rPr>
          <w:rFonts w:ascii="Tahoma" w:hAnsi="Tahoma" w:cs="Tahoma"/>
          <w:sz w:val="22"/>
          <w:szCs w:val="22"/>
        </w:rPr>
        <w:t xml:space="preserve">bjednatelem pořizovány písemné záznamy, na jejichž základě může </w:t>
      </w:r>
      <w:r w:rsidRPr="004E1011" w:rsidR="00A0688F">
        <w:rPr>
          <w:rFonts w:ascii="Tahoma" w:hAnsi="Tahoma" w:cs="Tahoma"/>
          <w:sz w:val="22"/>
          <w:szCs w:val="22"/>
        </w:rPr>
        <w:t>Objednatel předat Z</w:t>
      </w:r>
      <w:r w:rsidRPr="004E1011" w:rsidR="000D6A4F">
        <w:rPr>
          <w:rFonts w:ascii="Tahoma" w:hAnsi="Tahoma" w:cs="Tahoma"/>
          <w:sz w:val="22"/>
          <w:szCs w:val="22"/>
        </w:rPr>
        <w:t>hotoviteli upřesňující pokyny ke zpracování n</w:t>
      </w:r>
      <w:r w:rsidRPr="004E1011" w:rsidR="00A0688F">
        <w:rPr>
          <w:rFonts w:ascii="Tahoma" w:hAnsi="Tahoma" w:cs="Tahoma"/>
          <w:sz w:val="22"/>
          <w:szCs w:val="22"/>
        </w:rPr>
        <w:t>ebo úpravě díla. Kontrolní dny Objednatele se Z</w:t>
      </w:r>
      <w:r w:rsidRPr="004E1011" w:rsidR="000D6A4F">
        <w:rPr>
          <w:rFonts w:ascii="Tahoma" w:hAnsi="Tahoma" w:cs="Tahoma"/>
          <w:sz w:val="22"/>
          <w:szCs w:val="22"/>
        </w:rPr>
        <w:t xml:space="preserve">hotovitelem a případně dalšími zainteresovanými subjekty se budou konat na pracovišti </w:t>
      </w:r>
      <w:r w:rsidRPr="004E1011" w:rsidR="00A0688F">
        <w:rPr>
          <w:rFonts w:ascii="Tahoma" w:hAnsi="Tahoma" w:cs="Tahoma"/>
          <w:sz w:val="22"/>
          <w:szCs w:val="22"/>
        </w:rPr>
        <w:t>O</w:t>
      </w:r>
      <w:r w:rsidRPr="004E1011" w:rsidR="000D6A4F">
        <w:rPr>
          <w:rFonts w:ascii="Tahoma" w:hAnsi="Tahoma" w:cs="Tahoma"/>
          <w:sz w:val="22"/>
          <w:szCs w:val="22"/>
        </w:rPr>
        <w:t>bjednatele</w:t>
      </w:r>
      <w:r w:rsidRPr="004E1011" w:rsidR="00A51E26">
        <w:rPr>
          <w:rFonts w:ascii="Tahoma" w:hAnsi="Tahoma" w:cs="Tahoma"/>
          <w:sz w:val="22"/>
          <w:szCs w:val="22"/>
        </w:rPr>
        <w:t>.</w:t>
      </w:r>
      <w:r w:rsidRPr="004E1011" w:rsidR="000D6A4F">
        <w:rPr>
          <w:rFonts w:ascii="Tahoma" w:hAnsi="Tahoma" w:cs="Tahoma"/>
          <w:sz w:val="22"/>
          <w:szCs w:val="22"/>
        </w:rPr>
        <w:t xml:space="preserve"> </w:t>
      </w:r>
      <w:r w:rsidRPr="004E1011" w:rsidR="00A51E26">
        <w:rPr>
          <w:rFonts w:ascii="Tahoma" w:hAnsi="Tahoma" w:cs="Tahoma"/>
          <w:sz w:val="22"/>
          <w:szCs w:val="22"/>
        </w:rPr>
        <w:t>V</w:t>
      </w:r>
      <w:r w:rsidRPr="004E1011" w:rsidR="000D6A4F">
        <w:rPr>
          <w:rFonts w:ascii="Tahoma" w:hAnsi="Tahoma" w:cs="Tahoma"/>
          <w:sz w:val="22"/>
          <w:szCs w:val="22"/>
        </w:rPr>
        <w:t xml:space="preserve"> případě oboustranné dohody mohou být kontrolní dny uskutečněny formou on</w:t>
      </w:r>
      <w:r w:rsidRPr="004E1011" w:rsidR="000D6A4F">
        <w:rPr>
          <w:rFonts w:ascii="Tahoma" w:hAnsi="Tahoma" w:cs="Tahoma"/>
          <w:sz w:val="22"/>
          <w:szCs w:val="22"/>
        </w:rPr>
        <w:noBreakHyphen/>
        <w:t xml:space="preserve">line setkání. Objednatel oznámí den </w:t>
      </w:r>
      <w:r w:rsidRPr="004E1011" w:rsidR="00A0688F">
        <w:rPr>
          <w:rFonts w:ascii="Tahoma" w:hAnsi="Tahoma" w:cs="Tahoma"/>
          <w:sz w:val="22"/>
          <w:szCs w:val="22"/>
        </w:rPr>
        <w:t>a místo konání kontrolního dne Z</w:t>
      </w:r>
      <w:r w:rsidRPr="004E1011" w:rsidR="000D6A4F">
        <w:rPr>
          <w:rFonts w:ascii="Tahoma" w:hAnsi="Tahoma" w:cs="Tahoma"/>
          <w:sz w:val="22"/>
          <w:szCs w:val="22"/>
        </w:rPr>
        <w:t xml:space="preserve">hotoviteli a případně dalším zainteresovaným subjektům vždy v dostatečném časovém předstihu, a to nejméně </w:t>
      </w:r>
      <w:r w:rsidRPr="004E1011" w:rsidR="00356AE7">
        <w:rPr>
          <w:rFonts w:ascii="Tahoma" w:hAnsi="Tahoma" w:cs="Tahoma"/>
          <w:sz w:val="22"/>
          <w:szCs w:val="22"/>
        </w:rPr>
        <w:t xml:space="preserve">5 pracovních </w:t>
      </w:r>
      <w:r w:rsidRPr="004E1011" w:rsidR="000D6A4F">
        <w:rPr>
          <w:rFonts w:ascii="Tahoma" w:hAnsi="Tahoma" w:cs="Tahoma"/>
          <w:sz w:val="22"/>
          <w:szCs w:val="22"/>
        </w:rPr>
        <w:t>dnů předem.</w:t>
      </w:r>
    </w:p>
    <w:p w:rsidR="00293CF9" w:rsidRPr="004E1011" w:rsidP="00887EAF" w14:paraId="70122258" w14:textId="79037D82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Plnění díla dle </w:t>
      </w:r>
      <w:r w:rsidRPr="004E1011" w:rsidR="000176B9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 xml:space="preserve">mlouvy podléhá akceptačnímu řízení. Objednatel se zavazuje </w:t>
      </w:r>
      <w:r w:rsidRPr="004E1011" w:rsidR="00A51E26">
        <w:rPr>
          <w:rFonts w:ascii="Tahoma" w:hAnsi="Tahoma" w:cs="Tahoma"/>
          <w:sz w:val="22"/>
          <w:szCs w:val="22"/>
        </w:rPr>
        <w:t xml:space="preserve">vyjádřit </w:t>
      </w:r>
      <w:r w:rsidRPr="004E1011">
        <w:rPr>
          <w:rFonts w:ascii="Tahoma" w:hAnsi="Tahoma" w:cs="Tahoma"/>
          <w:sz w:val="22"/>
          <w:szCs w:val="22"/>
        </w:rPr>
        <w:t>do</w:t>
      </w:r>
      <w:r w:rsidRPr="004E1011" w:rsidR="00A51E26">
        <w:rPr>
          <w:rFonts w:ascii="Tahoma" w:hAnsi="Tahoma" w:cs="Tahoma"/>
          <w:sz w:val="22"/>
          <w:szCs w:val="22"/>
        </w:rPr>
        <w:t> </w:t>
      </w:r>
      <w:r w:rsidRPr="004E1011" w:rsidR="00356AE7">
        <w:rPr>
          <w:rFonts w:ascii="Tahoma" w:hAnsi="Tahoma" w:cs="Tahoma"/>
          <w:sz w:val="22"/>
          <w:szCs w:val="22"/>
        </w:rPr>
        <w:t>10</w:t>
      </w:r>
      <w:r w:rsidRPr="004E1011" w:rsidR="00A51E26">
        <w:rPr>
          <w:rFonts w:ascii="Tahoma" w:hAnsi="Tahoma" w:cs="Tahoma"/>
          <w:sz w:val="22"/>
          <w:szCs w:val="22"/>
        </w:rPr>
        <w:t> </w:t>
      </w:r>
      <w:r w:rsidRPr="004E1011" w:rsidR="00356AE7">
        <w:rPr>
          <w:rFonts w:ascii="Tahoma" w:hAnsi="Tahoma" w:cs="Tahoma"/>
          <w:sz w:val="22"/>
          <w:szCs w:val="22"/>
        </w:rPr>
        <w:t xml:space="preserve">kalendářních </w:t>
      </w:r>
      <w:r w:rsidRPr="004E1011">
        <w:rPr>
          <w:rFonts w:ascii="Tahoma" w:hAnsi="Tahoma" w:cs="Tahoma"/>
          <w:sz w:val="22"/>
          <w:szCs w:val="22"/>
        </w:rPr>
        <w:t xml:space="preserve">dnů od předání díla </w:t>
      </w:r>
      <w:r w:rsidRPr="004E1011" w:rsidR="000176B9">
        <w:rPr>
          <w:rFonts w:ascii="Tahoma" w:hAnsi="Tahoma" w:cs="Tahoma"/>
          <w:sz w:val="22"/>
          <w:szCs w:val="22"/>
        </w:rPr>
        <w:t>Z</w:t>
      </w:r>
      <w:r w:rsidRPr="004E1011">
        <w:rPr>
          <w:rFonts w:ascii="Tahoma" w:hAnsi="Tahoma" w:cs="Tahoma"/>
          <w:sz w:val="22"/>
          <w:szCs w:val="22"/>
        </w:rPr>
        <w:t>hotovitelem k výsledku plnění. Výsledkem akceptačního řízení bude jeden z následujících závěrů:</w:t>
      </w:r>
    </w:p>
    <w:p w:rsidR="00293CF9" w:rsidRPr="004E1011" w:rsidP="00F7730A" w14:paraId="02BC75A5" w14:textId="312E3FFF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Plnění je akceptováno bez výhrad – v akceptačním řízení bylo</w:t>
      </w:r>
      <w:r w:rsidRPr="004E1011" w:rsidR="00277C68">
        <w:rPr>
          <w:rFonts w:ascii="Tahoma" w:hAnsi="Tahoma" w:cs="Tahoma"/>
          <w:sz w:val="22"/>
          <w:szCs w:val="22"/>
        </w:rPr>
        <w:t xml:space="preserve"> zjištěno, že zhotoven</w:t>
      </w:r>
      <w:r w:rsidRPr="004E1011" w:rsidR="000176B9">
        <w:rPr>
          <w:rFonts w:ascii="Tahoma" w:hAnsi="Tahoma" w:cs="Tahoma"/>
          <w:sz w:val="22"/>
          <w:szCs w:val="22"/>
        </w:rPr>
        <w:t>á metodika zcela odpovídá požadavkům O</w:t>
      </w:r>
      <w:r w:rsidRPr="004E1011">
        <w:rPr>
          <w:rFonts w:ascii="Tahoma" w:hAnsi="Tahoma" w:cs="Tahoma"/>
          <w:sz w:val="22"/>
          <w:szCs w:val="22"/>
        </w:rPr>
        <w:t>bjednatele.</w:t>
      </w:r>
    </w:p>
    <w:p w:rsidR="00293CF9" w:rsidRPr="004E1011" w:rsidP="00F7730A" w14:paraId="12F9EF2B" w14:textId="6FAB01FF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Plnění je akceptováno s výhradami – v akceptačním řízení bylo zjištěno, že </w:t>
      </w:r>
      <w:r w:rsidRPr="004E1011" w:rsidR="00277C68">
        <w:rPr>
          <w:rFonts w:ascii="Tahoma" w:hAnsi="Tahoma" w:cs="Tahoma"/>
          <w:sz w:val="22"/>
          <w:szCs w:val="22"/>
        </w:rPr>
        <w:t xml:space="preserve">zhotovená </w:t>
      </w:r>
      <w:r w:rsidRPr="004E1011" w:rsidR="000176B9">
        <w:rPr>
          <w:rFonts w:ascii="Tahoma" w:hAnsi="Tahoma" w:cs="Tahoma"/>
          <w:sz w:val="22"/>
          <w:szCs w:val="22"/>
        </w:rPr>
        <w:t>metodika neodpovídá zcela požadavkům O</w:t>
      </w:r>
      <w:r w:rsidRPr="004E1011">
        <w:rPr>
          <w:rFonts w:ascii="Tahoma" w:hAnsi="Tahoma" w:cs="Tahoma"/>
          <w:sz w:val="22"/>
          <w:szCs w:val="22"/>
        </w:rPr>
        <w:t>bjednatele stanoveným zejména v</w:t>
      </w:r>
      <w:r w:rsidRPr="004E1011" w:rsidR="000176B9">
        <w:rPr>
          <w:rFonts w:ascii="Tahoma" w:hAnsi="Tahoma" w:cs="Tahoma"/>
          <w:sz w:val="22"/>
          <w:szCs w:val="22"/>
        </w:rPr>
        <w:t> Příloze č. S</w:t>
      </w:r>
      <w:r w:rsidRPr="004E1011" w:rsidR="00277C68">
        <w:rPr>
          <w:rFonts w:ascii="Tahoma" w:hAnsi="Tahoma" w:cs="Tahoma"/>
          <w:sz w:val="22"/>
          <w:szCs w:val="22"/>
        </w:rPr>
        <w:t xml:space="preserve">mlouvy. </w:t>
      </w:r>
      <w:r w:rsidRPr="004E1011">
        <w:rPr>
          <w:rFonts w:ascii="Tahoma" w:hAnsi="Tahoma" w:cs="Tahoma"/>
          <w:sz w:val="22"/>
          <w:szCs w:val="22"/>
        </w:rPr>
        <w:t xml:space="preserve">Zjištěné </w:t>
      </w:r>
      <w:r w:rsidRPr="004E1011">
        <w:rPr>
          <w:rFonts w:ascii="Tahoma" w:hAnsi="Tahoma" w:cs="Tahoma"/>
          <w:sz w:val="22"/>
          <w:szCs w:val="22"/>
        </w:rPr>
        <w:t>vady budou uvedeny v akceptačním protokolu.</w:t>
      </w:r>
    </w:p>
    <w:p w:rsidR="00293CF9" w:rsidRPr="004E1011" w:rsidP="00F7730A" w14:paraId="19590F41" w14:textId="550073D3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Plnění je neakceptováno – v akceptačním řízení bylo zjištěno, že </w:t>
      </w:r>
      <w:r w:rsidRPr="004E1011" w:rsidR="00356AE7">
        <w:rPr>
          <w:rFonts w:ascii="Tahoma" w:hAnsi="Tahoma" w:cs="Tahoma"/>
          <w:sz w:val="22"/>
          <w:szCs w:val="22"/>
        </w:rPr>
        <w:t xml:space="preserve">i </w:t>
      </w:r>
      <w:r w:rsidRPr="004E1011" w:rsidR="000176B9">
        <w:rPr>
          <w:rFonts w:ascii="Tahoma" w:hAnsi="Tahoma" w:cs="Tahoma"/>
          <w:sz w:val="22"/>
          <w:szCs w:val="22"/>
        </w:rPr>
        <w:t>přes povinnost Z</w:t>
      </w:r>
      <w:r w:rsidRPr="004E1011" w:rsidR="00277C68">
        <w:rPr>
          <w:rFonts w:ascii="Tahoma" w:hAnsi="Tahoma" w:cs="Tahoma"/>
          <w:sz w:val="22"/>
          <w:szCs w:val="22"/>
        </w:rPr>
        <w:t xml:space="preserve">hotovitele průběh plnění </w:t>
      </w:r>
      <w:r w:rsidRPr="004E1011" w:rsidR="000176B9">
        <w:rPr>
          <w:rFonts w:ascii="Tahoma" w:hAnsi="Tahoma" w:cs="Tahoma"/>
          <w:sz w:val="22"/>
          <w:szCs w:val="22"/>
        </w:rPr>
        <w:t>díla předkládat k odsouhlasení O</w:t>
      </w:r>
      <w:r w:rsidRPr="004E1011" w:rsidR="00277C68">
        <w:rPr>
          <w:rFonts w:ascii="Tahoma" w:hAnsi="Tahoma" w:cs="Tahoma"/>
          <w:sz w:val="22"/>
          <w:szCs w:val="22"/>
        </w:rPr>
        <w:t>bjednateli, neodpovídá</w:t>
      </w:r>
      <w:r w:rsidRPr="004E1011" w:rsidR="000176B9">
        <w:rPr>
          <w:rFonts w:ascii="Tahoma" w:hAnsi="Tahoma" w:cs="Tahoma"/>
          <w:sz w:val="22"/>
          <w:szCs w:val="22"/>
        </w:rPr>
        <w:t xml:space="preserve"> metodika požadavkům O</w:t>
      </w:r>
      <w:r w:rsidRPr="004E1011" w:rsidR="00277C68">
        <w:rPr>
          <w:rFonts w:ascii="Tahoma" w:hAnsi="Tahoma" w:cs="Tahoma"/>
          <w:sz w:val="22"/>
          <w:szCs w:val="22"/>
        </w:rPr>
        <w:t>bjednatele</w:t>
      </w:r>
      <w:r w:rsidRPr="004E1011">
        <w:rPr>
          <w:rFonts w:ascii="Tahoma" w:hAnsi="Tahoma" w:cs="Tahoma"/>
          <w:sz w:val="22"/>
          <w:szCs w:val="22"/>
        </w:rPr>
        <w:t>. Zjištěné vady budou uvedeny v akceptačním protokolu.</w:t>
      </w:r>
    </w:p>
    <w:p w:rsidR="000D6A4F" w:rsidRPr="004E1011" w:rsidP="00277C68" w14:paraId="08AAF7CD" w14:textId="17B912A6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V případě, že výsledkem akceptačního řízení byla akceptace bez výhrad, je plnění považováno za</w:t>
      </w:r>
      <w:r w:rsidRPr="004E1011" w:rsidR="00A90F70">
        <w:rPr>
          <w:rFonts w:ascii="Tahoma" w:hAnsi="Tahoma" w:cs="Tahoma"/>
          <w:sz w:val="22"/>
          <w:szCs w:val="22"/>
        </w:rPr>
        <w:t> </w:t>
      </w:r>
      <w:r w:rsidRPr="004E1011">
        <w:rPr>
          <w:rFonts w:ascii="Tahoma" w:hAnsi="Tahoma" w:cs="Tahoma"/>
          <w:sz w:val="22"/>
          <w:szCs w:val="22"/>
        </w:rPr>
        <w:t>řádně a bezvadně poskytnuté.</w:t>
      </w:r>
    </w:p>
    <w:p w:rsidR="000D6A4F" w:rsidRPr="004E1011" w:rsidP="000D6A4F" w14:paraId="21F11604" w14:textId="2DC7A6E4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V případě, že výsledkem akceptačního řízení je akceptace s výhradami, není plnění považováno za řádně a bezvadně poskytnuté a </w:t>
      </w:r>
      <w:r w:rsidRPr="004E1011" w:rsidR="000176B9">
        <w:rPr>
          <w:rFonts w:ascii="Tahoma" w:hAnsi="Tahoma" w:cs="Tahoma"/>
          <w:sz w:val="22"/>
          <w:szCs w:val="22"/>
        </w:rPr>
        <w:t>Z</w:t>
      </w:r>
      <w:r w:rsidRPr="004E1011">
        <w:rPr>
          <w:rFonts w:ascii="Tahoma" w:hAnsi="Tahoma" w:cs="Tahoma"/>
          <w:sz w:val="22"/>
          <w:szCs w:val="22"/>
        </w:rPr>
        <w:t xml:space="preserve">hotovitel se zavazuje, že odstraní vady plnění uvedené v akceptačním protokolu nejpozději do </w:t>
      </w:r>
      <w:r w:rsidRPr="004E1011" w:rsidR="003F7493">
        <w:rPr>
          <w:rFonts w:ascii="Tahoma" w:hAnsi="Tahoma" w:cs="Tahoma"/>
          <w:sz w:val="22"/>
          <w:szCs w:val="22"/>
        </w:rPr>
        <w:t xml:space="preserve">15 </w:t>
      </w:r>
      <w:r w:rsidRPr="004E1011">
        <w:rPr>
          <w:rFonts w:ascii="Tahoma" w:hAnsi="Tahoma" w:cs="Tahoma"/>
          <w:sz w:val="22"/>
          <w:szCs w:val="22"/>
        </w:rPr>
        <w:t xml:space="preserve">dnů od obdržení výsledku akceptačního řízení. Zhotoviteli v tomto případě </w:t>
      </w:r>
      <w:r w:rsidRPr="004E1011">
        <w:rPr>
          <w:rFonts w:ascii="Tahoma" w:hAnsi="Tahoma" w:cs="Tahoma"/>
          <w:sz w:val="22"/>
          <w:szCs w:val="22"/>
        </w:rPr>
        <w:t>ne</w:t>
      </w:r>
      <w:r w:rsidRPr="004E1011">
        <w:rPr>
          <w:rFonts w:ascii="Tahoma" w:hAnsi="Tahoma" w:cs="Tahoma"/>
          <w:sz w:val="22"/>
          <w:szCs w:val="22"/>
        </w:rPr>
        <w:t>vzniká právo fakturovat cenu</w:t>
      </w:r>
      <w:r w:rsidRPr="004E1011">
        <w:rPr>
          <w:rFonts w:ascii="Tahoma" w:hAnsi="Tahoma" w:cs="Tahoma"/>
          <w:sz w:val="22"/>
          <w:szCs w:val="22"/>
        </w:rPr>
        <w:t xml:space="preserve"> díla.</w:t>
      </w:r>
    </w:p>
    <w:p w:rsidR="00293CF9" w:rsidRPr="004E1011" w:rsidP="000D6A4F" w14:paraId="38E6672D" w14:textId="1F4C19DD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V případě, že výsledkem akceptačního řízení je neakceptace, není plnění považováno za</w:t>
      </w:r>
      <w:r w:rsidRPr="004E1011" w:rsidR="000176B9">
        <w:rPr>
          <w:rFonts w:ascii="Tahoma" w:hAnsi="Tahoma" w:cs="Tahoma"/>
          <w:sz w:val="22"/>
          <w:szCs w:val="22"/>
        </w:rPr>
        <w:t xml:space="preserve"> řádně a bezvadně poskytnuté a Z</w:t>
      </w:r>
      <w:r w:rsidRPr="004E1011">
        <w:rPr>
          <w:rFonts w:ascii="Tahoma" w:hAnsi="Tahoma" w:cs="Tahoma"/>
          <w:sz w:val="22"/>
          <w:szCs w:val="22"/>
        </w:rPr>
        <w:t>hotovitel se zavazuje odstranit vady plnění uvedené v akceptačním protokolu nejpozději do</w:t>
      </w:r>
      <w:r w:rsidRPr="004E1011" w:rsidR="003F7493">
        <w:rPr>
          <w:rFonts w:ascii="Tahoma" w:hAnsi="Tahoma" w:cs="Tahoma"/>
          <w:sz w:val="22"/>
          <w:szCs w:val="22"/>
        </w:rPr>
        <w:t xml:space="preserve"> 30 </w:t>
      </w:r>
      <w:r w:rsidRPr="004E1011">
        <w:rPr>
          <w:rFonts w:ascii="Tahoma" w:hAnsi="Tahoma" w:cs="Tahoma"/>
          <w:sz w:val="22"/>
          <w:szCs w:val="22"/>
        </w:rPr>
        <w:t>dnů od obdržení výsledku akceptačního řízení.</w:t>
      </w:r>
      <w:r w:rsidRPr="004E1011" w:rsidR="003F7493">
        <w:rPr>
          <w:rFonts w:ascii="Tahoma" w:hAnsi="Tahoma" w:cs="Tahoma"/>
          <w:sz w:val="22"/>
          <w:szCs w:val="22"/>
        </w:rPr>
        <w:t xml:space="preserve"> </w:t>
      </w:r>
      <w:r w:rsidRPr="004E1011">
        <w:rPr>
          <w:rFonts w:ascii="Tahoma" w:hAnsi="Tahoma" w:cs="Tahoma"/>
          <w:sz w:val="22"/>
          <w:szCs w:val="22"/>
        </w:rPr>
        <w:t xml:space="preserve">Nedodržení </w:t>
      </w:r>
      <w:r w:rsidRPr="004E1011" w:rsidR="003F7493">
        <w:rPr>
          <w:rFonts w:ascii="Tahoma" w:hAnsi="Tahoma" w:cs="Tahoma"/>
          <w:sz w:val="22"/>
          <w:szCs w:val="22"/>
        </w:rPr>
        <w:t xml:space="preserve">tohoto </w:t>
      </w:r>
      <w:r w:rsidRPr="004E1011">
        <w:rPr>
          <w:rFonts w:ascii="Tahoma" w:hAnsi="Tahoma" w:cs="Tahoma"/>
          <w:sz w:val="22"/>
          <w:szCs w:val="22"/>
        </w:rPr>
        <w:t xml:space="preserve">termínu pro odstranění vad bude považováno za </w:t>
      </w:r>
      <w:r w:rsidRPr="004E1011" w:rsidR="001778A8">
        <w:rPr>
          <w:rFonts w:ascii="Tahoma" w:hAnsi="Tahoma" w:cs="Tahoma"/>
          <w:sz w:val="22"/>
          <w:szCs w:val="22"/>
        </w:rPr>
        <w:t xml:space="preserve">podstatné </w:t>
      </w:r>
      <w:r w:rsidRPr="004E1011">
        <w:rPr>
          <w:rFonts w:ascii="Tahoma" w:hAnsi="Tahoma" w:cs="Tahoma"/>
          <w:sz w:val="22"/>
          <w:szCs w:val="22"/>
        </w:rPr>
        <w:t>porušení</w:t>
      </w:r>
      <w:r w:rsidRPr="004E1011" w:rsidR="000176B9">
        <w:rPr>
          <w:rFonts w:ascii="Tahoma" w:hAnsi="Tahoma" w:cs="Tahoma"/>
          <w:sz w:val="22"/>
          <w:szCs w:val="22"/>
        </w:rPr>
        <w:t xml:space="preserve"> S</w:t>
      </w:r>
      <w:r w:rsidRPr="004E1011">
        <w:rPr>
          <w:rFonts w:ascii="Tahoma" w:hAnsi="Tahoma" w:cs="Tahoma"/>
          <w:sz w:val="22"/>
          <w:szCs w:val="22"/>
        </w:rPr>
        <w:t>mlouvy.</w:t>
      </w:r>
    </w:p>
    <w:p w:rsidR="00293CF9" w:rsidRPr="004E1011" w:rsidP="000D6A4F" w14:paraId="7A110D60" w14:textId="7CE32246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O převzetí díla pořídí Objednatel se Z</w:t>
      </w:r>
      <w:r w:rsidRPr="004E1011">
        <w:rPr>
          <w:rFonts w:ascii="Tahoma" w:hAnsi="Tahoma" w:cs="Tahoma"/>
          <w:sz w:val="22"/>
          <w:szCs w:val="22"/>
        </w:rPr>
        <w:t>hotovitelem předávací protokol o předání a převzetí díla podeps</w:t>
      </w:r>
      <w:r w:rsidRPr="004E1011" w:rsidR="000D6A4F">
        <w:rPr>
          <w:rFonts w:ascii="Tahoma" w:hAnsi="Tahoma" w:cs="Tahoma"/>
          <w:sz w:val="22"/>
          <w:szCs w:val="22"/>
        </w:rPr>
        <w:t xml:space="preserve">aný zástupci obou stran, a to ve dvou </w:t>
      </w:r>
      <w:r w:rsidRPr="004E1011">
        <w:rPr>
          <w:rFonts w:ascii="Tahoma" w:hAnsi="Tahoma" w:cs="Tahoma"/>
          <w:sz w:val="22"/>
          <w:szCs w:val="22"/>
        </w:rPr>
        <w:t>stejnopisech. Zápis bude obsahovat zejména: identifikační údaje o d</w:t>
      </w:r>
      <w:r w:rsidRPr="004E1011">
        <w:rPr>
          <w:rFonts w:ascii="Tahoma" w:hAnsi="Tahoma" w:cs="Tahoma"/>
          <w:sz w:val="22"/>
          <w:szCs w:val="22"/>
        </w:rPr>
        <w:t>íle i jeho částech, prohlášení O</w:t>
      </w:r>
      <w:r w:rsidRPr="004E1011">
        <w:rPr>
          <w:rFonts w:ascii="Tahoma" w:hAnsi="Tahoma" w:cs="Tahoma"/>
          <w:sz w:val="22"/>
          <w:szCs w:val="22"/>
        </w:rPr>
        <w:t>bjednatele, že dílo nebo jeho část přejímá a soupis př</w:t>
      </w:r>
      <w:r w:rsidRPr="004E1011" w:rsidR="000D6A4F">
        <w:rPr>
          <w:rFonts w:ascii="Tahoma" w:hAnsi="Tahoma" w:cs="Tahoma"/>
          <w:sz w:val="22"/>
          <w:szCs w:val="22"/>
        </w:rPr>
        <w:t>íloh.</w:t>
      </w:r>
    </w:p>
    <w:p w:rsidR="00293CF9" w:rsidRPr="004E1011" w:rsidP="000D6A4F" w14:paraId="7B3B0885" w14:textId="02739843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Pokud Z</w:t>
      </w:r>
      <w:r w:rsidRPr="004E1011">
        <w:rPr>
          <w:rFonts w:ascii="Tahoma" w:hAnsi="Tahoma" w:cs="Tahoma"/>
          <w:sz w:val="22"/>
          <w:szCs w:val="22"/>
        </w:rPr>
        <w:t>hotovitel během plnění zjistí oko</w:t>
      </w:r>
      <w:r w:rsidRPr="004E1011" w:rsidR="000D6A4F">
        <w:rPr>
          <w:rFonts w:ascii="Tahoma" w:hAnsi="Tahoma" w:cs="Tahoma"/>
          <w:sz w:val="22"/>
          <w:szCs w:val="22"/>
        </w:rPr>
        <w:t xml:space="preserve">lnosti, které brání včasnému zhotovení </w:t>
      </w:r>
      <w:r w:rsidRPr="004E1011">
        <w:rPr>
          <w:rFonts w:ascii="Tahoma" w:hAnsi="Tahoma" w:cs="Tahoma"/>
          <w:sz w:val="22"/>
          <w:szCs w:val="22"/>
        </w:rPr>
        <w:t>díla, musí bez zbyte</w:t>
      </w:r>
      <w:r w:rsidRPr="004E1011">
        <w:rPr>
          <w:rFonts w:ascii="Tahoma" w:hAnsi="Tahoma" w:cs="Tahoma"/>
          <w:sz w:val="22"/>
          <w:szCs w:val="22"/>
        </w:rPr>
        <w:t>čného odkladu písemně uvědomit O</w:t>
      </w:r>
      <w:r w:rsidRPr="004E1011">
        <w:rPr>
          <w:rFonts w:ascii="Tahoma" w:hAnsi="Tahoma" w:cs="Tahoma"/>
          <w:sz w:val="22"/>
          <w:szCs w:val="22"/>
        </w:rPr>
        <w:t>bjednatele o předpokládaném zpoždění, jeho pravděpodobném trvání a příčině.</w:t>
      </w:r>
    </w:p>
    <w:p w:rsidR="000D6A4F" w:rsidRPr="004E1011" w:rsidP="000D6A4F" w14:paraId="22C2BED8" w14:textId="77777777">
      <w:pPr>
        <w:pStyle w:val="ListParagraph"/>
        <w:spacing w:after="120" w:line="240" w:lineRule="auto"/>
        <w:ind w:left="426" w:firstLine="0"/>
        <w:rPr>
          <w:rFonts w:ascii="Tahoma" w:hAnsi="Tahoma" w:cs="Tahoma"/>
          <w:sz w:val="22"/>
          <w:szCs w:val="22"/>
        </w:rPr>
      </w:pPr>
    </w:p>
    <w:p w:rsidR="00293CF9" w:rsidRPr="004E1011" w:rsidP="00293CF9" w14:paraId="242026EF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Článek </w:t>
      </w:r>
      <w:r w:rsidRPr="004E1011" w:rsidR="003F7493">
        <w:rPr>
          <w:rFonts w:ascii="Tahoma" w:hAnsi="Tahoma" w:cs="Tahoma"/>
          <w:sz w:val="22"/>
          <w:szCs w:val="22"/>
        </w:rPr>
        <w:t>V</w:t>
      </w:r>
    </w:p>
    <w:p w:rsidR="00293CF9" w:rsidRPr="004E1011" w:rsidP="00293CF9" w14:paraId="008256BA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Práva a povinnosti smluvních stran</w:t>
      </w:r>
    </w:p>
    <w:p w:rsidR="001778A8" w:rsidRPr="004E1011" w:rsidP="003F7493" w14:paraId="2345BE04" w14:textId="77777777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Při plnění díla se smluvní strany zavazují poskytnout si maximální možnou so</w:t>
      </w:r>
      <w:r w:rsidRPr="004E1011" w:rsidR="00AB0FF9">
        <w:rPr>
          <w:rFonts w:ascii="Tahoma" w:hAnsi="Tahoma" w:cs="Tahoma"/>
          <w:sz w:val="22"/>
          <w:szCs w:val="22"/>
        </w:rPr>
        <w:t xml:space="preserve">učinnost. </w:t>
      </w:r>
    </w:p>
    <w:p w:rsidR="00293CF9" w:rsidRPr="004E1011" w:rsidP="003F7493" w14:paraId="45976BE2" w14:textId="74AEEF7A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Objednatel je oprávněn dílo v průběhu jeho provádění kontrolovat prostřednictvím osob</w:t>
      </w:r>
      <w:r w:rsidRPr="004E1011" w:rsidR="003F7493">
        <w:rPr>
          <w:rFonts w:ascii="Tahoma" w:hAnsi="Tahoma" w:cs="Tahoma"/>
          <w:sz w:val="22"/>
          <w:szCs w:val="22"/>
        </w:rPr>
        <w:t xml:space="preserve"> specifikovaných v článku </w:t>
      </w:r>
      <w:r w:rsidRPr="004E1011" w:rsidR="00356AE7">
        <w:rPr>
          <w:rFonts w:ascii="Tahoma" w:hAnsi="Tahoma" w:cs="Tahoma"/>
          <w:sz w:val="22"/>
          <w:szCs w:val="22"/>
        </w:rPr>
        <w:t>VII</w:t>
      </w:r>
      <w:r w:rsidR="00CC67D8">
        <w:rPr>
          <w:rFonts w:ascii="Tahoma" w:hAnsi="Tahoma" w:cs="Tahoma"/>
          <w:sz w:val="22"/>
          <w:szCs w:val="22"/>
        </w:rPr>
        <w:t xml:space="preserve"> S</w:t>
      </w:r>
      <w:r w:rsidRPr="004E1011" w:rsidR="003F7493">
        <w:rPr>
          <w:rFonts w:ascii="Tahoma" w:hAnsi="Tahoma" w:cs="Tahoma"/>
          <w:sz w:val="22"/>
          <w:szCs w:val="22"/>
        </w:rPr>
        <w:t>mlouvy</w:t>
      </w:r>
      <w:r w:rsidRPr="004E1011">
        <w:rPr>
          <w:rFonts w:ascii="Tahoma" w:hAnsi="Tahoma" w:cs="Tahoma"/>
          <w:sz w:val="22"/>
          <w:szCs w:val="22"/>
        </w:rPr>
        <w:t>,</w:t>
      </w:r>
      <w:r w:rsidRPr="004E1011" w:rsidR="003F7493">
        <w:rPr>
          <w:rFonts w:ascii="Tahoma" w:hAnsi="Tahoma" w:cs="Tahoma"/>
          <w:sz w:val="22"/>
          <w:szCs w:val="22"/>
        </w:rPr>
        <w:t xml:space="preserve"> nebo jiných o</w:t>
      </w:r>
      <w:r w:rsidRPr="004E1011" w:rsidR="000176B9">
        <w:rPr>
          <w:rFonts w:ascii="Tahoma" w:hAnsi="Tahoma" w:cs="Tahoma"/>
          <w:sz w:val="22"/>
          <w:szCs w:val="22"/>
        </w:rPr>
        <w:t>sob k tomu statutárním orgánem O</w:t>
      </w:r>
      <w:r w:rsidRPr="004E1011" w:rsidR="003F7493">
        <w:rPr>
          <w:rFonts w:ascii="Tahoma" w:hAnsi="Tahoma" w:cs="Tahoma"/>
          <w:sz w:val="22"/>
          <w:szCs w:val="22"/>
        </w:rPr>
        <w:t>bjednatele zmocněných. Zji</w:t>
      </w:r>
      <w:r w:rsidRPr="004E1011">
        <w:rPr>
          <w:rFonts w:ascii="Tahoma" w:hAnsi="Tahoma" w:cs="Tahoma"/>
          <w:sz w:val="22"/>
          <w:szCs w:val="22"/>
        </w:rPr>
        <w:t xml:space="preserve">stí-li </w:t>
      </w:r>
      <w:r w:rsidRPr="004E1011" w:rsidR="000176B9">
        <w:rPr>
          <w:rFonts w:ascii="Tahoma" w:hAnsi="Tahoma" w:cs="Tahoma"/>
          <w:sz w:val="22"/>
          <w:szCs w:val="22"/>
        </w:rPr>
        <w:t>Objednatel, že Z</w:t>
      </w:r>
      <w:r w:rsidRPr="004E1011">
        <w:rPr>
          <w:rFonts w:ascii="Tahoma" w:hAnsi="Tahoma" w:cs="Tahoma"/>
          <w:sz w:val="22"/>
          <w:szCs w:val="22"/>
        </w:rPr>
        <w:t>hotovitel porušuje svou povinno</w:t>
      </w:r>
      <w:r w:rsidRPr="004E1011" w:rsidR="000176B9">
        <w:rPr>
          <w:rFonts w:ascii="Tahoma" w:hAnsi="Tahoma" w:cs="Tahoma"/>
          <w:sz w:val="22"/>
          <w:szCs w:val="22"/>
        </w:rPr>
        <w:t>st, je oprávněn požadovat, aby Z</w:t>
      </w:r>
      <w:r w:rsidRPr="004E1011">
        <w:rPr>
          <w:rFonts w:ascii="Tahoma" w:hAnsi="Tahoma" w:cs="Tahoma"/>
          <w:sz w:val="22"/>
          <w:szCs w:val="22"/>
        </w:rPr>
        <w:t>hotovitel zajistil nápravu a prováděl dílo ř</w:t>
      </w:r>
      <w:r w:rsidRPr="004E1011" w:rsidR="000176B9">
        <w:rPr>
          <w:rFonts w:ascii="Tahoma" w:hAnsi="Tahoma" w:cs="Tahoma"/>
          <w:sz w:val="22"/>
          <w:szCs w:val="22"/>
        </w:rPr>
        <w:t>ádným způsobem. Neučiní-li tak Z</w:t>
      </w:r>
      <w:r w:rsidRPr="004E1011">
        <w:rPr>
          <w:rFonts w:ascii="Tahoma" w:hAnsi="Tahoma" w:cs="Tahoma"/>
          <w:sz w:val="22"/>
          <w:szCs w:val="22"/>
        </w:rPr>
        <w:t>hotovi</w:t>
      </w:r>
      <w:r w:rsidRPr="004E1011" w:rsidR="000176B9">
        <w:rPr>
          <w:rFonts w:ascii="Tahoma" w:hAnsi="Tahoma" w:cs="Tahoma"/>
          <w:sz w:val="22"/>
          <w:szCs w:val="22"/>
        </w:rPr>
        <w:t>tel ani v přiměřené době, může O</w:t>
      </w:r>
      <w:r w:rsidR="00CC67D8">
        <w:rPr>
          <w:rFonts w:ascii="Tahoma" w:hAnsi="Tahoma" w:cs="Tahoma"/>
          <w:sz w:val="22"/>
          <w:szCs w:val="22"/>
        </w:rPr>
        <w:t>bjednatel od S</w:t>
      </w:r>
      <w:r w:rsidRPr="004E1011">
        <w:rPr>
          <w:rFonts w:ascii="Tahoma" w:hAnsi="Tahoma" w:cs="Tahoma"/>
          <w:sz w:val="22"/>
          <w:szCs w:val="22"/>
        </w:rPr>
        <w:t>mlouv</w:t>
      </w:r>
      <w:r w:rsidRPr="004E1011" w:rsidR="000176B9">
        <w:rPr>
          <w:rFonts w:ascii="Tahoma" w:hAnsi="Tahoma" w:cs="Tahoma"/>
          <w:sz w:val="22"/>
          <w:szCs w:val="22"/>
        </w:rPr>
        <w:t>y odstoupit, vedl-li by postup Z</w:t>
      </w:r>
      <w:r w:rsidRPr="004E1011">
        <w:rPr>
          <w:rFonts w:ascii="Tahoma" w:hAnsi="Tahoma" w:cs="Tahoma"/>
          <w:sz w:val="22"/>
          <w:szCs w:val="22"/>
        </w:rPr>
        <w:t>hotovitele nepochybně k</w:t>
      </w:r>
      <w:r w:rsidR="0049277F">
        <w:rPr>
          <w:rFonts w:ascii="Tahoma" w:hAnsi="Tahoma" w:cs="Tahoma"/>
          <w:sz w:val="22"/>
          <w:szCs w:val="22"/>
        </w:rPr>
        <w:t> </w:t>
      </w:r>
      <w:r w:rsidRPr="004E1011">
        <w:rPr>
          <w:rFonts w:ascii="Tahoma" w:hAnsi="Tahoma" w:cs="Tahoma"/>
          <w:sz w:val="22"/>
          <w:szCs w:val="22"/>
        </w:rPr>
        <w:t xml:space="preserve">podstatnému porušení </w:t>
      </w:r>
      <w:r w:rsidRPr="004E1011" w:rsidR="000176B9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>mlouvy.</w:t>
      </w:r>
    </w:p>
    <w:p w:rsidR="00925799" w:rsidRPr="004E1011" w:rsidP="00C16CA2" w14:paraId="5D128691" w14:textId="0FAA3783">
      <w:pPr>
        <w:pStyle w:val="NormalWeb"/>
        <w:numPr>
          <w:ilvl w:val="0"/>
          <w:numId w:val="12"/>
        </w:numPr>
        <w:spacing w:before="0" w:beforeAutospacing="0" w:after="120" w:afterAutospacing="0"/>
        <w:ind w:left="440" w:hanging="426"/>
        <w:jc w:val="both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Zhotovitel je povinen využívat pro provádění díla dle </w:t>
      </w:r>
      <w:r w:rsidRPr="004E1011" w:rsidR="000176B9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 xml:space="preserve">mlouvy pouze osoby, prostřednictvím kterých prokazoval technickou </w:t>
      </w:r>
      <w:r w:rsidRPr="004E1011" w:rsidR="00FC5508">
        <w:rPr>
          <w:rFonts w:ascii="Tahoma" w:hAnsi="Tahoma" w:cs="Tahoma"/>
          <w:sz w:val="22"/>
          <w:szCs w:val="22"/>
        </w:rPr>
        <w:t xml:space="preserve">kvalifikaci </w:t>
      </w:r>
      <w:r w:rsidRPr="004E1011">
        <w:rPr>
          <w:rFonts w:ascii="Tahoma" w:hAnsi="Tahoma" w:cs="Tahoma"/>
          <w:sz w:val="22"/>
          <w:szCs w:val="22"/>
        </w:rPr>
        <w:t xml:space="preserve">ve výběrovém řízení, které předcházelo uzavření </w:t>
      </w:r>
      <w:r w:rsidRPr="004E1011" w:rsidR="000176B9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>mlouvy.</w:t>
      </w:r>
      <w:r w:rsidRPr="004E1011" w:rsidR="00C16CA2">
        <w:rPr>
          <w:rFonts w:ascii="Tahoma" w:hAnsi="Tahoma" w:cs="Tahoma"/>
          <w:sz w:val="22"/>
          <w:szCs w:val="22"/>
        </w:rPr>
        <w:t xml:space="preserve"> </w:t>
      </w:r>
      <w:r w:rsidRPr="004E1011">
        <w:rPr>
          <w:rFonts w:ascii="Tahoma" w:hAnsi="Tahoma" w:cs="Tahoma"/>
          <w:sz w:val="22"/>
          <w:szCs w:val="22"/>
        </w:rPr>
        <w:t xml:space="preserve">Zhotovitel je oprávněn s předchozím písemným souhlasem </w:t>
      </w:r>
      <w:r w:rsidRPr="004E1011" w:rsidR="00A51E26">
        <w:rPr>
          <w:rFonts w:ascii="Tahoma" w:hAnsi="Tahoma" w:cs="Tahoma"/>
          <w:sz w:val="22"/>
          <w:szCs w:val="22"/>
        </w:rPr>
        <w:t>oprávněné</w:t>
      </w:r>
      <w:r w:rsidRPr="004E1011" w:rsidR="00C16CA2">
        <w:rPr>
          <w:rFonts w:ascii="Tahoma" w:hAnsi="Tahoma" w:cs="Tahoma"/>
          <w:sz w:val="22"/>
          <w:szCs w:val="22"/>
        </w:rPr>
        <w:t xml:space="preserve"> osoby </w:t>
      </w:r>
      <w:r w:rsidRPr="004E1011" w:rsidR="000176B9">
        <w:rPr>
          <w:rFonts w:ascii="Tahoma" w:hAnsi="Tahoma" w:cs="Tahoma"/>
          <w:sz w:val="22"/>
          <w:szCs w:val="22"/>
        </w:rPr>
        <w:t>O</w:t>
      </w:r>
      <w:r w:rsidRPr="004E1011" w:rsidR="00A90F70">
        <w:rPr>
          <w:rFonts w:ascii="Tahoma" w:hAnsi="Tahoma" w:cs="Tahoma"/>
          <w:sz w:val="22"/>
          <w:szCs w:val="22"/>
        </w:rPr>
        <w:t xml:space="preserve">bjednatele </w:t>
      </w:r>
      <w:r w:rsidRPr="004E1011">
        <w:rPr>
          <w:rFonts w:ascii="Tahoma" w:hAnsi="Tahoma" w:cs="Tahoma"/>
          <w:sz w:val="22"/>
          <w:szCs w:val="22"/>
        </w:rPr>
        <w:t xml:space="preserve">měnit konkrétní osoby na uvedených pozicích, nicméně nová osoba musí uvedenou technickou kvalifikaci rovněž splňovat. </w:t>
      </w:r>
      <w:r w:rsidRPr="004E1011" w:rsidR="00A51E26">
        <w:rPr>
          <w:rFonts w:ascii="Tahoma" w:hAnsi="Tahoma" w:cs="Tahoma"/>
          <w:sz w:val="22"/>
          <w:szCs w:val="22"/>
        </w:rPr>
        <w:t>Oprávněná</w:t>
      </w:r>
      <w:r w:rsidRPr="004E1011">
        <w:rPr>
          <w:rFonts w:ascii="Tahoma" w:hAnsi="Tahoma" w:cs="Tahoma"/>
          <w:sz w:val="22"/>
          <w:szCs w:val="22"/>
        </w:rPr>
        <w:t xml:space="preserve"> osoba </w:t>
      </w:r>
      <w:r w:rsidRPr="004E1011" w:rsidR="000176B9">
        <w:rPr>
          <w:rFonts w:ascii="Tahoma" w:hAnsi="Tahoma" w:cs="Tahoma"/>
          <w:sz w:val="22"/>
          <w:szCs w:val="22"/>
        </w:rPr>
        <w:t>O</w:t>
      </w:r>
      <w:r w:rsidRPr="004E1011" w:rsidR="00C16CA2">
        <w:rPr>
          <w:rFonts w:ascii="Tahoma" w:hAnsi="Tahoma" w:cs="Tahoma"/>
          <w:sz w:val="22"/>
          <w:szCs w:val="22"/>
        </w:rPr>
        <w:t xml:space="preserve">bjednatele </w:t>
      </w:r>
      <w:r w:rsidRPr="004E1011" w:rsidR="00A51E26">
        <w:rPr>
          <w:rFonts w:ascii="Tahoma" w:hAnsi="Tahoma" w:cs="Tahoma"/>
          <w:sz w:val="22"/>
          <w:szCs w:val="22"/>
        </w:rPr>
        <w:t>může</w:t>
      </w:r>
      <w:r w:rsidRPr="004E1011" w:rsidR="000176B9">
        <w:rPr>
          <w:rFonts w:ascii="Tahoma" w:hAnsi="Tahoma" w:cs="Tahoma"/>
          <w:sz w:val="22"/>
          <w:szCs w:val="22"/>
        </w:rPr>
        <w:t xml:space="preserve"> požadovat po Z</w:t>
      </w:r>
      <w:r w:rsidRPr="004E1011">
        <w:rPr>
          <w:rFonts w:ascii="Tahoma" w:hAnsi="Tahoma" w:cs="Tahoma"/>
          <w:sz w:val="22"/>
          <w:szCs w:val="22"/>
        </w:rPr>
        <w:t xml:space="preserve">hotoviteli doložení splnění těchto požadavků, a to prostřednictvím dokladů, které byl </w:t>
      </w:r>
      <w:r w:rsidRPr="004E1011" w:rsidR="000176B9">
        <w:rPr>
          <w:rFonts w:ascii="Tahoma" w:hAnsi="Tahoma" w:cs="Tahoma"/>
          <w:sz w:val="22"/>
          <w:szCs w:val="22"/>
        </w:rPr>
        <w:t>Z</w:t>
      </w:r>
      <w:r w:rsidRPr="004E1011">
        <w:rPr>
          <w:rFonts w:ascii="Tahoma" w:hAnsi="Tahoma" w:cs="Tahoma"/>
          <w:sz w:val="22"/>
          <w:szCs w:val="22"/>
        </w:rPr>
        <w:t>hotovitel povinen předložit ve výběrovém řízení.</w:t>
      </w:r>
    </w:p>
    <w:p w:rsidR="00293CF9" w:rsidRPr="004E1011" w:rsidP="00C16CA2" w14:paraId="2AC15985" w14:textId="75BB904C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Smluvní strany se dohodly, že Z</w:t>
      </w:r>
      <w:r w:rsidRPr="004E1011">
        <w:rPr>
          <w:rFonts w:ascii="Tahoma" w:hAnsi="Tahoma" w:cs="Tahoma"/>
          <w:sz w:val="22"/>
          <w:szCs w:val="22"/>
        </w:rPr>
        <w:t>hotovitel je povinen utajit veškeré neveřejné informace, které se dověděl v rámci uzavírání a plnění z</w:t>
      </w:r>
      <w:r w:rsidRPr="004E1011">
        <w:rPr>
          <w:rFonts w:ascii="Tahoma" w:hAnsi="Tahoma" w:cs="Tahoma"/>
          <w:sz w:val="22"/>
          <w:szCs w:val="22"/>
        </w:rPr>
        <w:t>e S</w:t>
      </w:r>
      <w:r w:rsidRPr="004E1011">
        <w:rPr>
          <w:rFonts w:ascii="Tahoma" w:hAnsi="Tahoma" w:cs="Tahoma"/>
          <w:sz w:val="22"/>
          <w:szCs w:val="22"/>
        </w:rPr>
        <w:t>mlouvy, bez ohledu na formu této informace či způsobu jejího získání. Smluvní strany se zavazují, že pokud v rámci vzájemné spolupráce přijdou do styku s osobními/citlivými údaji ve smyslu nařízení EU o ochraně osobních údajů, učiní veškerá opatření k tomu, aby nedošlo k neoprávněnému nebo nahodilému přístupu k těmto údajům, k jejich změně, zničení či ztrátě, neoprávněným přenosům, k jinému neoprávněnému zpracování, jakož i k jejich jinému zneužití. Závazek mlčenlivosti plynoucí z</w:t>
      </w:r>
      <w:r w:rsidRPr="004E1011">
        <w:rPr>
          <w:rFonts w:ascii="Tahoma" w:hAnsi="Tahoma" w:cs="Tahoma"/>
          <w:sz w:val="22"/>
          <w:szCs w:val="22"/>
        </w:rPr>
        <w:t>e S</w:t>
      </w:r>
      <w:r w:rsidRPr="004E1011">
        <w:rPr>
          <w:rFonts w:ascii="Tahoma" w:hAnsi="Tahoma" w:cs="Tahoma"/>
          <w:sz w:val="22"/>
          <w:szCs w:val="22"/>
        </w:rPr>
        <w:t xml:space="preserve">mlouvy není časově omezen. Povinnost </w:t>
      </w:r>
      <w:r w:rsidRPr="004E1011">
        <w:rPr>
          <w:rFonts w:ascii="Tahoma" w:hAnsi="Tahoma" w:cs="Tahoma"/>
          <w:sz w:val="22"/>
          <w:szCs w:val="22"/>
        </w:rPr>
        <w:t>zachovávat mlčenlivost o neveřejných informacích získaných v rámci spolupráce s druhou smluvní stranou trvá i po ukon</w:t>
      </w:r>
      <w:r w:rsidRPr="004E1011">
        <w:rPr>
          <w:rFonts w:ascii="Tahoma" w:hAnsi="Tahoma" w:cs="Tahoma"/>
          <w:sz w:val="22"/>
          <w:szCs w:val="22"/>
        </w:rPr>
        <w:t>čení spolupráce na základě S</w:t>
      </w:r>
      <w:r w:rsidRPr="004E1011">
        <w:rPr>
          <w:rFonts w:ascii="Tahoma" w:hAnsi="Tahoma" w:cs="Tahoma"/>
          <w:sz w:val="22"/>
          <w:szCs w:val="22"/>
        </w:rPr>
        <w:t>mlouvy. Povinnost mlčenlivosti se obd</w:t>
      </w:r>
      <w:r w:rsidR="00CC67D8">
        <w:rPr>
          <w:rFonts w:ascii="Tahoma" w:hAnsi="Tahoma" w:cs="Tahoma"/>
          <w:sz w:val="22"/>
          <w:szCs w:val="22"/>
        </w:rPr>
        <w:t>obně vztahuje i na zaměstnance Z</w:t>
      </w:r>
      <w:r w:rsidRPr="004E1011">
        <w:rPr>
          <w:rFonts w:ascii="Tahoma" w:hAnsi="Tahoma" w:cs="Tahoma"/>
          <w:sz w:val="22"/>
          <w:szCs w:val="22"/>
        </w:rPr>
        <w:t>hotovitele.</w:t>
      </w:r>
    </w:p>
    <w:p w:rsidR="001778A8" w:rsidRPr="004E1011" w:rsidP="003F7493" w14:paraId="56940BEC" w14:textId="746C7EB5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Každá smluv</w:t>
      </w:r>
      <w:r w:rsidRPr="004E1011" w:rsidR="000176B9">
        <w:rPr>
          <w:rFonts w:ascii="Tahoma" w:hAnsi="Tahoma" w:cs="Tahoma"/>
          <w:sz w:val="22"/>
          <w:szCs w:val="22"/>
        </w:rPr>
        <w:t>ní strana je oprávněna od S</w:t>
      </w:r>
      <w:r w:rsidRPr="004E1011">
        <w:rPr>
          <w:rFonts w:ascii="Tahoma" w:hAnsi="Tahoma" w:cs="Tahoma"/>
          <w:sz w:val="22"/>
          <w:szCs w:val="22"/>
        </w:rPr>
        <w:t>mlouvy odstoupit, pok</w:t>
      </w:r>
      <w:r w:rsidR="00CC67D8">
        <w:rPr>
          <w:rFonts w:ascii="Tahoma" w:hAnsi="Tahoma" w:cs="Tahoma"/>
          <w:sz w:val="22"/>
          <w:szCs w:val="22"/>
        </w:rPr>
        <w:t>ud druhá smluvní strana poruší S</w:t>
      </w:r>
      <w:r w:rsidRPr="004E1011">
        <w:rPr>
          <w:rFonts w:ascii="Tahoma" w:hAnsi="Tahoma" w:cs="Tahoma"/>
          <w:sz w:val="22"/>
          <w:szCs w:val="22"/>
        </w:rPr>
        <w:t>mlouvu podstatným způsobem. Odstoupení se činí písemným oznámením o odstoupení doručeným druhé smluvní straně.</w:t>
      </w:r>
      <w:r w:rsidRPr="004E1011" w:rsidR="003F7493">
        <w:rPr>
          <w:rFonts w:ascii="Tahoma" w:hAnsi="Tahoma" w:cs="Tahoma"/>
          <w:sz w:val="22"/>
          <w:szCs w:val="22"/>
        </w:rPr>
        <w:t xml:space="preserve"> </w:t>
      </w:r>
      <w:r w:rsidRPr="004E1011" w:rsidR="000176B9">
        <w:rPr>
          <w:rFonts w:ascii="Tahoma" w:hAnsi="Tahoma" w:cs="Tahoma"/>
          <w:sz w:val="22"/>
          <w:szCs w:val="22"/>
        </w:rPr>
        <w:t>Za podstatné porušení S</w:t>
      </w:r>
      <w:r w:rsidRPr="004E1011">
        <w:rPr>
          <w:rFonts w:ascii="Tahoma" w:hAnsi="Tahoma" w:cs="Tahoma"/>
          <w:sz w:val="22"/>
          <w:szCs w:val="22"/>
        </w:rPr>
        <w:t xml:space="preserve">mlouvy se </w:t>
      </w:r>
      <w:r w:rsidRPr="004E1011" w:rsidR="000176B9">
        <w:rPr>
          <w:rFonts w:ascii="Tahoma" w:hAnsi="Tahoma" w:cs="Tahoma"/>
          <w:sz w:val="22"/>
          <w:szCs w:val="22"/>
        </w:rPr>
        <w:t>považuje ze strany Z</w:t>
      </w:r>
      <w:r w:rsidRPr="004E1011">
        <w:rPr>
          <w:rFonts w:ascii="Tahoma" w:hAnsi="Tahoma" w:cs="Tahoma"/>
          <w:sz w:val="22"/>
          <w:szCs w:val="22"/>
        </w:rPr>
        <w:t>hotovitele případ, kdy</w:t>
      </w:r>
      <w:r w:rsidRPr="004E1011" w:rsidR="003F7493">
        <w:rPr>
          <w:rFonts w:ascii="Tahoma" w:hAnsi="Tahoma" w:cs="Tahoma"/>
          <w:sz w:val="22"/>
          <w:szCs w:val="22"/>
        </w:rPr>
        <w:t xml:space="preserve"> </w:t>
      </w:r>
      <w:r w:rsidRPr="004E1011">
        <w:rPr>
          <w:rFonts w:ascii="Tahoma" w:hAnsi="Tahoma" w:cs="Tahoma"/>
          <w:sz w:val="22"/>
          <w:szCs w:val="22"/>
        </w:rPr>
        <w:t xml:space="preserve">(i) </w:t>
      </w:r>
      <w:r w:rsidRPr="004E1011" w:rsidR="000176B9">
        <w:rPr>
          <w:rFonts w:ascii="Tahoma" w:hAnsi="Tahoma" w:cs="Tahoma"/>
          <w:sz w:val="22"/>
          <w:szCs w:val="22"/>
        </w:rPr>
        <w:t>Z</w:t>
      </w:r>
      <w:r w:rsidRPr="004E1011">
        <w:rPr>
          <w:rFonts w:ascii="Tahoma" w:hAnsi="Tahoma" w:cs="Tahoma"/>
          <w:sz w:val="22"/>
          <w:szCs w:val="22"/>
        </w:rPr>
        <w:t>hotovitel nesplnil lhůt</w:t>
      </w:r>
      <w:r w:rsidRPr="004E1011" w:rsidR="003F7493">
        <w:rPr>
          <w:rFonts w:ascii="Tahoma" w:hAnsi="Tahoma" w:cs="Tahoma"/>
          <w:sz w:val="22"/>
          <w:szCs w:val="22"/>
        </w:rPr>
        <w:t>u pro p</w:t>
      </w:r>
      <w:r w:rsidRPr="004E1011">
        <w:rPr>
          <w:rFonts w:ascii="Tahoma" w:hAnsi="Tahoma" w:cs="Tahoma"/>
          <w:sz w:val="22"/>
          <w:szCs w:val="22"/>
        </w:rPr>
        <w:t xml:space="preserve">ředání </w:t>
      </w:r>
      <w:r w:rsidRPr="004E1011" w:rsidR="00356AE7">
        <w:rPr>
          <w:rFonts w:ascii="Tahoma" w:hAnsi="Tahoma" w:cs="Tahoma"/>
          <w:sz w:val="22"/>
          <w:szCs w:val="22"/>
        </w:rPr>
        <w:t xml:space="preserve">bezvadného </w:t>
      </w:r>
      <w:r w:rsidRPr="004E1011">
        <w:rPr>
          <w:rFonts w:ascii="Tahoma" w:hAnsi="Tahoma" w:cs="Tahoma"/>
          <w:sz w:val="22"/>
          <w:szCs w:val="22"/>
        </w:rPr>
        <w:t>díla dle č</w:t>
      </w:r>
      <w:r w:rsidRPr="004E1011" w:rsidR="003F7493">
        <w:rPr>
          <w:rFonts w:ascii="Tahoma" w:hAnsi="Tahoma" w:cs="Tahoma"/>
          <w:sz w:val="22"/>
          <w:szCs w:val="22"/>
        </w:rPr>
        <w:t xml:space="preserve">lánku IV odst. </w:t>
      </w:r>
      <w:r w:rsidRPr="004E1011" w:rsidR="000176B9">
        <w:rPr>
          <w:rFonts w:ascii="Tahoma" w:hAnsi="Tahoma" w:cs="Tahoma"/>
          <w:sz w:val="22"/>
          <w:szCs w:val="22"/>
        </w:rPr>
        <w:t>1</w:t>
      </w:r>
      <w:r w:rsidRPr="004E1011" w:rsidR="003F7493">
        <w:rPr>
          <w:rFonts w:ascii="Tahoma" w:hAnsi="Tahoma" w:cs="Tahoma"/>
          <w:sz w:val="22"/>
          <w:szCs w:val="22"/>
        </w:rPr>
        <w:t xml:space="preserve">) </w:t>
      </w:r>
      <w:r w:rsidRPr="004E1011" w:rsidR="000176B9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>mlouvy a</w:t>
      </w:r>
      <w:r w:rsidRPr="004E1011" w:rsidR="00A90F70">
        <w:rPr>
          <w:rFonts w:ascii="Tahoma" w:hAnsi="Tahoma" w:cs="Tahoma"/>
          <w:sz w:val="22"/>
          <w:szCs w:val="22"/>
        </w:rPr>
        <w:t> </w:t>
      </w:r>
      <w:r w:rsidR="00CC67D8">
        <w:rPr>
          <w:rFonts w:ascii="Tahoma" w:hAnsi="Tahoma" w:cs="Tahoma"/>
          <w:sz w:val="22"/>
          <w:szCs w:val="22"/>
        </w:rPr>
        <w:t>(ii) Z</w:t>
      </w:r>
      <w:r w:rsidRPr="004E1011">
        <w:rPr>
          <w:rFonts w:ascii="Tahoma" w:hAnsi="Tahoma" w:cs="Tahoma"/>
          <w:sz w:val="22"/>
          <w:szCs w:val="22"/>
        </w:rPr>
        <w:t xml:space="preserve">hotovitel neodstranil vady neakceptovaného díla ve lhůtě sjednané v článku IV odst. </w:t>
      </w:r>
      <w:r w:rsidRPr="004E1011" w:rsidR="000176B9">
        <w:rPr>
          <w:rFonts w:ascii="Tahoma" w:hAnsi="Tahoma" w:cs="Tahoma"/>
          <w:sz w:val="22"/>
          <w:szCs w:val="22"/>
        </w:rPr>
        <w:t>7</w:t>
      </w:r>
      <w:r w:rsidRPr="004E1011">
        <w:rPr>
          <w:rFonts w:ascii="Tahoma" w:hAnsi="Tahoma" w:cs="Tahoma"/>
          <w:sz w:val="22"/>
          <w:szCs w:val="22"/>
        </w:rPr>
        <w:t xml:space="preserve">) </w:t>
      </w:r>
      <w:r w:rsidRPr="004E1011" w:rsidR="000176B9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>mlouvy.</w:t>
      </w:r>
    </w:p>
    <w:p w:rsidR="00293CF9" w:rsidRPr="004E1011" w:rsidP="001778A8" w14:paraId="089A36F4" w14:textId="15852A73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Odstoupení</w:t>
      </w:r>
      <w:r w:rsidR="00CC67D8">
        <w:rPr>
          <w:rFonts w:ascii="Tahoma" w:hAnsi="Tahoma" w:cs="Tahoma"/>
          <w:sz w:val="22"/>
          <w:szCs w:val="22"/>
        </w:rPr>
        <w:t>m od S</w:t>
      </w:r>
      <w:r w:rsidRPr="004E1011">
        <w:rPr>
          <w:rFonts w:ascii="Tahoma" w:hAnsi="Tahoma" w:cs="Tahoma"/>
          <w:sz w:val="22"/>
          <w:szCs w:val="22"/>
        </w:rPr>
        <w:t>mlouvy zanikají v rozsahu jeho účinků práva a povinnos</w:t>
      </w:r>
      <w:r w:rsidR="00CC67D8">
        <w:rPr>
          <w:rFonts w:ascii="Tahoma" w:hAnsi="Tahoma" w:cs="Tahoma"/>
          <w:sz w:val="22"/>
          <w:szCs w:val="22"/>
        </w:rPr>
        <w:t>ti obou smluvních stran ze S</w:t>
      </w:r>
      <w:r w:rsidRPr="004E1011">
        <w:rPr>
          <w:rFonts w:ascii="Tahoma" w:hAnsi="Tahoma" w:cs="Tahoma"/>
          <w:sz w:val="22"/>
          <w:szCs w:val="22"/>
        </w:rPr>
        <w:t>mlouvy</w:t>
      </w:r>
      <w:r w:rsidRPr="004E1011" w:rsidR="00EB4DDF">
        <w:rPr>
          <w:rFonts w:ascii="Tahoma" w:hAnsi="Tahoma" w:cs="Tahoma"/>
          <w:sz w:val="22"/>
          <w:szCs w:val="22"/>
        </w:rPr>
        <w:t>.</w:t>
      </w:r>
      <w:r w:rsidRPr="004E1011">
        <w:rPr>
          <w:rFonts w:ascii="Tahoma" w:hAnsi="Tahoma" w:cs="Tahoma"/>
          <w:sz w:val="22"/>
          <w:szCs w:val="22"/>
        </w:rPr>
        <w:t xml:space="preserve"> </w:t>
      </w:r>
      <w:r w:rsidRPr="004E1011" w:rsidR="00EB4DDF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>mlouva se tím od počátku ruší a smluvní strany jsou povinny vrátit si vzájemně veškerá již poskytnutá plnění a vzájemně se vypořádat podle zásad o bezdůvodném obohacení.</w:t>
      </w:r>
    </w:p>
    <w:p w:rsidR="00293CF9" w:rsidRPr="004E1011" w:rsidP="001778A8" w14:paraId="1F3AD66E" w14:textId="0D724677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Odstoupení od S</w:t>
      </w:r>
      <w:r w:rsidRPr="004E1011">
        <w:rPr>
          <w:rFonts w:ascii="Tahoma" w:hAnsi="Tahoma" w:cs="Tahoma"/>
          <w:sz w:val="22"/>
          <w:szCs w:val="22"/>
        </w:rPr>
        <w:t>mlouvy se nedotýká práva na zaplacení smluvní pokuty nebo úroku z prodlení, pokud již dospěl, práva na náhradu škody vzniklé z porušení smluvní povinnosti ani ujednání, které má vzhledem ke své povaze zavazovat strany i po ods</w:t>
      </w:r>
      <w:r w:rsidRPr="004E1011" w:rsidR="000176B9">
        <w:rPr>
          <w:rFonts w:ascii="Tahoma" w:hAnsi="Tahoma" w:cs="Tahoma"/>
          <w:sz w:val="22"/>
          <w:szCs w:val="22"/>
        </w:rPr>
        <w:t>toupení od S</w:t>
      </w:r>
      <w:r w:rsidRPr="004E1011">
        <w:rPr>
          <w:rFonts w:ascii="Tahoma" w:hAnsi="Tahoma" w:cs="Tahoma"/>
          <w:sz w:val="22"/>
          <w:szCs w:val="22"/>
        </w:rPr>
        <w:t>mlouvy.</w:t>
      </w:r>
    </w:p>
    <w:p w:rsidR="00293CF9" w:rsidP="001778A8" w14:paraId="2F40FEBF" w14:textId="0B3B93C5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Smluvní st</w:t>
      </w:r>
      <w:r w:rsidRPr="004E1011" w:rsidR="000176B9">
        <w:rPr>
          <w:rFonts w:ascii="Tahoma" w:hAnsi="Tahoma" w:cs="Tahoma"/>
          <w:sz w:val="22"/>
          <w:szCs w:val="22"/>
        </w:rPr>
        <w:t>rany se dohodly, že odstoupení O</w:t>
      </w:r>
      <w:r w:rsidRPr="004E1011">
        <w:rPr>
          <w:rFonts w:ascii="Tahoma" w:hAnsi="Tahoma" w:cs="Tahoma"/>
          <w:sz w:val="22"/>
          <w:szCs w:val="22"/>
        </w:rPr>
        <w:t xml:space="preserve">bjednatele od </w:t>
      </w:r>
      <w:r w:rsidRPr="004E1011" w:rsidR="000176B9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>mlouv</w:t>
      </w:r>
      <w:r w:rsidRPr="004E1011" w:rsidR="000176B9">
        <w:rPr>
          <w:rFonts w:ascii="Tahoma" w:hAnsi="Tahoma" w:cs="Tahoma"/>
          <w:sz w:val="22"/>
          <w:szCs w:val="22"/>
        </w:rPr>
        <w:t>y je účinné dnem jeho doručení Z</w:t>
      </w:r>
      <w:r w:rsidRPr="004E1011">
        <w:rPr>
          <w:rFonts w:ascii="Tahoma" w:hAnsi="Tahoma" w:cs="Tahoma"/>
          <w:sz w:val="22"/>
          <w:szCs w:val="22"/>
        </w:rPr>
        <w:t>hotoviteli, nejpozději však uplynutím desátého kalendářního dne po</w:t>
      </w:r>
      <w:r w:rsidRPr="004E1011" w:rsidR="000176B9">
        <w:rPr>
          <w:rFonts w:ascii="Tahoma" w:hAnsi="Tahoma" w:cs="Tahoma"/>
          <w:sz w:val="22"/>
          <w:szCs w:val="22"/>
        </w:rPr>
        <w:t xml:space="preserve"> jeho odeslání na adresu sídla Z</w:t>
      </w:r>
      <w:r w:rsidRPr="004E1011">
        <w:rPr>
          <w:rFonts w:ascii="Tahoma" w:hAnsi="Tahoma" w:cs="Tahoma"/>
          <w:sz w:val="22"/>
          <w:szCs w:val="22"/>
        </w:rPr>
        <w:t xml:space="preserve">hotovitele uvedenou v záhlaví </w:t>
      </w:r>
      <w:r w:rsidRPr="004E1011" w:rsidR="000176B9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>mlouvy.</w:t>
      </w:r>
    </w:p>
    <w:p w:rsidR="001C2BEA" w:rsidRPr="001C2BEA" w:rsidP="001778A8" w14:paraId="3436DD45" w14:textId="3963F34D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C2BEA">
        <w:rPr>
          <w:rFonts w:ascii="Tahoma" w:hAnsi="Tahoma" w:cs="Tahoma"/>
          <w:sz w:val="22"/>
          <w:szCs w:val="22"/>
        </w:rPr>
        <w:t>Tato Smlouva může být kdykoli ukončena písemnou dohodou Smluvních stran</w:t>
      </w:r>
      <w:r>
        <w:rPr>
          <w:rFonts w:ascii="Tahoma" w:hAnsi="Tahoma" w:cs="Tahoma"/>
          <w:sz w:val="22"/>
          <w:szCs w:val="22"/>
        </w:rPr>
        <w:t>.</w:t>
      </w:r>
    </w:p>
    <w:p w:rsidR="00293CF9" w:rsidRPr="004E1011" w:rsidP="00293CF9" w14:paraId="6B79B57C" w14:textId="77777777">
      <w:pPr>
        <w:pStyle w:val="ListParagraph"/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</w:p>
    <w:p w:rsidR="00293CF9" w:rsidRPr="004E1011" w:rsidP="00293CF9" w14:paraId="3734368E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Článek </w:t>
      </w:r>
      <w:r w:rsidRPr="004E1011" w:rsidR="00AB0FF9">
        <w:rPr>
          <w:rFonts w:ascii="Tahoma" w:hAnsi="Tahoma" w:cs="Tahoma"/>
          <w:sz w:val="22"/>
          <w:szCs w:val="22"/>
        </w:rPr>
        <w:t>VI</w:t>
      </w:r>
    </w:p>
    <w:p w:rsidR="00293CF9" w:rsidRPr="004E1011" w:rsidP="00293CF9" w14:paraId="691DBDA0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Smluvní pokuty</w:t>
      </w:r>
    </w:p>
    <w:p w:rsidR="00293CF9" w:rsidRPr="004E1011" w:rsidP="009765C4" w14:paraId="35008D60" w14:textId="798B56CB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V případě, že Z</w:t>
      </w:r>
      <w:r w:rsidRPr="004E1011">
        <w:rPr>
          <w:rFonts w:ascii="Tahoma" w:hAnsi="Tahoma" w:cs="Tahoma"/>
          <w:sz w:val="22"/>
          <w:szCs w:val="22"/>
        </w:rPr>
        <w:t>hotovitel bude v prodlení s termínem dokončení díla</w:t>
      </w:r>
      <w:r w:rsidRPr="004E1011" w:rsidR="009765C4">
        <w:rPr>
          <w:rFonts w:ascii="Tahoma" w:hAnsi="Tahoma" w:cs="Tahoma"/>
          <w:sz w:val="22"/>
          <w:szCs w:val="22"/>
        </w:rPr>
        <w:t xml:space="preserve"> sjednaným v článku IV odst. </w:t>
      </w:r>
      <w:r w:rsidRPr="004E1011">
        <w:rPr>
          <w:rFonts w:ascii="Tahoma" w:hAnsi="Tahoma" w:cs="Tahoma"/>
          <w:sz w:val="22"/>
          <w:szCs w:val="22"/>
        </w:rPr>
        <w:t>1</w:t>
      </w:r>
      <w:r w:rsidRPr="004E1011" w:rsidR="009765C4">
        <w:rPr>
          <w:rFonts w:ascii="Tahoma" w:hAnsi="Tahoma" w:cs="Tahoma"/>
          <w:sz w:val="22"/>
          <w:szCs w:val="22"/>
        </w:rPr>
        <w:t>)</w:t>
      </w:r>
      <w:r w:rsidRPr="004E1011">
        <w:rPr>
          <w:rFonts w:ascii="Tahoma" w:hAnsi="Tahoma" w:cs="Tahoma"/>
          <w:sz w:val="22"/>
          <w:szCs w:val="22"/>
        </w:rPr>
        <w:t xml:space="preserve"> S</w:t>
      </w:r>
      <w:r w:rsidRPr="004E1011" w:rsidR="009765C4">
        <w:rPr>
          <w:rFonts w:ascii="Tahoma" w:hAnsi="Tahoma" w:cs="Tahoma"/>
          <w:sz w:val="22"/>
          <w:szCs w:val="22"/>
        </w:rPr>
        <w:t xml:space="preserve">mlouvy, je </w:t>
      </w:r>
      <w:r w:rsidRPr="004E1011">
        <w:rPr>
          <w:rFonts w:ascii="Tahoma" w:hAnsi="Tahoma" w:cs="Tahoma"/>
          <w:sz w:val="22"/>
          <w:szCs w:val="22"/>
        </w:rPr>
        <w:t>O</w:t>
      </w:r>
      <w:r w:rsidRPr="004E1011" w:rsidR="009765C4">
        <w:rPr>
          <w:rFonts w:ascii="Tahoma" w:hAnsi="Tahoma" w:cs="Tahoma"/>
          <w:sz w:val="22"/>
          <w:szCs w:val="22"/>
        </w:rPr>
        <w:t>bjednatel oprávněn nárokovat úhradu smluvní pokuty ve výši 0,5</w:t>
      </w:r>
      <w:r w:rsidRPr="004E1011" w:rsidR="00EB66F5">
        <w:rPr>
          <w:rFonts w:ascii="Tahoma" w:hAnsi="Tahoma" w:cs="Tahoma"/>
          <w:sz w:val="22"/>
          <w:szCs w:val="22"/>
        </w:rPr>
        <w:t xml:space="preserve"> </w:t>
      </w:r>
      <w:r w:rsidRPr="004E1011" w:rsidR="009765C4">
        <w:rPr>
          <w:rFonts w:ascii="Tahoma" w:hAnsi="Tahoma" w:cs="Tahoma"/>
          <w:sz w:val="22"/>
          <w:szCs w:val="22"/>
        </w:rPr>
        <w:t xml:space="preserve">% </w:t>
      </w:r>
      <w:r w:rsidRPr="004E1011">
        <w:rPr>
          <w:rFonts w:ascii="Tahoma" w:hAnsi="Tahoma" w:cs="Tahoma"/>
          <w:sz w:val="22"/>
          <w:szCs w:val="22"/>
        </w:rPr>
        <w:t>z</w:t>
      </w:r>
      <w:r w:rsidRPr="004E1011" w:rsidR="009765C4">
        <w:rPr>
          <w:rFonts w:ascii="Tahoma" w:hAnsi="Tahoma" w:cs="Tahoma"/>
          <w:sz w:val="22"/>
          <w:szCs w:val="22"/>
        </w:rPr>
        <w:t xml:space="preserve"> celkové </w:t>
      </w:r>
      <w:r w:rsidRPr="004E1011">
        <w:rPr>
          <w:rFonts w:ascii="Tahoma" w:hAnsi="Tahoma" w:cs="Tahoma"/>
          <w:sz w:val="22"/>
          <w:szCs w:val="22"/>
        </w:rPr>
        <w:t>ceny díla</w:t>
      </w:r>
      <w:r w:rsidRPr="004E1011" w:rsidR="009765C4">
        <w:rPr>
          <w:rFonts w:ascii="Tahoma" w:hAnsi="Tahoma" w:cs="Tahoma"/>
          <w:sz w:val="22"/>
          <w:szCs w:val="22"/>
        </w:rPr>
        <w:t xml:space="preserve"> bez DPH sjednané v článku II odst. 1) </w:t>
      </w:r>
      <w:r w:rsidRPr="004E1011">
        <w:rPr>
          <w:rFonts w:ascii="Tahoma" w:hAnsi="Tahoma" w:cs="Tahoma"/>
          <w:sz w:val="22"/>
          <w:szCs w:val="22"/>
        </w:rPr>
        <w:t>S</w:t>
      </w:r>
      <w:r w:rsidRPr="004E1011" w:rsidR="009765C4">
        <w:rPr>
          <w:rFonts w:ascii="Tahoma" w:hAnsi="Tahoma" w:cs="Tahoma"/>
          <w:sz w:val="22"/>
          <w:szCs w:val="22"/>
        </w:rPr>
        <w:t xml:space="preserve">mlouvy, a to </w:t>
      </w:r>
      <w:r w:rsidRPr="004E1011">
        <w:rPr>
          <w:rFonts w:ascii="Tahoma" w:hAnsi="Tahoma" w:cs="Tahoma"/>
          <w:sz w:val="22"/>
          <w:szCs w:val="22"/>
        </w:rPr>
        <w:t xml:space="preserve">za každý </w:t>
      </w:r>
      <w:r w:rsidRPr="004E1011" w:rsidR="009765C4">
        <w:rPr>
          <w:rFonts w:ascii="Tahoma" w:hAnsi="Tahoma" w:cs="Tahoma"/>
          <w:sz w:val="22"/>
          <w:szCs w:val="22"/>
        </w:rPr>
        <w:t xml:space="preserve">i jen </w:t>
      </w:r>
      <w:r w:rsidRPr="004E1011">
        <w:rPr>
          <w:rFonts w:ascii="Tahoma" w:hAnsi="Tahoma" w:cs="Tahoma"/>
          <w:sz w:val="22"/>
          <w:szCs w:val="22"/>
        </w:rPr>
        <w:t>započatý den prodlení.</w:t>
      </w:r>
    </w:p>
    <w:p w:rsidR="009765C4" w:rsidRPr="004E1011" w:rsidP="009765C4" w14:paraId="713C6514" w14:textId="26A352C3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V případě, že O</w:t>
      </w:r>
      <w:r w:rsidRPr="004E1011" w:rsidR="00293CF9">
        <w:rPr>
          <w:rFonts w:ascii="Tahoma" w:hAnsi="Tahoma" w:cs="Tahoma"/>
          <w:sz w:val="22"/>
          <w:szCs w:val="22"/>
        </w:rPr>
        <w:t>bjednatel bude v </w:t>
      </w:r>
      <w:r w:rsidRPr="004E1011">
        <w:rPr>
          <w:rFonts w:ascii="Tahoma" w:hAnsi="Tahoma" w:cs="Tahoma"/>
          <w:sz w:val="22"/>
          <w:szCs w:val="22"/>
        </w:rPr>
        <w:t>prodlení se zaplacením faktury Zhotovitele, je Z</w:t>
      </w:r>
      <w:r w:rsidRPr="004E1011" w:rsidR="00293CF9">
        <w:rPr>
          <w:rFonts w:ascii="Tahoma" w:hAnsi="Tahoma" w:cs="Tahoma"/>
          <w:sz w:val="22"/>
          <w:szCs w:val="22"/>
        </w:rPr>
        <w:t xml:space="preserve">hotovitel oprávněn požadovat </w:t>
      </w:r>
      <w:r w:rsidRPr="004E1011">
        <w:rPr>
          <w:rFonts w:ascii="Tahoma" w:hAnsi="Tahoma" w:cs="Tahoma"/>
          <w:sz w:val="22"/>
          <w:szCs w:val="22"/>
        </w:rPr>
        <w:t xml:space="preserve">zákonný </w:t>
      </w:r>
      <w:r w:rsidRPr="004E1011" w:rsidR="00293CF9">
        <w:rPr>
          <w:rFonts w:ascii="Tahoma" w:hAnsi="Tahoma" w:cs="Tahoma"/>
          <w:sz w:val="22"/>
          <w:szCs w:val="22"/>
        </w:rPr>
        <w:t>úrok z</w:t>
      </w:r>
      <w:r w:rsidRPr="004E1011">
        <w:rPr>
          <w:rFonts w:ascii="Tahoma" w:hAnsi="Tahoma" w:cs="Tahoma"/>
          <w:sz w:val="22"/>
          <w:szCs w:val="22"/>
        </w:rPr>
        <w:t> </w:t>
      </w:r>
      <w:r w:rsidRPr="004E1011" w:rsidR="00293CF9">
        <w:rPr>
          <w:rFonts w:ascii="Tahoma" w:hAnsi="Tahoma" w:cs="Tahoma"/>
          <w:sz w:val="22"/>
          <w:szCs w:val="22"/>
        </w:rPr>
        <w:t>prodlení</w:t>
      </w:r>
      <w:r w:rsidRPr="004E1011">
        <w:rPr>
          <w:rFonts w:ascii="Tahoma" w:hAnsi="Tahoma" w:cs="Tahoma"/>
          <w:sz w:val="22"/>
          <w:szCs w:val="22"/>
        </w:rPr>
        <w:t>.</w:t>
      </w:r>
    </w:p>
    <w:p w:rsidR="00293CF9" w:rsidRPr="004E1011" w:rsidP="009765C4" w14:paraId="34FE9BDD" w14:textId="221BCFE8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Za porušení povinnosti mlč</w:t>
      </w:r>
      <w:r w:rsidRPr="004E1011" w:rsidR="000176B9">
        <w:rPr>
          <w:rFonts w:ascii="Tahoma" w:hAnsi="Tahoma" w:cs="Tahoma"/>
          <w:sz w:val="22"/>
          <w:szCs w:val="22"/>
        </w:rPr>
        <w:t>enlivosti specifikované v této Smlouvě je Z</w:t>
      </w:r>
      <w:r w:rsidRPr="004E1011">
        <w:rPr>
          <w:rFonts w:ascii="Tahoma" w:hAnsi="Tahoma" w:cs="Tahoma"/>
          <w:sz w:val="22"/>
          <w:szCs w:val="22"/>
        </w:rPr>
        <w:t xml:space="preserve">hotovitel povinen uhradit </w:t>
      </w:r>
      <w:r w:rsidRPr="004E1011" w:rsidR="000176B9">
        <w:rPr>
          <w:rFonts w:ascii="Tahoma" w:hAnsi="Tahoma" w:cs="Tahoma"/>
          <w:sz w:val="22"/>
          <w:szCs w:val="22"/>
        </w:rPr>
        <w:t>O</w:t>
      </w:r>
      <w:r w:rsidRPr="004E1011">
        <w:rPr>
          <w:rFonts w:ascii="Tahoma" w:hAnsi="Tahoma" w:cs="Tahoma"/>
          <w:sz w:val="22"/>
          <w:szCs w:val="22"/>
        </w:rPr>
        <w:t>bjednateli smluvní pokutu ve výši 25 000 Kč, a to za každý jednotlivý případ porušení povinnosti.</w:t>
      </w:r>
    </w:p>
    <w:p w:rsidR="00293CF9" w:rsidRPr="004E1011" w:rsidP="009765C4" w14:paraId="26AE40D5" w14:textId="77777777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Zaplacením smluvní pokuty není dotčeno právo smluvní strany na náhradu škody vzniklé porušením smluvní povinnosti, které se smluvní pokuta týká.</w:t>
      </w:r>
    </w:p>
    <w:p w:rsidR="00293CF9" w:rsidRPr="004E1011" w:rsidP="009765C4" w14:paraId="05F9F32A" w14:textId="77777777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Smluvní pokuta je splatná do 10 dnů poté, co bude písemná výzva jedné strany v tomto směru druhé straně doručena.</w:t>
      </w:r>
    </w:p>
    <w:p w:rsidR="009765C4" w:rsidRPr="004E1011" w:rsidP="009765C4" w14:paraId="60F2462E" w14:textId="77777777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Objednatel je oprávněn smluvní pokutu, na níž mu vznikne nárok, započíst vůči ceně díla.</w:t>
      </w:r>
    </w:p>
    <w:p w:rsidR="00293CF9" w:rsidRPr="004E1011" w:rsidP="009765C4" w14:paraId="497B4E31" w14:textId="77777777">
      <w:pPr>
        <w:pStyle w:val="ListParagraph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 </w:t>
      </w:r>
    </w:p>
    <w:p w:rsidR="00293CF9" w:rsidRPr="004E1011" w:rsidP="00293CF9" w14:paraId="1A7394D4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Článek </w:t>
      </w:r>
      <w:r w:rsidRPr="004E1011" w:rsidR="009765C4">
        <w:rPr>
          <w:rFonts w:ascii="Tahoma" w:hAnsi="Tahoma" w:cs="Tahoma"/>
          <w:sz w:val="22"/>
          <w:szCs w:val="22"/>
        </w:rPr>
        <w:t>VII</w:t>
      </w:r>
    </w:p>
    <w:p w:rsidR="00293CF9" w:rsidRPr="004E1011" w:rsidP="00293CF9" w14:paraId="5F21597D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Oprávněné osoby</w:t>
      </w:r>
    </w:p>
    <w:p w:rsidR="00F7730A" w:rsidRPr="004E1011" w:rsidP="00F7730A" w14:paraId="1D72ED66" w14:textId="5B630215">
      <w:pPr>
        <w:pStyle w:val="ListParagraph"/>
        <w:numPr>
          <w:ilvl w:val="0"/>
          <w:numId w:val="14"/>
        </w:numPr>
        <w:spacing w:after="120" w:line="240" w:lineRule="auto"/>
        <w:ind w:left="425" w:hanging="425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Na základě </w:t>
      </w:r>
      <w:r w:rsidRPr="004E1011" w:rsidR="000176B9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 xml:space="preserve">mlouvy jsou oprávněny za </w:t>
      </w:r>
      <w:r w:rsidRPr="004E1011" w:rsidR="000176B9">
        <w:rPr>
          <w:rFonts w:ascii="Tahoma" w:hAnsi="Tahoma" w:cs="Tahoma"/>
          <w:sz w:val="22"/>
          <w:szCs w:val="22"/>
        </w:rPr>
        <w:t>O</w:t>
      </w:r>
      <w:r w:rsidRPr="004E1011">
        <w:rPr>
          <w:rFonts w:ascii="Tahoma" w:hAnsi="Tahoma" w:cs="Tahoma"/>
          <w:sz w:val="22"/>
          <w:szCs w:val="22"/>
        </w:rPr>
        <w:t xml:space="preserve">bjednatele udělovat závazné pokyny </w:t>
      </w:r>
      <w:r w:rsidRPr="004E1011" w:rsidR="000176B9">
        <w:rPr>
          <w:rFonts w:ascii="Tahoma" w:hAnsi="Tahoma" w:cs="Tahoma"/>
          <w:sz w:val="22"/>
          <w:szCs w:val="22"/>
        </w:rPr>
        <w:t>Z</w:t>
      </w:r>
      <w:r w:rsidRPr="004E1011">
        <w:rPr>
          <w:rFonts w:ascii="Tahoma" w:hAnsi="Tahoma" w:cs="Tahoma"/>
          <w:sz w:val="22"/>
          <w:szCs w:val="22"/>
        </w:rPr>
        <w:t>hotoviteli a podepisovat akceptační i předávac</w:t>
      </w:r>
      <w:r w:rsidRPr="004E1011" w:rsidR="009765C4">
        <w:rPr>
          <w:rFonts w:ascii="Tahoma" w:hAnsi="Tahoma" w:cs="Tahoma"/>
          <w:sz w:val="22"/>
          <w:szCs w:val="22"/>
        </w:rPr>
        <w:t>í</w:t>
      </w:r>
      <w:r w:rsidRPr="004E1011">
        <w:rPr>
          <w:rFonts w:ascii="Tahoma" w:hAnsi="Tahoma" w:cs="Tahoma"/>
          <w:sz w:val="22"/>
          <w:szCs w:val="22"/>
        </w:rPr>
        <w:t xml:space="preserve"> protokol</w:t>
      </w:r>
      <w:r w:rsidRPr="004E1011" w:rsidR="009765C4">
        <w:rPr>
          <w:rFonts w:ascii="Tahoma" w:hAnsi="Tahoma" w:cs="Tahoma"/>
          <w:sz w:val="22"/>
          <w:szCs w:val="22"/>
        </w:rPr>
        <w:t xml:space="preserve"> </w:t>
      </w:r>
      <w:r w:rsidRPr="004E1011">
        <w:rPr>
          <w:rFonts w:ascii="Tahoma" w:hAnsi="Tahoma" w:cs="Tahoma"/>
          <w:sz w:val="22"/>
          <w:szCs w:val="22"/>
        </w:rPr>
        <w:t xml:space="preserve">tyto osoby: </w:t>
      </w:r>
    </w:p>
    <w:p w:rsidR="00C46074" w:rsidP="000176B9" w14:paraId="21CEEAB5" w14:textId="00B121A2">
      <w:pPr>
        <w:pStyle w:val="ListParagraph"/>
        <w:numPr>
          <w:ilvl w:val="0"/>
          <w:numId w:val="18"/>
        </w:numPr>
        <w:spacing w:after="120" w:line="240" w:lineRule="auto"/>
        <w:ind w:left="851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</w:t>
      </w:r>
      <w:r>
        <w:rPr>
          <w:rFonts w:ascii="Tahoma" w:hAnsi="Tahoma" w:cs="Tahoma"/>
          <w:sz w:val="22"/>
          <w:szCs w:val="22"/>
        </w:rPr>
        <w:t xml:space="preserve">, e-mail: </w:t>
      </w:r>
      <w:r>
        <w:rPr>
          <w:rFonts w:ascii="Tahoma" w:hAnsi="Tahoma" w:cs="Tahoma"/>
          <w:sz w:val="22"/>
          <w:szCs w:val="22"/>
        </w:rPr>
        <w:t>XXXXX</w:t>
      </w:r>
      <w:r>
        <w:rPr>
          <w:rFonts w:ascii="Tahoma" w:hAnsi="Tahoma" w:cs="Tahoma"/>
          <w:sz w:val="22"/>
          <w:szCs w:val="22"/>
        </w:rPr>
        <w:t xml:space="preserve">, tel.: </w:t>
      </w:r>
      <w:r>
        <w:rPr>
          <w:rFonts w:ascii="Tahoma" w:hAnsi="Tahoma" w:cs="Tahoma"/>
          <w:sz w:val="22"/>
          <w:szCs w:val="22"/>
        </w:rPr>
        <w:t>XXXXX</w:t>
      </w:r>
      <w:r>
        <w:rPr>
          <w:rFonts w:ascii="Tahoma" w:hAnsi="Tahoma" w:cs="Tahoma"/>
          <w:sz w:val="22"/>
          <w:szCs w:val="22"/>
        </w:rPr>
        <w:t>;</w:t>
      </w:r>
    </w:p>
    <w:p w:rsidR="00F7730A" w:rsidRPr="004E1011" w:rsidP="000176B9" w14:paraId="4DB2F75E" w14:textId="59484162">
      <w:pPr>
        <w:pStyle w:val="ListParagraph"/>
        <w:numPr>
          <w:ilvl w:val="0"/>
          <w:numId w:val="18"/>
        </w:numPr>
        <w:spacing w:after="120" w:line="240" w:lineRule="auto"/>
        <w:ind w:left="851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</w:t>
      </w:r>
      <w:r w:rsidR="00C46074">
        <w:rPr>
          <w:rFonts w:ascii="Tahoma" w:hAnsi="Tahoma" w:cs="Tahoma"/>
          <w:sz w:val="22"/>
          <w:szCs w:val="22"/>
        </w:rPr>
        <w:t xml:space="preserve">, e-mail: </w:t>
      </w:r>
      <w:r>
        <w:rPr>
          <w:rFonts w:ascii="Tahoma" w:hAnsi="Tahoma" w:cs="Tahoma"/>
          <w:sz w:val="22"/>
          <w:szCs w:val="22"/>
        </w:rPr>
        <w:t>XXXXX</w:t>
      </w:r>
      <w:r w:rsidR="00C46074">
        <w:rPr>
          <w:rFonts w:ascii="Tahoma" w:hAnsi="Tahoma" w:cs="Tahoma"/>
          <w:sz w:val="22"/>
          <w:szCs w:val="22"/>
        </w:rPr>
        <w:t xml:space="preserve">, tel.: </w:t>
      </w:r>
      <w:r>
        <w:rPr>
          <w:rFonts w:ascii="Tahoma" w:hAnsi="Tahoma" w:cs="Tahoma"/>
          <w:sz w:val="22"/>
          <w:szCs w:val="22"/>
        </w:rPr>
        <w:t>XXXXX</w:t>
      </w:r>
      <w:r w:rsidR="00C46074">
        <w:rPr>
          <w:rFonts w:ascii="Tahoma" w:hAnsi="Tahoma" w:cs="Tahoma"/>
          <w:sz w:val="22"/>
          <w:szCs w:val="22"/>
        </w:rPr>
        <w:t>.</w:t>
      </w:r>
    </w:p>
    <w:p w:rsidR="00293CF9" w:rsidP="000176B9" w14:paraId="5D0CCC53" w14:textId="063D52AA">
      <w:pPr>
        <w:pStyle w:val="ListParagraph"/>
        <w:numPr>
          <w:ilvl w:val="0"/>
          <w:numId w:val="14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Jménem Z</w:t>
      </w:r>
      <w:r w:rsidRPr="004E1011">
        <w:rPr>
          <w:rFonts w:ascii="Tahoma" w:hAnsi="Tahoma" w:cs="Tahoma"/>
          <w:sz w:val="22"/>
          <w:szCs w:val="22"/>
        </w:rPr>
        <w:t xml:space="preserve">hotovitele jsou oprávněny podepisovat akceptační a předávací protokol </w:t>
      </w:r>
      <w:r w:rsidRPr="004E1011" w:rsidR="009765C4">
        <w:rPr>
          <w:rFonts w:ascii="Tahoma" w:hAnsi="Tahoma" w:cs="Tahoma"/>
          <w:sz w:val="22"/>
          <w:szCs w:val="22"/>
        </w:rPr>
        <w:t xml:space="preserve">tyto </w:t>
      </w:r>
      <w:r w:rsidRPr="004E1011">
        <w:rPr>
          <w:rFonts w:ascii="Tahoma" w:hAnsi="Tahoma" w:cs="Tahoma"/>
          <w:sz w:val="22"/>
          <w:szCs w:val="22"/>
        </w:rPr>
        <w:t>osob</w:t>
      </w:r>
      <w:r w:rsidRPr="004E1011" w:rsidR="009765C4">
        <w:rPr>
          <w:rFonts w:ascii="Tahoma" w:hAnsi="Tahoma" w:cs="Tahoma"/>
          <w:sz w:val="22"/>
          <w:szCs w:val="22"/>
        </w:rPr>
        <w:t>y</w:t>
      </w:r>
      <w:r w:rsidRPr="004E1011">
        <w:rPr>
          <w:rFonts w:ascii="Tahoma" w:hAnsi="Tahoma" w:cs="Tahoma"/>
          <w:sz w:val="22"/>
          <w:szCs w:val="22"/>
        </w:rPr>
        <w:t xml:space="preserve">: </w:t>
      </w:r>
    </w:p>
    <w:p w:rsidR="00E51CA5" w:rsidRPr="004E1011" w:rsidP="00E51CA5" w14:paraId="7B2977C9" w14:textId="0743830C">
      <w:pPr>
        <w:pStyle w:val="ListParagraph"/>
        <w:numPr>
          <w:ilvl w:val="0"/>
          <w:numId w:val="32"/>
        </w:numPr>
        <w:spacing w:after="120" w:line="240" w:lineRule="auto"/>
        <w:rPr>
          <w:rFonts w:ascii="Tahoma" w:hAnsi="Tahoma" w:cs="Tahoma"/>
          <w:sz w:val="22"/>
          <w:szCs w:val="22"/>
        </w:rPr>
      </w:pPr>
      <w:r>
        <w:rPr>
          <w:rStyle w:val="StylStylNormlnSmlouva11bTunChar"/>
          <w:sz w:val="22"/>
          <w:szCs w:val="22"/>
        </w:rPr>
        <w:t>XXXXX, e-mail: XXXXX, tel.: XXXXX</w:t>
      </w:r>
    </w:p>
    <w:p w:rsidR="00293CF9" w:rsidRPr="004E1011" w:rsidP="009765C4" w14:paraId="4F076EFB" w14:textId="6CA951CB">
      <w:pPr>
        <w:pStyle w:val="ListParagraph"/>
        <w:numPr>
          <w:ilvl w:val="0"/>
          <w:numId w:val="14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Změna výše uvedených osob musí být provedena na základě písemného oznámení druhé smluvní straně</w:t>
      </w:r>
      <w:r w:rsidRPr="004E1011" w:rsidR="009765C4">
        <w:rPr>
          <w:rFonts w:ascii="Tahoma" w:hAnsi="Tahoma" w:cs="Tahoma"/>
          <w:sz w:val="22"/>
          <w:szCs w:val="22"/>
        </w:rPr>
        <w:t xml:space="preserve"> učiněné statutárním orgánem</w:t>
      </w:r>
      <w:r w:rsidRPr="004E1011" w:rsidR="00AD1886">
        <w:rPr>
          <w:rFonts w:ascii="Tahoma" w:hAnsi="Tahoma" w:cs="Tahoma"/>
          <w:sz w:val="22"/>
          <w:szCs w:val="22"/>
        </w:rPr>
        <w:t xml:space="preserve"> smluvní strany</w:t>
      </w:r>
      <w:r w:rsidRPr="004E1011" w:rsidR="009765C4">
        <w:rPr>
          <w:rFonts w:ascii="Tahoma" w:hAnsi="Tahoma" w:cs="Tahoma"/>
          <w:sz w:val="22"/>
          <w:szCs w:val="22"/>
        </w:rPr>
        <w:t xml:space="preserve">, a to bez nutnosti uzavírat dodatek </w:t>
      </w:r>
      <w:r w:rsidRPr="004E1011" w:rsidR="004E1011">
        <w:rPr>
          <w:rFonts w:ascii="Tahoma" w:hAnsi="Tahoma" w:cs="Tahoma"/>
          <w:sz w:val="22"/>
          <w:szCs w:val="22"/>
        </w:rPr>
        <w:t>S</w:t>
      </w:r>
      <w:r w:rsidRPr="004E1011" w:rsidR="009765C4">
        <w:rPr>
          <w:rFonts w:ascii="Tahoma" w:hAnsi="Tahoma" w:cs="Tahoma"/>
          <w:sz w:val="22"/>
          <w:szCs w:val="22"/>
        </w:rPr>
        <w:t>mlouvy.</w:t>
      </w:r>
    </w:p>
    <w:p w:rsidR="00293CF9" w:rsidRPr="004E1011" w:rsidP="009765C4" w14:paraId="6B39836D" w14:textId="353F42F9">
      <w:pPr>
        <w:pStyle w:val="ListParagraph"/>
        <w:numPr>
          <w:ilvl w:val="0"/>
          <w:numId w:val="14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Výše uvedenými ujednáními není dotčeno právo statutárního orgánu </w:t>
      </w:r>
      <w:r w:rsidRPr="004E1011" w:rsidR="00AD1886">
        <w:rPr>
          <w:rFonts w:ascii="Tahoma" w:hAnsi="Tahoma" w:cs="Tahoma"/>
          <w:sz w:val="22"/>
          <w:szCs w:val="22"/>
        </w:rPr>
        <w:t xml:space="preserve">smluvní strany </w:t>
      </w:r>
      <w:r w:rsidRPr="004E1011">
        <w:rPr>
          <w:rFonts w:ascii="Tahoma" w:hAnsi="Tahoma" w:cs="Tahoma"/>
          <w:sz w:val="22"/>
          <w:szCs w:val="22"/>
        </w:rPr>
        <w:t>nebo jiného orgánu jednat za právnickou osobu.</w:t>
      </w:r>
    </w:p>
    <w:p w:rsidR="004E1011" w:rsidRPr="004E1011" w:rsidP="004E1011" w14:paraId="56F91CBA" w14:textId="77777777">
      <w:pPr>
        <w:pStyle w:val="ListParagraph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</w:p>
    <w:p w:rsidR="00293CF9" w:rsidRPr="004E1011" w:rsidP="00293CF9" w14:paraId="1873CA30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Článek </w:t>
      </w:r>
      <w:r w:rsidRPr="004E1011" w:rsidR="009765C4">
        <w:rPr>
          <w:rFonts w:ascii="Tahoma" w:hAnsi="Tahoma" w:cs="Tahoma"/>
          <w:sz w:val="22"/>
          <w:szCs w:val="22"/>
        </w:rPr>
        <w:t>VIII</w:t>
      </w:r>
    </w:p>
    <w:p w:rsidR="00293CF9" w:rsidRPr="004E1011" w:rsidP="00293CF9" w14:paraId="2D2041F8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Závěrečné ujednání</w:t>
      </w:r>
    </w:p>
    <w:p w:rsidR="00293CF9" w:rsidRPr="004E1011" w:rsidP="00E52020" w14:paraId="498F9937" w14:textId="4689C9FF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Veškeré změny S</w:t>
      </w:r>
      <w:r w:rsidRPr="004E1011">
        <w:rPr>
          <w:rFonts w:ascii="Tahoma" w:hAnsi="Tahoma" w:cs="Tahoma"/>
          <w:sz w:val="22"/>
          <w:szCs w:val="22"/>
        </w:rPr>
        <w:t>mlouvy lze provést pouze formou písemných dodatků odsouhlasených oběma smluvními stranami</w:t>
      </w:r>
      <w:r w:rsidRPr="004E1011">
        <w:rPr>
          <w:rFonts w:ascii="Tahoma" w:hAnsi="Tahoma" w:cs="Tahoma"/>
          <w:sz w:val="22"/>
          <w:szCs w:val="22"/>
        </w:rPr>
        <w:t>, pokud S</w:t>
      </w:r>
      <w:r w:rsidRPr="004E1011" w:rsidR="00021ED7">
        <w:rPr>
          <w:rFonts w:ascii="Tahoma" w:hAnsi="Tahoma" w:cs="Tahoma"/>
          <w:sz w:val="22"/>
          <w:szCs w:val="22"/>
        </w:rPr>
        <w:t>mlouva nestanoví jinak</w:t>
      </w:r>
      <w:r w:rsidRPr="004E1011">
        <w:rPr>
          <w:rFonts w:ascii="Tahoma" w:hAnsi="Tahoma" w:cs="Tahoma"/>
          <w:sz w:val="22"/>
          <w:szCs w:val="22"/>
        </w:rPr>
        <w:t>.</w:t>
      </w:r>
    </w:p>
    <w:p w:rsidR="00293CF9" w:rsidRPr="004E1011" w:rsidP="00E52020" w14:paraId="24F5AFD2" w14:textId="775AB3B1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>mlouva se uzavírá v listinné podobě a je vyhotovena ve dvou stej</w:t>
      </w:r>
      <w:r w:rsidRPr="004E1011">
        <w:rPr>
          <w:rFonts w:ascii="Tahoma" w:hAnsi="Tahoma" w:cs="Tahoma"/>
          <w:sz w:val="22"/>
          <w:szCs w:val="22"/>
        </w:rPr>
        <w:t>nopisech, z nichž jeden obdrží O</w:t>
      </w:r>
      <w:r w:rsidRPr="004E1011">
        <w:rPr>
          <w:rFonts w:ascii="Tahoma" w:hAnsi="Tahoma" w:cs="Tahoma"/>
          <w:sz w:val="22"/>
          <w:szCs w:val="22"/>
        </w:rPr>
        <w:t xml:space="preserve">bjednatel a jeden </w:t>
      </w:r>
      <w:r w:rsidRPr="004E1011">
        <w:rPr>
          <w:rFonts w:ascii="Tahoma" w:hAnsi="Tahoma" w:cs="Tahoma"/>
          <w:sz w:val="22"/>
          <w:szCs w:val="22"/>
        </w:rPr>
        <w:t>Z</w:t>
      </w:r>
      <w:r w:rsidRPr="004E1011">
        <w:rPr>
          <w:rFonts w:ascii="Tahoma" w:hAnsi="Tahoma" w:cs="Tahoma"/>
          <w:sz w:val="22"/>
          <w:szCs w:val="22"/>
        </w:rPr>
        <w:t>hotovitel.</w:t>
      </w:r>
    </w:p>
    <w:p w:rsidR="00293CF9" w:rsidRPr="004E1011" w:rsidP="00E52020" w14:paraId="0066C0CB" w14:textId="77777777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Zhotovitel je podle ustanovení § 2 písm. e) zákona č. 320/2001 Sb., o finanční kontrole ve veřejné správě a o změně některých zákonů, ve znění pozdějších předpisů (zákon o finanční kontrole), osobou povinou spolupůsobit při výkonu finanční kontroly prováděné v souvislosti s úhradou zboží nebo služeb z veřejných výdajů.</w:t>
      </w:r>
    </w:p>
    <w:p w:rsidR="00293CF9" w:rsidRPr="004E1011" w:rsidP="00E52020" w14:paraId="00FED363" w14:textId="44C438FE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Smluvní stran</w:t>
      </w:r>
      <w:r w:rsidRPr="004E1011" w:rsidR="004E1011">
        <w:rPr>
          <w:rFonts w:ascii="Tahoma" w:hAnsi="Tahoma" w:cs="Tahoma"/>
          <w:sz w:val="22"/>
          <w:szCs w:val="22"/>
        </w:rPr>
        <w:t>y se dohodly, že se S</w:t>
      </w:r>
      <w:r w:rsidRPr="004E1011">
        <w:rPr>
          <w:rFonts w:ascii="Tahoma" w:hAnsi="Tahoma" w:cs="Tahoma"/>
          <w:sz w:val="22"/>
          <w:szCs w:val="22"/>
        </w:rPr>
        <w:t xml:space="preserve">mlouva, a vztahy z ní vyplývající, řídí ustanoveními občanského zákoníku, </w:t>
      </w:r>
      <w:r w:rsidRPr="004E1011" w:rsidR="00E52020">
        <w:rPr>
          <w:rFonts w:ascii="Tahoma" w:hAnsi="Tahoma" w:cs="Tahoma"/>
          <w:sz w:val="22"/>
          <w:szCs w:val="22"/>
        </w:rPr>
        <w:t>ve znění pozdějších předpisů.</w:t>
      </w:r>
    </w:p>
    <w:p w:rsidR="00E52020" w:rsidRPr="004E1011" w:rsidP="00E52020" w14:paraId="4B0033D0" w14:textId="75378EAF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Pokud ja</w:t>
      </w:r>
      <w:r w:rsidRPr="004E1011" w:rsidR="004E1011">
        <w:rPr>
          <w:rFonts w:ascii="Tahoma" w:hAnsi="Tahoma" w:cs="Tahoma"/>
          <w:sz w:val="22"/>
          <w:szCs w:val="22"/>
        </w:rPr>
        <w:t>kákoliv část závazku podle S</w:t>
      </w:r>
      <w:r w:rsidRPr="004E1011">
        <w:rPr>
          <w:rFonts w:ascii="Tahoma" w:hAnsi="Tahoma" w:cs="Tahoma"/>
          <w:sz w:val="22"/>
          <w:szCs w:val="22"/>
        </w:rPr>
        <w:t>mlouvy je nebo se stane neplatnou, nevymahatelnou, zdánlivou (nicotnou), posoudí se v</w:t>
      </w:r>
      <w:r w:rsidR="00CC67D8">
        <w:rPr>
          <w:rFonts w:ascii="Tahoma" w:hAnsi="Tahoma" w:cs="Tahoma"/>
          <w:sz w:val="22"/>
          <w:szCs w:val="22"/>
        </w:rPr>
        <w:t>liv takového ustanovení S</w:t>
      </w:r>
      <w:r w:rsidRPr="004E1011">
        <w:rPr>
          <w:rFonts w:ascii="Tahoma" w:hAnsi="Tahoma" w:cs="Tahoma"/>
          <w:sz w:val="22"/>
          <w:szCs w:val="22"/>
        </w:rPr>
        <w:t>mlouvy obdobně podle § 576 občanského zákoníku.</w:t>
      </w:r>
    </w:p>
    <w:p w:rsidR="00293CF9" w:rsidRPr="004E1011" w:rsidP="00E52020" w14:paraId="61D09946" w14:textId="36E40ED0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 xml:space="preserve">mlouva nabývá </w:t>
      </w:r>
      <w:r w:rsidRPr="004E1011" w:rsidR="00E52020">
        <w:rPr>
          <w:rFonts w:ascii="Tahoma" w:hAnsi="Tahoma" w:cs="Tahoma"/>
          <w:sz w:val="22"/>
          <w:szCs w:val="22"/>
        </w:rPr>
        <w:t xml:space="preserve">platnosti podpisem poslední ze smluvních stran a </w:t>
      </w:r>
      <w:r w:rsidRPr="004E1011">
        <w:rPr>
          <w:rFonts w:ascii="Tahoma" w:hAnsi="Tahoma" w:cs="Tahoma"/>
          <w:sz w:val="22"/>
          <w:szCs w:val="22"/>
        </w:rPr>
        <w:t>účinnosti dnem uveřejnění v registru smluv. Smluvní strany se dohodly, že v souladu se zákonem č. 340/2015 Sb., o zvláštních podmínkách účinnosti některých smluv, uveřejňování těchto smluv a o registru smluv (zákon o</w:t>
      </w:r>
      <w:r w:rsidRPr="004E1011" w:rsidR="00A90F70">
        <w:rPr>
          <w:rFonts w:ascii="Tahoma" w:hAnsi="Tahoma" w:cs="Tahoma"/>
          <w:sz w:val="22"/>
          <w:szCs w:val="22"/>
        </w:rPr>
        <w:t> </w:t>
      </w:r>
      <w:r w:rsidRPr="004E1011">
        <w:rPr>
          <w:rFonts w:ascii="Tahoma" w:hAnsi="Tahoma" w:cs="Tahoma"/>
          <w:sz w:val="22"/>
          <w:szCs w:val="22"/>
        </w:rPr>
        <w:t xml:space="preserve">registru smluv), ve znění pozdějších předpisů, </w:t>
      </w:r>
      <w:r w:rsidRPr="004E1011">
        <w:rPr>
          <w:rFonts w:ascii="Tahoma" w:hAnsi="Tahoma" w:cs="Tahoma"/>
          <w:sz w:val="22"/>
          <w:szCs w:val="22"/>
        </w:rPr>
        <w:t>uveřejní S</w:t>
      </w:r>
      <w:r w:rsidRPr="004E1011">
        <w:rPr>
          <w:rFonts w:ascii="Tahoma" w:hAnsi="Tahoma" w:cs="Tahoma"/>
          <w:sz w:val="22"/>
          <w:szCs w:val="22"/>
        </w:rPr>
        <w:t xml:space="preserve">mlouvu v registru smluv </w:t>
      </w:r>
      <w:r w:rsidRPr="004E1011">
        <w:rPr>
          <w:rFonts w:ascii="Tahoma" w:hAnsi="Tahoma" w:cs="Tahoma"/>
          <w:sz w:val="22"/>
          <w:szCs w:val="22"/>
        </w:rPr>
        <w:t>O</w:t>
      </w:r>
      <w:r w:rsidRPr="004E1011" w:rsidR="00E52020">
        <w:rPr>
          <w:rFonts w:ascii="Tahoma" w:hAnsi="Tahoma" w:cs="Tahoma"/>
          <w:sz w:val="22"/>
          <w:szCs w:val="22"/>
        </w:rPr>
        <w:t>bjednatel.</w:t>
      </w:r>
    </w:p>
    <w:p w:rsidR="00293CF9" w:rsidRPr="004E1011" w:rsidP="00E52020" w14:paraId="1A95085F" w14:textId="30C488A4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Z</w:t>
      </w:r>
      <w:r w:rsidRPr="004E1011">
        <w:rPr>
          <w:rFonts w:ascii="Tahoma" w:hAnsi="Tahoma" w:cs="Tahoma"/>
          <w:sz w:val="22"/>
          <w:szCs w:val="22"/>
        </w:rPr>
        <w:t>hotovitel není oprávněn postoupit pohledávky vyplývají</w:t>
      </w:r>
      <w:r w:rsidR="00CC67D8">
        <w:rPr>
          <w:rFonts w:ascii="Tahoma" w:hAnsi="Tahoma" w:cs="Tahoma"/>
          <w:sz w:val="22"/>
          <w:szCs w:val="22"/>
        </w:rPr>
        <w:t>cí ze S</w:t>
      </w:r>
      <w:r w:rsidRPr="004E1011">
        <w:rPr>
          <w:rFonts w:ascii="Tahoma" w:hAnsi="Tahoma" w:cs="Tahoma"/>
          <w:sz w:val="22"/>
          <w:szCs w:val="22"/>
        </w:rPr>
        <w:t>mlouvy bez předchozího písemného souhlasu druhé smluvní strany.</w:t>
      </w:r>
    </w:p>
    <w:p w:rsidR="00293CF9" w:rsidRPr="004E1011" w:rsidP="00E52020" w14:paraId="626ED43D" w14:textId="1198A0EF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Smluvní strany prohlaš</w:t>
      </w:r>
      <w:r w:rsidR="00CC67D8">
        <w:rPr>
          <w:rFonts w:ascii="Tahoma" w:hAnsi="Tahoma" w:cs="Tahoma"/>
          <w:sz w:val="22"/>
          <w:szCs w:val="22"/>
        </w:rPr>
        <w:t>ují, že je jim znám celý obsah S</w:t>
      </w:r>
      <w:r w:rsidRPr="004E1011">
        <w:rPr>
          <w:rFonts w:ascii="Tahoma" w:hAnsi="Tahoma" w:cs="Tahoma"/>
          <w:sz w:val="22"/>
          <w:szCs w:val="22"/>
        </w:rPr>
        <w:t xml:space="preserve">mlouvy a že </w:t>
      </w:r>
      <w:r w:rsidR="00CC67D8">
        <w:rPr>
          <w:rFonts w:ascii="Tahoma" w:hAnsi="Tahoma" w:cs="Tahoma"/>
          <w:sz w:val="22"/>
          <w:szCs w:val="22"/>
        </w:rPr>
        <w:t>S</w:t>
      </w:r>
      <w:r w:rsidRPr="004E1011">
        <w:rPr>
          <w:rFonts w:ascii="Tahoma" w:hAnsi="Tahoma" w:cs="Tahoma"/>
          <w:sz w:val="22"/>
          <w:szCs w:val="22"/>
        </w:rPr>
        <w:t>mlouvu uzavřely na základě své svobodné a vážné vůle. Na důkaz této skutečnosti připojují své podpisy.</w:t>
      </w:r>
    </w:p>
    <w:p w:rsidR="00833B10" w:rsidRPr="004E1011" w:rsidP="00E52020" w14:paraId="4079BEED" w14:textId="17CD298B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Nedíln</w:t>
      </w:r>
      <w:r w:rsidR="00CC67D8">
        <w:rPr>
          <w:rFonts w:ascii="Tahoma" w:hAnsi="Tahoma" w:cs="Tahoma"/>
          <w:sz w:val="22"/>
          <w:szCs w:val="22"/>
        </w:rPr>
        <w:t>ou součástí S</w:t>
      </w:r>
      <w:r w:rsidRPr="004E1011">
        <w:rPr>
          <w:rFonts w:ascii="Tahoma" w:hAnsi="Tahoma" w:cs="Tahoma"/>
          <w:sz w:val="22"/>
          <w:szCs w:val="22"/>
        </w:rPr>
        <w:t>mlouvy j</w:t>
      </w:r>
      <w:r w:rsidRPr="004E1011">
        <w:rPr>
          <w:rFonts w:ascii="Tahoma" w:hAnsi="Tahoma" w:cs="Tahoma"/>
          <w:sz w:val="22"/>
          <w:szCs w:val="22"/>
        </w:rPr>
        <w:t>sou:</w:t>
      </w:r>
      <w:r w:rsidRPr="004E1011">
        <w:rPr>
          <w:rFonts w:ascii="Tahoma" w:hAnsi="Tahoma" w:cs="Tahoma"/>
          <w:sz w:val="22"/>
          <w:szCs w:val="22"/>
        </w:rPr>
        <w:t xml:space="preserve"> </w:t>
      </w:r>
    </w:p>
    <w:p w:rsidR="00E52020" w:rsidRPr="004E1011" w:rsidP="00833B10" w14:paraId="50D11D0C" w14:textId="2B614E43">
      <w:pPr>
        <w:pStyle w:val="ListParagraph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 xml:space="preserve">Příloha č. 1 </w:t>
      </w:r>
      <w:r w:rsidRPr="004E1011" w:rsidR="00833B10">
        <w:rPr>
          <w:rFonts w:ascii="Tahoma" w:hAnsi="Tahoma" w:cs="Tahoma"/>
          <w:sz w:val="22"/>
          <w:szCs w:val="22"/>
        </w:rPr>
        <w:t>P</w:t>
      </w:r>
      <w:r w:rsidRPr="004E1011">
        <w:rPr>
          <w:rFonts w:ascii="Tahoma" w:hAnsi="Tahoma" w:cs="Tahoma"/>
          <w:sz w:val="22"/>
          <w:szCs w:val="22"/>
        </w:rPr>
        <w:t>odrobn</w:t>
      </w:r>
      <w:r w:rsidRPr="004E1011" w:rsidR="00833B10">
        <w:rPr>
          <w:rFonts w:ascii="Tahoma" w:hAnsi="Tahoma" w:cs="Tahoma"/>
          <w:sz w:val="22"/>
          <w:szCs w:val="22"/>
        </w:rPr>
        <w:t>á</w:t>
      </w:r>
      <w:r w:rsidRPr="004E1011">
        <w:rPr>
          <w:rFonts w:ascii="Tahoma" w:hAnsi="Tahoma" w:cs="Tahoma"/>
          <w:sz w:val="22"/>
          <w:szCs w:val="22"/>
        </w:rPr>
        <w:t xml:space="preserve"> specifikace díla včetně požadavků objednatele na dílo</w:t>
      </w:r>
    </w:p>
    <w:p w:rsidR="00833B10" w:rsidRPr="004E1011" w:rsidP="00833B10" w14:paraId="6A7B8D3C" w14:textId="5A1DD37A">
      <w:pPr>
        <w:pStyle w:val="ListParagraph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  <w:r w:rsidRPr="004E1011">
        <w:rPr>
          <w:rFonts w:ascii="Tahoma" w:hAnsi="Tahoma" w:cs="Tahoma"/>
          <w:sz w:val="22"/>
          <w:szCs w:val="22"/>
        </w:rPr>
        <w:t>Příloha č. 2 Seznam osob odpovědných za realizaci díla</w:t>
      </w:r>
    </w:p>
    <w:p w:rsidR="00293CF9" w:rsidRPr="004E1011" w:rsidP="00293CF9" w14:paraId="01543CFD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293CF9" w:rsidRPr="004E1011" w:rsidP="00293CF9" w14:paraId="17B47168" w14:textId="77777777">
      <w:pPr>
        <w:pStyle w:val="BodyText"/>
        <w:widowControl w:val="0"/>
        <w:spacing w:after="120"/>
        <w:contextualSpacing/>
        <w:rPr>
          <w:rFonts w:ascii="Tahoma" w:hAnsi="Tahoma" w:cs="Tahoma"/>
          <w:szCs w:val="22"/>
        </w:rPr>
      </w:pPr>
      <w:r w:rsidRPr="004E1011">
        <w:rPr>
          <w:rFonts w:ascii="Tahoma" w:hAnsi="Tahoma" w:cs="Tahoma"/>
          <w:szCs w:val="22"/>
        </w:rPr>
        <w:t>Zhotovitel:</w:t>
      </w:r>
      <w:r w:rsidRPr="004E1011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tab/>
        <w:t>Objednatel:</w:t>
      </w:r>
    </w:p>
    <w:p w:rsidR="00293CF9" w:rsidRPr="004E1011" w:rsidP="00293CF9" w14:paraId="006F5ECE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293CF9" w:rsidRPr="004E1011" w:rsidP="00293CF9" w14:paraId="4B94B068" w14:textId="37D34556">
      <w:pPr>
        <w:pStyle w:val="BodyText"/>
        <w:widowControl w:val="0"/>
        <w:spacing w:after="120"/>
        <w:contextualSpacing/>
        <w:rPr>
          <w:rFonts w:ascii="Tahoma" w:hAnsi="Tahoma" w:cs="Tahoma"/>
          <w:szCs w:val="22"/>
        </w:rPr>
      </w:pPr>
      <w:r w:rsidRPr="004E1011">
        <w:rPr>
          <w:rFonts w:ascii="Tahoma" w:hAnsi="Tahoma" w:cs="Tahoma"/>
          <w:szCs w:val="22"/>
        </w:rPr>
        <w:t>V </w:t>
      </w:r>
      <w:r w:rsidR="003504B0">
        <w:rPr>
          <w:rFonts w:ascii="Tahoma" w:hAnsi="Tahoma" w:cs="Tahoma"/>
          <w:szCs w:val="22"/>
        </w:rPr>
        <w:t>Buštěhradu</w:t>
      </w:r>
      <w:r w:rsidRPr="004E1011">
        <w:rPr>
          <w:rFonts w:ascii="Tahoma" w:hAnsi="Tahoma" w:cs="Tahoma"/>
          <w:szCs w:val="22"/>
        </w:rPr>
        <w:t xml:space="preserve"> dne </w:t>
      </w:r>
      <w:r w:rsidR="003504B0">
        <w:rPr>
          <w:rFonts w:ascii="Tahoma" w:hAnsi="Tahoma" w:cs="Tahoma"/>
          <w:szCs w:val="22"/>
        </w:rPr>
        <w:t>6.6.2026</w:t>
      </w:r>
      <w:r w:rsidR="003504B0">
        <w:rPr>
          <w:rFonts w:ascii="Tahoma" w:hAnsi="Tahoma" w:cs="Tahoma"/>
          <w:szCs w:val="22"/>
        </w:rPr>
        <w:tab/>
      </w:r>
      <w:r w:rsidR="003504B0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tab/>
        <w:t xml:space="preserve">V Praze dne </w:t>
      </w:r>
      <w:r w:rsidR="004B1F1C">
        <w:rPr>
          <w:rFonts w:ascii="Tahoma" w:hAnsi="Tahoma" w:cs="Tahoma"/>
          <w:szCs w:val="22"/>
        </w:rPr>
        <w:t>13.6.2024</w:t>
      </w:r>
    </w:p>
    <w:p w:rsidR="00293CF9" w:rsidRPr="004E1011" w:rsidP="00293CF9" w14:paraId="22406462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293CF9" w:rsidRPr="004E1011" w:rsidP="00293CF9" w14:paraId="1B57BBBA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293CF9" w:rsidP="00293CF9" w14:paraId="0FC983EC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C46074" w:rsidP="00293CF9" w14:paraId="4CA504C2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C46074" w:rsidRPr="004E1011" w:rsidP="00293CF9" w14:paraId="33524D65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B4673E" w:rsidRPr="004E1011" w:rsidP="00021ED7" w14:paraId="353579FD" w14:textId="3082BDF5">
      <w:pPr>
        <w:pStyle w:val="BodyText"/>
        <w:widowControl w:val="0"/>
        <w:spacing w:after="120"/>
        <w:contextualSpacing/>
        <w:rPr>
          <w:rFonts w:ascii="Tahoma" w:hAnsi="Tahoma" w:cs="Tahoma"/>
          <w:szCs w:val="22"/>
        </w:rPr>
        <w:sectPr w:rsidSect="00852030">
          <w:footerReference w:type="even" r:id="rId5"/>
          <w:footerReference w:type="default" r:id="rId6"/>
          <w:footerReference w:type="first" r:id="rId7"/>
          <w:endnotePr>
            <w:numFmt w:val="decimal"/>
          </w:endnotePr>
          <w:pgSz w:w="12240" w:h="15840"/>
          <w:pgMar w:top="1134" w:right="1080" w:bottom="1417" w:left="1080" w:header="708" w:footer="708" w:gutter="0"/>
          <w:cols w:space="708"/>
          <w:noEndnote/>
          <w:titlePg/>
        </w:sectPr>
      </w:pPr>
      <w:r w:rsidRPr="004E1011">
        <w:rPr>
          <w:rFonts w:ascii="Tahoma" w:hAnsi="Tahoma" w:cs="Tahoma"/>
          <w:szCs w:val="22"/>
        </w:rPr>
        <w:t>……………………………………</w:t>
      </w:r>
      <w:r w:rsidRPr="004E1011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tab/>
        <w:t>………………………………………………</w:t>
      </w:r>
      <w:r w:rsidRPr="004E1011">
        <w:rPr>
          <w:rFonts w:ascii="Tahoma" w:hAnsi="Tahoma" w:cs="Tahoma"/>
          <w:szCs w:val="22"/>
        </w:rPr>
        <w:tab/>
      </w:r>
      <w:r w:rsidRPr="004E1011">
        <w:rPr>
          <w:rFonts w:ascii="Tahoma" w:hAnsi="Tahoma" w:cs="Tahoma"/>
          <w:szCs w:val="22"/>
        </w:rPr>
        <w:br w:type="page"/>
      </w:r>
    </w:p>
    <w:p w:rsidR="00756971" w:rsidP="00E57D30" w14:paraId="280526AB" w14:textId="77777777">
      <w:pPr>
        <w:spacing w:after="60" w:line="240" w:lineRule="auto"/>
        <w:jc w:val="center"/>
        <w:rPr>
          <w:rFonts w:ascii="Tahoma" w:hAnsi="Tahoma" w:cs="Tahoma"/>
          <w:sz w:val="22"/>
          <w:szCs w:val="22"/>
        </w:rPr>
      </w:pPr>
    </w:p>
    <w:p w:rsidR="008F6AFD" w:rsidRPr="008F6AFD" w:rsidP="008F6AFD" w14:paraId="0182EDE3" w14:textId="67070D69">
      <w:pPr>
        <w:spacing w:after="60"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Podrobná specifikace díla včetně požadavku objednatele na dílo</w:t>
      </w:r>
    </w:p>
    <w:p w:rsidR="008F6AFD" w:rsidRPr="008F6AFD" w:rsidP="008F6AFD" w14:paraId="16ECC614" w14:textId="77777777">
      <w:pPr>
        <w:spacing w:after="60" w:line="240" w:lineRule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Dodavatel na vlastní náklady a nebezpečí poskytovat Zadavateli řádně a včas a za sjednanou cenu služby jejichž výsledkem bude:</w:t>
      </w:r>
    </w:p>
    <w:p w:rsidR="008F6AFD" w:rsidRPr="008F6AFD" w:rsidP="008F6AFD" w14:paraId="1477B1FB" w14:textId="77777777">
      <w:pPr>
        <w:spacing w:after="60" w:line="240" w:lineRule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Návrh procesu hodnocení a hodnotících kritérií ke komponentě 2.10 – Dostupné bydlení pro potřeby hodnocení kvality projektů výstavby nebo koupě dostupných nájemních bytů</w:t>
      </w:r>
      <w:r w:rsidRPr="008F6AFD">
        <w:rPr>
          <w:rFonts w:ascii="Tahoma" w:hAnsi="Tahoma" w:cs="Tahoma"/>
          <w:sz w:val="22"/>
          <w:szCs w:val="22"/>
        </w:rPr>
        <w:t xml:space="preserve"> </w:t>
      </w:r>
      <w:r w:rsidRPr="008F6AFD">
        <w:rPr>
          <w:rFonts w:ascii="Tahoma" w:hAnsi="Tahoma" w:cs="Tahoma"/>
          <w:sz w:val="22"/>
          <w:szCs w:val="22"/>
        </w:rPr>
        <w:t xml:space="preserve">v následujícím rozsahu: </w:t>
      </w:r>
    </w:p>
    <w:p w:rsidR="008F6AFD" w:rsidRPr="008F6AFD" w:rsidP="008F6AFD" w14:paraId="4EF39874" w14:textId="77777777">
      <w:pPr>
        <w:spacing w:after="60" w:line="240" w:lineRule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Poskytovatel poskytne zadavateli poradenské služby v následujícím rozsahu: </w:t>
      </w:r>
    </w:p>
    <w:p w:rsidR="008F6AFD" w:rsidRPr="008F6AFD" w:rsidP="008F6AFD" w14:paraId="722C670D" w14:textId="77777777">
      <w:pPr>
        <w:pStyle w:val="ListParagraph"/>
        <w:widowControl/>
        <w:numPr>
          <w:ilvl w:val="0"/>
          <w:numId w:val="29"/>
        </w:numPr>
        <w:adjustRightInd/>
        <w:spacing w:after="60" w:line="240" w:lineRule="auto"/>
        <w:ind w:left="1077" w:hanging="357"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Návrh procesu hodnocení. Včetně návrhu vah jednotlivých kritérií / kategorií kritérií a zdrojů pro hodnocení (př. externí databáze, formuláře a přílohy v žádosti) a vč. návrhu formátu hodnocení, charakteru hodnotící komise/hodnotitelů atd. </w:t>
      </w:r>
    </w:p>
    <w:p w:rsidR="008F6AFD" w:rsidRPr="008F6AFD" w:rsidP="008F6AFD" w14:paraId="2C7A5C34" w14:textId="77777777">
      <w:pPr>
        <w:pStyle w:val="ListParagraph"/>
        <w:widowControl/>
        <w:numPr>
          <w:ilvl w:val="1"/>
          <w:numId w:val="29"/>
        </w:numPr>
        <w:adjustRightInd/>
        <w:spacing w:after="60" w:line="240" w:lineRule="auto"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Hodnocení bude navrženo ve dvou typech – 1. objektivní kritéria, 2. komisionálně hodnocená kritéria (subjektivní)</w:t>
      </w:r>
    </w:p>
    <w:p w:rsidR="008F6AFD" w:rsidRPr="008F6AFD" w:rsidP="008F6AFD" w14:paraId="6D3001BE" w14:textId="77777777">
      <w:pPr>
        <w:pStyle w:val="ListParagraph"/>
        <w:widowControl/>
        <w:numPr>
          <w:ilvl w:val="1"/>
          <w:numId w:val="29"/>
        </w:numPr>
        <w:adjustRightInd/>
        <w:spacing w:after="60" w:line="240" w:lineRule="auto"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Hodnocení bude upraveno pro tři způsoby vzniku dostupných bytů – novostavba bytového domu s dostupnými nájemními byty, změna dokončené stavby se vznikem dostupných nájemních bytů, koupě dostupných nájemních bytů</w:t>
      </w:r>
    </w:p>
    <w:p w:rsidR="008F6AFD" w:rsidRPr="008F6AFD" w:rsidP="008F6AFD" w14:paraId="65BFC178" w14:textId="77777777">
      <w:pPr>
        <w:pStyle w:val="ListParagraph"/>
        <w:widowControl/>
        <w:numPr>
          <w:ilvl w:val="1"/>
          <w:numId w:val="29"/>
        </w:numPr>
        <w:adjustRightInd/>
        <w:spacing w:after="60" w:line="240" w:lineRule="auto"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Hodnocení bude zohledňovat velikost posuzovaných projektů alespoň ve dvou velikostních kategoriích</w:t>
      </w:r>
    </w:p>
    <w:p w:rsidR="008F6AFD" w:rsidRPr="008F6AFD" w:rsidP="008F6AFD" w14:paraId="086E04B8" w14:textId="77777777">
      <w:pPr>
        <w:pStyle w:val="ListParagraph"/>
        <w:spacing w:after="60" w:line="240" w:lineRule="auto"/>
        <w:ind w:left="1800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projekty do 25 mil. Kč stavebních nákladů (včetně) a projekty nad 25 mil. Kč nákladů</w:t>
      </w:r>
    </w:p>
    <w:p w:rsidR="008F6AFD" w:rsidRPr="008F6AFD" w:rsidP="008F6AFD" w14:paraId="7FB7BE70" w14:textId="77777777">
      <w:pPr>
        <w:pStyle w:val="ListParagraph"/>
        <w:widowControl/>
        <w:numPr>
          <w:ilvl w:val="0"/>
          <w:numId w:val="29"/>
        </w:numPr>
        <w:adjustRightInd/>
        <w:spacing w:after="60" w:line="240" w:lineRule="auto"/>
        <w:ind w:left="1077" w:hanging="357"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Návrh hodnotících kritérií (evaluace kvality výstupu) ke komponentě 2.10 – Dostupné bydlení, a to mj. ve vazbě na plnění kritérií DNSH a v rozsahu 5ti kategorií (možné příklady za každou kategorii viz níže):</w:t>
      </w:r>
    </w:p>
    <w:p w:rsidR="008F6AFD" w:rsidRPr="008F6AFD" w:rsidP="008F6AFD" w14:paraId="4711C659" w14:textId="77777777">
      <w:pPr>
        <w:pStyle w:val="ListParagraph"/>
        <w:widowControl/>
        <w:numPr>
          <w:ilvl w:val="1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Kvalita návrhu – bude obsahovat vyhodnocení návrhu z pohledu:</w:t>
      </w:r>
    </w:p>
    <w:p w:rsidR="008F6AFD" w:rsidRPr="008F6AFD" w:rsidP="008F6AFD" w14:paraId="0FF32152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urbanistické řešení, </w:t>
      </w:r>
    </w:p>
    <w:p w:rsidR="008F6AFD" w:rsidRPr="008F6AFD" w:rsidP="008F6AFD" w14:paraId="7D520A39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architektonické řešení,</w:t>
      </w:r>
    </w:p>
    <w:p w:rsidR="008F6AFD" w:rsidRPr="008F6AFD" w:rsidP="008F6AFD" w14:paraId="4F5F18D4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zohlednění otázky péče o památkový fond, pokud se byt bude nacházet v památkové </w:t>
      </w:r>
    </w:p>
    <w:p w:rsidR="008F6AFD" w:rsidRPr="008F6AFD" w:rsidP="008F6AFD" w14:paraId="0E485B0E" w14:textId="77777777">
      <w:pPr>
        <w:pStyle w:val="ListParagraph"/>
        <w:widowControl/>
        <w:numPr>
          <w:ilvl w:val="1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Environmentální udržitelnost – bude obsahovat vyhodnocení návrhu z pohledu: </w:t>
      </w:r>
    </w:p>
    <w:p w:rsidR="008F6AFD" w:rsidRPr="008F6AFD" w:rsidP="008F6AFD" w14:paraId="08D9D9FE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zohlednění nákladů celého životního cyklu, preferující zachování šedé energie a preferující tudíž využití staršího stavebního fondu před novými konstrukcemi.</w:t>
      </w:r>
    </w:p>
    <w:p w:rsidR="008F6AFD" w:rsidRPr="008F6AFD" w:rsidP="008F6AFD" w14:paraId="288C97B4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zvýšení dostupnosti energeticky účinného nájemního bydlení; opatření typu pasivní/aktivní standard domu, zpětné získávání tepla, využití šedé vody, či např. zeleň na budově a pozemku, nad rámec požadovaný legislativou, budou v rámci hodnocení zvýhodněna, </w:t>
      </w:r>
    </w:p>
    <w:p w:rsidR="008F6AFD" w:rsidRPr="008F6AFD" w:rsidP="008F6AFD" w14:paraId="34A4913C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opatření na snižování energetické náročnosti budov (provozní i zabudované/šedé) a zvyšování výroby energie z obnovitelných zdrojů, energetické bezpečnosti</w:t>
      </w:r>
    </w:p>
    <w:p w:rsidR="008F6AFD" w:rsidRPr="008F6AFD" w:rsidP="008F6AFD" w14:paraId="28647128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minimalizace nároků na spotřebu energií a zdrojů při provozu stavby, </w:t>
      </w:r>
    </w:p>
    <w:p w:rsidR="008F6AFD" w:rsidRPr="008F6AFD" w:rsidP="008F6AFD" w14:paraId="3055D483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zohlednění zodpovědného společenského přístupu stavebníka k udržitelnému rozvoji a udržitelné výstavbě.</w:t>
      </w:r>
    </w:p>
    <w:p w:rsidR="008F6AFD" w:rsidRPr="008F6AFD" w:rsidP="008F6AFD" w14:paraId="67C67C48" w14:textId="77777777">
      <w:pPr>
        <w:pStyle w:val="ListParagraph"/>
        <w:widowControl/>
        <w:numPr>
          <w:ilvl w:val="1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Sociální udržitelnost </w:t>
      </w:r>
    </w:p>
    <w:p w:rsidR="008F6AFD" w:rsidRPr="008F6AFD" w:rsidP="008F6AFD" w14:paraId="449AB611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Upřesnění stavebního programu (tedy i mixu bytů) by mělo být připraveno formou participace s veřejností, resp. s cílovou skupinou obyvatel. Výhodou komunikace s veřejností při zadání konkrétního projektu stavby pro bydlení je možné definování různých forem společných a sdílených prostor, které mohou obyvatelům domu přinášet společenské i ekonomické benefity, podporující kvalitu bydlení i celkovou sociální kohezi. </w:t>
      </w:r>
    </w:p>
    <w:p w:rsidR="008F6AFD" w:rsidRPr="008F6AFD" w:rsidP="008F6AFD" w14:paraId="7E4770D4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posouzení místní potřeby vzniku projektu dostupného bydlení, a to formou sledování indexu dostupnosti. </w:t>
      </w:r>
    </w:p>
    <w:p w:rsidR="008F6AFD" w:rsidRPr="008F6AFD" w:rsidP="008F6AFD" w14:paraId="15C0803C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zohlednění umístění projektu v hospodářsky a sociálně ohroženém území či strukturálně postiženém regionu.</w:t>
      </w:r>
    </w:p>
    <w:p w:rsidR="008F6AFD" w:rsidRPr="008F6AFD" w:rsidP="008F6AFD" w14:paraId="15044428" w14:textId="77777777">
      <w:pPr>
        <w:pStyle w:val="ListParagraph"/>
        <w:widowControl/>
        <w:numPr>
          <w:ilvl w:val="1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Ekonomická udržitelnost:</w:t>
      </w:r>
    </w:p>
    <w:p w:rsidR="008F6AFD" w:rsidRPr="008F6AFD" w:rsidP="008F6AFD" w14:paraId="5FB77B83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posouzení nákladů na realizaci stavby a budoucích očekávaných nákladů spojených s provozem, dále na ekonomické zdraví subjektu žadatele o finanční prostředky (investora) a na vyhodnocení finanční a ekonomické analýzy, a to včetně NPV a IRR, včetně doložení pokrytí vlastní equity, případného rozdílu mezi způsobilými a nezpůsobilými položkami, vč. případného rozdílu mezi zvažovaným a zkalkulovaným nákladovým nájmem. </w:t>
      </w:r>
    </w:p>
    <w:p w:rsidR="008F6AFD" w:rsidRPr="008F6AFD" w:rsidP="008F6AFD" w14:paraId="1D0A2749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Při posuzování očekávaných nákladů spojených s provozem bytového objektu bude pozornost zaměřena na reálnost a úplnost nákladů a zda odpovídají nákladům na provoz pro potřeby nákladového nájemného budou stanoveného MMR. Přičemž předpokládané budoucí provozní náklady mohou být posuzovány jak z pohledu nákladů vlastníka projektu (provozovatele objektu bydlení), tak z pohledu uživatelů (nájemníků), kteří vedle úhrady dostupného nájemného ještě musí hradit náklady spojené s užíváním bytu (např. náklady na energie, vodné apod.). Právě kvalita a technické řešení návrhu projektu tyto, v budoucnu vynakládané prostředky, může ovlivnit. Toto posouzení umožní ověření, zda je navrhovaný projekt v souladu s 3E principy. </w:t>
      </w:r>
    </w:p>
    <w:p w:rsidR="008F6AFD" w:rsidRPr="008F6AFD" w:rsidP="008F6AFD" w14:paraId="2991D511" w14:textId="77777777">
      <w:pPr>
        <w:pStyle w:val="ListParagraph"/>
        <w:widowControl/>
        <w:numPr>
          <w:ilvl w:val="1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Proces (management) projektu – zaměří se primárně na hodnocení:</w:t>
      </w:r>
    </w:p>
    <w:p w:rsidR="008F6AFD" w:rsidRPr="008F6AFD" w:rsidP="008F6AFD" w14:paraId="5AA7B3D5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plánovaného způsobu organizace projektu v jeho předinvestinční, investiční i provozní fázi, rozdělení projektu do etap a aktivit, včetně náplně aktivit. Budou posouzeny zkušenosti žadatele s investičními projekty a zajištěním výběrových řízení a reálnost navrženého harmonogramu a lhůt.</w:t>
      </w:r>
    </w:p>
    <w:p w:rsidR="008F6AFD" w:rsidRPr="008F6AFD" w:rsidP="008F6AFD" w14:paraId="6EAAD73B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předinvestiční fáze (analýza potřeb, event. průzkum trhu, participace záměru s občanskou veřejností a jeho vyhodnocení ve vztahu ke klíčovým strategickým dokumentům stavebníka – především, jedná-li se o subjekt veřejné správy) jsou zásadní pro posouzení smysluplnosti projektu a stanovení jeho základních cílů a parametrů. </w:t>
      </w:r>
    </w:p>
    <w:p w:rsidR="008F6AFD" w:rsidRPr="008F6AFD" w:rsidP="008F6AFD" w14:paraId="2B0FDF02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připravenost na rizika (stavební, právní, organizační a dalších), která se mohou v průběhu realizace projektu vyskytnout. Jedná se identifikaci hlavních rizik projektu, ohodnocení jejich závažnosti a navržená opatření. </w:t>
      </w:r>
    </w:p>
    <w:p w:rsidR="008F6AFD" w:rsidRPr="008F6AFD" w:rsidP="008F6AFD" w14:paraId="1AEB0AD9" w14:textId="77777777">
      <w:pPr>
        <w:pStyle w:val="ListParagraph"/>
        <w:widowControl/>
        <w:numPr>
          <w:ilvl w:val="2"/>
          <w:numId w:val="29"/>
        </w:numPr>
        <w:adjustRightInd/>
        <w:spacing w:after="60" w:line="240" w:lineRule="auto"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zhodnocení schopnosti žadatele zajistit budoucí správu (včetně obsazování bytů nájemci) a provoz objektu.</w:t>
      </w:r>
    </w:p>
    <w:p w:rsidR="008F6AFD" w:rsidRPr="008F6AFD" w:rsidP="008F6AFD" w14:paraId="460BE65F" w14:textId="77777777">
      <w:pPr>
        <w:pStyle w:val="ListParagraph"/>
        <w:widowControl/>
        <w:numPr>
          <w:ilvl w:val="0"/>
          <w:numId w:val="29"/>
        </w:numPr>
        <w:adjustRightInd/>
        <w:spacing w:after="60" w:line="240" w:lineRule="auto"/>
        <w:ind w:left="1077" w:hanging="357"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Návrh „manuálu“ pro hodnotitele, kdy zadavatel počítá s minimálně 3 týmy hodnotitelů, kteří budou průběžně hodnotit došlé žádosti, vč. návrhu kvalifikačních požadavků na složení jednotlivých týmů; součástí plnění je zaškolení hodnotitelů</w:t>
      </w:r>
    </w:p>
    <w:p w:rsidR="008F6AFD" w:rsidRPr="008F6AFD" w:rsidP="008F6AFD" w14:paraId="5191A58D" w14:textId="77777777">
      <w:pPr>
        <w:pStyle w:val="ListParagraph"/>
        <w:widowControl/>
        <w:numPr>
          <w:ilvl w:val="0"/>
          <w:numId w:val="29"/>
        </w:numPr>
        <w:adjustRightInd/>
        <w:spacing w:after="60" w:line="240" w:lineRule="auto"/>
        <w:ind w:left="1077" w:hanging="357"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Zpracování příloh žádosti o podporu = požadovaný způsob doložení naplnění jednotlivých kritérií – například tabulková příloha pro doložení environmentální udržitelnosti atd.</w:t>
      </w:r>
    </w:p>
    <w:p w:rsidR="008F6AFD" w:rsidRPr="008F6AFD" w:rsidP="008F6AFD" w14:paraId="5B88E04C" w14:textId="77777777">
      <w:pPr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Zadavatel požaduje, aby poskytovatel zohlednil při poskytování svých služeb i níže uvedené principy a předpoklady:</w:t>
      </w:r>
    </w:p>
    <w:p w:rsidR="008F6AFD" w:rsidRPr="008F6AFD" w:rsidP="008F6AFD" w14:paraId="2D11A7CA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Kritéria je nutné nastavit tak, aby vyhověla parametrům podmínek dotačně úvěrového programu Dostupné bydlení, jehož znění Zadavatel poskytne Dodavateli před započetím realizace služby</w:t>
      </w:r>
    </w:p>
    <w:p w:rsidR="008F6AFD" w:rsidRPr="008F6AFD" w:rsidP="008F6AFD" w14:paraId="195EC49B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Hodnocení projektů podle kritérií nebude časově náročné, z důvodu krátké lhůty na posouzená a hodnocení projektů (hodnocení musí být dokončeno do dubna 2026). </w:t>
      </w:r>
    </w:p>
    <w:p w:rsidR="008F6AFD" w:rsidRPr="008F6AFD" w:rsidP="008F6AFD" w14:paraId="63A92814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Zohlednění faktu, že většina projektů již bude ve fází územního rozhodnutí nebo stavebního povolení, tudíž nebude snadné případně projekty upravit. </w:t>
      </w:r>
    </w:p>
    <w:p w:rsidR="008F6AFD" w:rsidRPr="008F6AFD" w:rsidP="008F6AFD" w14:paraId="6B7362D3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Zohlednění různých typů projektů podle způsobu vzniku dostupných bytů – koupě hotových bytů, novostavba bytového domu, stavební úprava nebytových prostor na byty, stavební úprava existujících bytů. </w:t>
      </w:r>
    </w:p>
    <w:p w:rsidR="008F6AFD" w:rsidRPr="008F6AFD" w:rsidP="008F6AFD" w14:paraId="44A33782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Průměrná velikost projektu v peněžním vyjádření je odhadována na 35 mil. Kč.</w:t>
      </w:r>
    </w:p>
    <w:p w:rsidR="008F6AFD" w:rsidRPr="008F6AFD" w:rsidP="008F6AFD" w14:paraId="44953DA2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Maximální velikost projektů bude 300 mil. Kč.</w:t>
      </w:r>
    </w:p>
    <w:p w:rsidR="008F6AFD" w:rsidRPr="008F6AFD" w:rsidP="008F6AFD" w14:paraId="2C6A4DAA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Důraz na stabilitu a dlouhodobé vlastnictví budovaného projektu.</w:t>
      </w:r>
    </w:p>
    <w:p w:rsidR="008F6AFD" w:rsidRPr="008F6AFD" w:rsidP="008F6AFD" w14:paraId="0532361F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Reflektovat podmínky různé velikostní kategorie žadatelů s ohledem na reálné možnosti menších žadatelů uspět v konkurenci velkých projektů</w:t>
      </w:r>
    </w:p>
    <w:p w:rsidR="008F6AFD" w:rsidRPr="008F6AFD" w:rsidP="008F6AFD" w14:paraId="7253020D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Poskytovatel provede konzultace navržených hodnotících kritérií se zástupci jednotlivých typů možných žadatelů – obce do 10 tisíc obyvatel, obce od 10 tisíc do 200 tis. obyvatel, velká města nad 200 tis. obyvatel, profesionální developeři, ostatní subjekty</w:t>
      </w:r>
      <w:r>
        <w:rPr>
          <w:rFonts w:ascii="Tahoma" w:hAnsi="Tahoma" w:cs="Tahoma"/>
          <w:sz w:val="22"/>
          <w:szCs w:val="22"/>
        </w:rPr>
        <w:footnoteReference w:id="2"/>
      </w:r>
      <w:r w:rsidRPr="008F6AFD">
        <w:rPr>
          <w:rFonts w:ascii="Tahoma" w:hAnsi="Tahoma" w:cs="Tahoma"/>
          <w:sz w:val="22"/>
          <w:szCs w:val="22"/>
        </w:rPr>
        <w:t xml:space="preserve"> (formou doložených konzultací).</w:t>
      </w:r>
    </w:p>
    <w:p w:rsidR="008F6AFD" w:rsidRPr="008F6AFD" w:rsidP="008F6AFD" w14:paraId="75828ECD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Hodnotící kritéria poskytovatel pilotně ověří na 3-5 existujících projektech, aby bylo ověřeno, že kvalitní objekty projdou. K ověření budou zvoleny reálné připravované projekty nebo existující projekty odpovídající kvality, které budou poskytnuty zadavatelem při podpisu smlouvy o dílo.</w:t>
      </w:r>
    </w:p>
    <w:p w:rsidR="008F6AFD" w:rsidRPr="008F6AFD" w:rsidP="008F6AFD" w14:paraId="2CAD45D6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Zohlednění podnětu na automatické přijetí / zvýhodnění v rámci hodnocení projektů prošlých výzvou NPO 4.1.3 do 2.10 (průchodnost pro projekty v 2.10; i s ohledem na druhou výzvu v 4.1.3, bude mít stejné podmínky jako první výzva).</w:t>
      </w:r>
    </w:p>
    <w:p w:rsidR="008F6AFD" w:rsidRPr="008F6AFD" w:rsidP="008F6AFD" w14:paraId="0E5CE3DC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Kritéria budou uvádět do praxe cíle z hlavních koncepčních materiálů (zjm. Politika architektury a stavební kultury, novela stavebního zákona atd.)</w:t>
      </w:r>
    </w:p>
    <w:p w:rsidR="008F6AFD" w:rsidRPr="008F6AFD" w:rsidP="008F6AFD" w14:paraId="1C9E1C7B" w14:textId="77777777">
      <w:pPr>
        <w:pStyle w:val="ListParagraph"/>
        <w:widowControl/>
        <w:numPr>
          <w:ilvl w:val="0"/>
          <w:numId w:val="30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Součástí provedení zakázky bude rovněž její projektový management a řízení.</w:t>
      </w:r>
    </w:p>
    <w:p w:rsidR="008F6AFD" w:rsidRPr="008F6AFD" w:rsidP="008F6AFD" w14:paraId="78B75EF1" w14:textId="77777777">
      <w:pPr>
        <w:pStyle w:val="ListParagraph"/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Kritéria i způsob hodnocení by měly být nastaveny tak, aby je bylo možné postupně doplňovat, event. upravovat s ohledem na získávané zkušenosti s prováděním výběru i snahu žadatele a přihlášené projekty postupně zlepšovat.</w:t>
      </w:r>
    </w:p>
    <w:p w:rsidR="008F6AFD" w:rsidRPr="008F6AFD" w:rsidP="008F6AFD" w14:paraId="2DC22F99" w14:textId="77777777">
      <w:pPr>
        <w:pStyle w:val="ListParagraph"/>
        <w:rPr>
          <w:rFonts w:ascii="Tahoma" w:hAnsi="Tahoma" w:cs="Tahoma"/>
          <w:sz w:val="22"/>
          <w:szCs w:val="22"/>
        </w:rPr>
      </w:pPr>
    </w:p>
    <w:p w:rsidR="008F6AFD" w:rsidRPr="008F6AFD" w:rsidP="008F6AFD" w14:paraId="0DA8D7BA" w14:textId="77777777">
      <w:pPr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Termíny plnění</w:t>
      </w:r>
    </w:p>
    <w:p w:rsidR="008F6AFD" w:rsidRPr="008F6AFD" w:rsidP="008F6AFD" w14:paraId="2168B790" w14:textId="77777777">
      <w:pPr>
        <w:pStyle w:val="ListParagraph"/>
        <w:widowControl/>
        <w:numPr>
          <w:ilvl w:val="0"/>
          <w:numId w:val="31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návrh sady kritérií </w:t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  <w:t>T</w:t>
      </w:r>
      <w:r>
        <w:rPr>
          <w:rFonts w:ascii="Tahoma" w:hAnsi="Tahoma" w:cs="Tahoma"/>
          <w:sz w:val="22"/>
          <w:szCs w:val="22"/>
        </w:rPr>
        <w:footnoteReference w:id="3"/>
      </w:r>
      <w:r w:rsidRPr="008F6AFD">
        <w:rPr>
          <w:rFonts w:ascii="Tahoma" w:hAnsi="Tahoma" w:cs="Tahoma"/>
          <w:sz w:val="22"/>
          <w:szCs w:val="22"/>
        </w:rPr>
        <w:t xml:space="preserve"> +30 dní</w:t>
      </w:r>
    </w:p>
    <w:p w:rsidR="008F6AFD" w:rsidRPr="008F6AFD" w:rsidP="008F6AFD" w14:paraId="4956E39B" w14:textId="77777777">
      <w:pPr>
        <w:pStyle w:val="ListParagraph"/>
        <w:widowControl/>
        <w:numPr>
          <w:ilvl w:val="0"/>
          <w:numId w:val="31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návrh způsobu hodnocení podle navržených kritérii</w:t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  <w:t>T +60 dní</w:t>
      </w:r>
    </w:p>
    <w:p w:rsidR="008F6AFD" w:rsidRPr="008F6AFD" w:rsidP="008F6AFD" w14:paraId="25669869" w14:textId="77777777">
      <w:pPr>
        <w:pStyle w:val="ListParagraph"/>
        <w:widowControl/>
        <w:numPr>
          <w:ilvl w:val="0"/>
          <w:numId w:val="31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zpracování příloh žádosti o podporu</w:t>
      </w:r>
      <w:r w:rsidRPr="008F6AFD">
        <w:rPr>
          <w:rFonts w:ascii="Tahoma" w:hAnsi="Tahoma" w:cs="Tahoma"/>
          <w:sz w:val="22"/>
          <w:szCs w:val="22"/>
        </w:rPr>
        <w:tab/>
        <w:t>potřebných pro hodnocení podle stanovených kritérií</w:t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  <w:t>T +90 dní</w:t>
      </w:r>
    </w:p>
    <w:p w:rsidR="008F6AFD" w:rsidRPr="008F6AFD" w:rsidP="008F6AFD" w14:paraId="6BF1CB95" w14:textId="77777777">
      <w:pPr>
        <w:pStyle w:val="ListParagraph"/>
        <w:widowControl/>
        <w:numPr>
          <w:ilvl w:val="0"/>
          <w:numId w:val="31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ověření navrženého způsobu hodnocení na 3-5 stavbách</w:t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  <w:t>T +90 dní</w:t>
      </w:r>
      <w:r w:rsidRPr="008F6AFD">
        <w:rPr>
          <w:rFonts w:ascii="Tahoma" w:hAnsi="Tahoma" w:cs="Tahoma"/>
          <w:sz w:val="22"/>
          <w:szCs w:val="22"/>
        </w:rPr>
        <w:t xml:space="preserve"> </w:t>
      </w:r>
    </w:p>
    <w:p w:rsidR="008F6AFD" w:rsidRPr="008F6AFD" w:rsidP="008F6AFD" w14:paraId="361C125C" w14:textId="77777777">
      <w:pPr>
        <w:pStyle w:val="ListParagraph"/>
        <w:widowControl/>
        <w:numPr>
          <w:ilvl w:val="0"/>
          <w:numId w:val="31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návrh 6letého vývoje hodnocení (zpřísňování bodové hranice)</w:t>
      </w:r>
      <w:r>
        <w:rPr>
          <w:rFonts w:ascii="Tahoma" w:hAnsi="Tahoma" w:cs="Tahoma"/>
          <w:sz w:val="22"/>
          <w:szCs w:val="22"/>
        </w:rPr>
        <w:footnoteReference w:id="4"/>
      </w:r>
      <w:r w:rsidRPr="008F6AFD">
        <w:rPr>
          <w:rFonts w:ascii="Tahoma" w:hAnsi="Tahoma" w:cs="Tahoma"/>
          <w:sz w:val="22"/>
          <w:szCs w:val="22"/>
        </w:rPr>
        <w:tab/>
        <w:t>T +90 dní</w:t>
      </w:r>
      <w:r w:rsidRPr="008F6AFD">
        <w:rPr>
          <w:rFonts w:ascii="Tahoma" w:hAnsi="Tahoma" w:cs="Tahoma"/>
          <w:sz w:val="22"/>
          <w:szCs w:val="22"/>
        </w:rPr>
        <w:t xml:space="preserve"> </w:t>
      </w:r>
    </w:p>
    <w:p w:rsidR="008F6AFD" w:rsidRPr="008F6AFD" w:rsidP="008F6AFD" w14:paraId="6DF91761" w14:textId="77777777">
      <w:pPr>
        <w:pStyle w:val="ListParagraph"/>
        <w:widowControl/>
        <w:numPr>
          <w:ilvl w:val="0"/>
          <w:numId w:val="31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doporučení pro kritéria pro zvl. skupinu „malých žadatelů“</w:t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  <w:t>T +90 dní</w:t>
      </w:r>
      <w:r w:rsidRPr="008F6AFD">
        <w:rPr>
          <w:rFonts w:ascii="Tahoma" w:hAnsi="Tahoma" w:cs="Tahoma"/>
          <w:sz w:val="22"/>
          <w:szCs w:val="22"/>
        </w:rPr>
        <w:t xml:space="preserve"> </w:t>
      </w:r>
    </w:p>
    <w:p w:rsidR="008F6AFD" w:rsidRPr="008F6AFD" w:rsidP="008F6AFD" w14:paraId="0802DAC7" w14:textId="77777777">
      <w:pPr>
        <w:pStyle w:val="ListParagraph"/>
        <w:widowControl/>
        <w:numPr>
          <w:ilvl w:val="0"/>
          <w:numId w:val="31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manuál pro hodnotitele</w:t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  <w:t>30.9. 2024</w:t>
      </w:r>
    </w:p>
    <w:p w:rsidR="008F6AFD" w:rsidRPr="008F6AFD" w:rsidP="008F6AFD" w14:paraId="708FC58E" w14:textId="77777777">
      <w:pPr>
        <w:pStyle w:val="ListParagraph"/>
        <w:widowControl/>
        <w:numPr>
          <w:ilvl w:val="0"/>
          <w:numId w:val="31"/>
        </w:numPr>
        <w:adjustRightInd/>
        <w:spacing w:after="160" w:line="259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školení hodnotitelů</w:t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</w:r>
      <w:r w:rsidRPr="008F6AFD">
        <w:rPr>
          <w:rFonts w:ascii="Tahoma" w:hAnsi="Tahoma" w:cs="Tahoma"/>
          <w:sz w:val="22"/>
          <w:szCs w:val="22"/>
        </w:rPr>
        <w:tab/>
        <w:t>30.9. 2024</w:t>
      </w:r>
    </w:p>
    <w:p w:rsidR="008F6AFD" w:rsidRPr="008F6AFD" w:rsidP="008F6AFD" w14:paraId="569ABA71" w14:textId="77777777">
      <w:pPr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>Vzorové dokumenty dodá zadavatel při podpisu smlouvy s poskytovatelem.</w:t>
      </w:r>
    </w:p>
    <w:p w:rsidR="008F6AFD" w:rsidP="008F6AFD" w14:paraId="08EF6396" w14:textId="2541DEFB">
      <w:pPr>
        <w:rPr>
          <w:rFonts w:ascii="Tahoma" w:hAnsi="Tahoma" w:cs="Tahoma"/>
          <w:sz w:val="22"/>
          <w:szCs w:val="22"/>
        </w:rPr>
      </w:pPr>
      <w:r w:rsidRPr="008F6AFD">
        <w:rPr>
          <w:rFonts w:ascii="Tahoma" w:hAnsi="Tahoma" w:cs="Tahoma"/>
          <w:sz w:val="22"/>
          <w:szCs w:val="22"/>
        </w:rPr>
        <w:t xml:space="preserve">Dokumenty ke komponentě 2.10: Popis komponenty 2.10, Návrh Výzvy, Notifikace programu </w:t>
      </w:r>
    </w:p>
    <w:p w:rsidR="008F6AFD" w14:paraId="7D095F18" w14:textId="77777777">
      <w:pPr>
        <w:widowControl/>
        <w:adjustRightInd/>
        <w:spacing w:after="160" w:line="259" w:lineRule="auto"/>
        <w:jc w:val="left"/>
        <w:textAlignment w:val="auto"/>
        <w:rPr>
          <w:rFonts w:ascii="Tahoma" w:hAnsi="Tahoma" w:cs="Tahoma"/>
          <w:sz w:val="22"/>
          <w:szCs w:val="22"/>
        </w:rPr>
        <w:sectPr w:rsidSect="00852030">
          <w:headerReference w:type="first" r:id="rId8"/>
          <w:endnotePr>
            <w:numFmt w:val="decimal"/>
          </w:endnotePr>
          <w:pgSz w:w="12240" w:h="15840"/>
          <w:pgMar w:top="1134" w:right="1080" w:bottom="1417" w:left="1080" w:header="708" w:footer="708" w:gutter="0"/>
          <w:cols w:space="708"/>
          <w:noEndnote/>
          <w:titlePg/>
        </w:sectPr>
      </w:pPr>
      <w:r>
        <w:rPr>
          <w:rFonts w:ascii="Tahoma" w:hAnsi="Tahoma" w:cs="Tahoma"/>
          <w:sz w:val="22"/>
          <w:szCs w:val="22"/>
        </w:rPr>
        <w:br w:type="page"/>
      </w:r>
    </w:p>
    <w:p w:rsidR="008F6AFD" w14:paraId="6B1418D4" w14:textId="77777777">
      <w:pPr>
        <w:widowControl/>
        <w:adjustRightInd/>
        <w:spacing w:after="160" w:line="259" w:lineRule="auto"/>
        <w:jc w:val="left"/>
        <w:textAlignment w:val="auto"/>
        <w:rPr>
          <w:rFonts w:ascii="Tahoma" w:hAnsi="Tahoma" w:cs="Tahoma"/>
          <w:sz w:val="22"/>
          <w:szCs w:val="22"/>
        </w:rPr>
      </w:pPr>
    </w:p>
    <w:p w:rsidR="008F6AFD" w:rsidRPr="008F6AFD" w:rsidP="008F6AFD" w14:paraId="0280E0EF" w14:textId="7D4CA097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Seznam osob zodpovědných za realizaci díla</w:t>
      </w:r>
    </w:p>
    <w:p w:rsidR="008F6AFD" w:rsidP="00E57D30" w14:paraId="42F13890" w14:textId="77777777">
      <w:pPr>
        <w:spacing w:after="60" w:line="240" w:lineRule="auto"/>
        <w:jc w:val="center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035"/>
        <w:gridCol w:w="5035"/>
      </w:tblGrid>
      <w:tr w14:paraId="1F073E86" w14:textId="77777777" w:rsidTr="000A751D">
        <w:tblPrEx>
          <w:tblW w:w="0" w:type="auto"/>
          <w:tblLook w:val="04A0"/>
        </w:tblPrEx>
        <w:tc>
          <w:tcPr>
            <w:tcW w:w="5035" w:type="dxa"/>
          </w:tcPr>
          <w:p w:rsidR="008F6AFD" w:rsidP="008F6AFD" w14:paraId="0B1825B9" w14:textId="6BDC260D">
            <w:pPr>
              <w:spacing w:after="60" w:line="24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Osoba č. 1 – Architekt A.0:</w:t>
            </w:r>
          </w:p>
        </w:tc>
        <w:tc>
          <w:tcPr>
            <w:tcW w:w="5035" w:type="dxa"/>
            <w:vAlign w:val="center"/>
          </w:tcPr>
          <w:p w:rsidR="008F6AFD" w:rsidRPr="000A751D" w:rsidP="000A751D" w14:paraId="386BEA46" w14:textId="62B39FE5">
            <w:pPr>
              <w:spacing w:after="60" w:line="240" w:lineRule="auto"/>
              <w:jc w:val="lef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t>XXXX</w:t>
            </w:r>
          </w:p>
        </w:tc>
      </w:tr>
      <w:tr w14:paraId="6583098F" w14:textId="77777777" w:rsidTr="000A751D">
        <w:tblPrEx>
          <w:tblW w:w="0" w:type="auto"/>
          <w:tblLook w:val="04A0"/>
        </w:tblPrEx>
        <w:tc>
          <w:tcPr>
            <w:tcW w:w="5035" w:type="dxa"/>
          </w:tcPr>
          <w:p w:rsidR="008F6AFD" w:rsidP="008F6AFD" w14:paraId="73F64BE8" w14:textId="0784161B">
            <w:pPr>
              <w:spacing w:after="60" w:line="24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Osoba č. 2 – Odborník v oblasti financování/investice/údržby/provozu objektu bydlení:</w:t>
            </w:r>
          </w:p>
        </w:tc>
        <w:tc>
          <w:tcPr>
            <w:tcW w:w="5035" w:type="dxa"/>
            <w:vAlign w:val="center"/>
          </w:tcPr>
          <w:p w:rsidR="008F6AFD" w:rsidP="000A751D" w14:paraId="4ACAEA15" w14:textId="73F5A984">
            <w:pPr>
              <w:spacing w:after="60" w:line="24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t>XXXX</w:t>
            </w:r>
          </w:p>
        </w:tc>
      </w:tr>
      <w:tr w14:paraId="2B324B60" w14:textId="77777777" w:rsidTr="000A751D">
        <w:tblPrEx>
          <w:tblW w:w="0" w:type="auto"/>
          <w:tblLook w:val="04A0"/>
        </w:tblPrEx>
        <w:tc>
          <w:tcPr>
            <w:tcW w:w="5035" w:type="dxa"/>
          </w:tcPr>
          <w:p w:rsidR="000A751D" w:rsidP="008F6AFD" w14:paraId="030A6C8E" w14:textId="21C86850">
            <w:pPr>
              <w:spacing w:after="60" w:line="24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Osoba č. 3 – Odborník na stavební technologie a udržitelnost projektů:</w:t>
            </w:r>
          </w:p>
        </w:tc>
        <w:tc>
          <w:tcPr>
            <w:tcW w:w="5035" w:type="dxa"/>
            <w:vAlign w:val="center"/>
          </w:tcPr>
          <w:p w:rsidR="000A751D" w:rsidP="000A751D" w14:paraId="41F33B2F" w14:textId="19D22FC6">
            <w:pPr>
              <w:spacing w:after="60" w:line="24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t>XXXX</w:t>
            </w:r>
          </w:p>
        </w:tc>
      </w:tr>
      <w:tr w14:paraId="608F5A91" w14:textId="77777777" w:rsidTr="000A751D">
        <w:tblPrEx>
          <w:tblW w:w="0" w:type="auto"/>
          <w:tblLook w:val="04A0"/>
        </w:tblPrEx>
        <w:tc>
          <w:tcPr>
            <w:tcW w:w="5035" w:type="dxa"/>
          </w:tcPr>
          <w:p w:rsidR="000A751D" w:rsidP="008F6AFD" w14:paraId="407F7359" w14:textId="6B26D915">
            <w:pPr>
              <w:spacing w:after="60" w:line="24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Osoba č. 4 – Odborník na </w:t>
            </w:r>
            <w:r w:rsidR="00C46074">
              <w:rPr>
                <w:rFonts w:ascii="Tahoma" w:hAnsi="Tahoma" w:cs="Tahoma"/>
                <w:sz w:val="22"/>
                <w:szCs w:val="22"/>
              </w:rPr>
              <w:t>energetiku a udržitelnost</w:t>
            </w:r>
          </w:p>
        </w:tc>
        <w:tc>
          <w:tcPr>
            <w:tcW w:w="5035" w:type="dxa"/>
            <w:vAlign w:val="center"/>
          </w:tcPr>
          <w:p w:rsidR="000A751D" w:rsidP="000A751D" w14:paraId="7478FD03" w14:textId="07CC9937">
            <w:pPr>
              <w:spacing w:after="60" w:line="24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</w:t>
            </w:r>
            <w:r>
              <w:t>XXXX</w:t>
            </w:r>
          </w:p>
        </w:tc>
      </w:tr>
    </w:tbl>
    <w:p w:rsidR="008F6AFD" w:rsidRPr="004E1011" w:rsidP="008F6AFD" w14:paraId="621556D5" w14:textId="0DC68670">
      <w:pPr>
        <w:spacing w:after="60" w:line="240" w:lineRule="auto"/>
        <w:jc w:val="left"/>
        <w:rPr>
          <w:rFonts w:ascii="Tahoma" w:hAnsi="Tahoma" w:cs="Tahoma"/>
          <w:sz w:val="22"/>
          <w:szCs w:val="22"/>
        </w:rPr>
      </w:pPr>
    </w:p>
    <w:sectPr w:rsidSect="00852030">
      <w:headerReference w:type="first" r:id="rId9"/>
      <w:endnotePr>
        <w:numFmt w:val="decimal"/>
      </w:endnotePr>
      <w:pgSz w:w="12240" w:h="15840"/>
      <w:pgMar w:top="1134" w:right="1080" w:bottom="1417" w:left="1080" w:header="708" w:footer="708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0905" w14:paraId="4C801229" w14:textId="7777777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C10905" w14:paraId="684587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0905" w:rsidRPr="002E29B1" w:rsidP="009B0F6B" w14:paraId="1D236EAC" w14:textId="277DDF18">
    <w:pPr>
      <w:pStyle w:val="Footer"/>
      <w:jc w:val="center"/>
      <w:rPr>
        <w:rFonts w:ascii="Arial" w:hAnsi="Arial" w:cs="Arial"/>
        <w:sz w:val="18"/>
        <w:szCs w:val="18"/>
      </w:rPr>
    </w:pPr>
    <w:r w:rsidRPr="002E29B1">
      <w:rPr>
        <w:rFonts w:ascii="Arial" w:hAnsi="Arial" w:cs="Arial"/>
        <w:sz w:val="18"/>
        <w:szCs w:val="18"/>
      </w:rPr>
      <w:t xml:space="preserve">Stránka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PAGE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Pr="002E29B1">
      <w:rPr>
        <w:rFonts w:ascii="Arial" w:hAnsi="Arial" w:cs="Arial"/>
        <w:b/>
        <w:bCs/>
        <w:sz w:val="18"/>
        <w:szCs w:val="18"/>
      </w:rPr>
      <w:t>9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  <w:r w:rsidRPr="002E29B1">
      <w:rPr>
        <w:rFonts w:ascii="Arial" w:hAnsi="Arial" w:cs="Arial"/>
        <w:sz w:val="18"/>
        <w:szCs w:val="18"/>
      </w:rPr>
      <w:t xml:space="preserve"> z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NUMPAGES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Pr="002E29B1">
      <w:rPr>
        <w:rFonts w:ascii="Arial" w:hAnsi="Arial" w:cs="Arial"/>
        <w:b/>
        <w:bCs/>
        <w:sz w:val="18"/>
        <w:szCs w:val="18"/>
      </w:rPr>
      <w:t>10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</w:p>
  <w:p w:rsidR="00C10905" w:rsidRPr="009B0F6B" w:rsidP="009B0F6B" w14:paraId="7359833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0905" w:rsidRPr="002E29B1" w14:paraId="79F060FF" w14:textId="73FB9602">
    <w:pPr>
      <w:pStyle w:val="Footer"/>
      <w:jc w:val="center"/>
      <w:rPr>
        <w:rFonts w:ascii="Arial" w:hAnsi="Arial" w:cs="Arial"/>
        <w:sz w:val="18"/>
        <w:szCs w:val="18"/>
      </w:rPr>
    </w:pPr>
    <w:r w:rsidRPr="002E29B1">
      <w:rPr>
        <w:rFonts w:ascii="Arial" w:hAnsi="Arial" w:cs="Arial"/>
        <w:sz w:val="18"/>
        <w:szCs w:val="18"/>
      </w:rPr>
      <w:t xml:space="preserve">Stránka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PAGE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Pr="002E29B1">
      <w:rPr>
        <w:rFonts w:ascii="Arial" w:hAnsi="Arial" w:cs="Arial"/>
        <w:b/>
        <w:bCs/>
        <w:sz w:val="18"/>
        <w:szCs w:val="18"/>
      </w:rPr>
      <w:t>10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  <w:r w:rsidRPr="002E29B1">
      <w:rPr>
        <w:rFonts w:ascii="Arial" w:hAnsi="Arial" w:cs="Arial"/>
        <w:sz w:val="18"/>
        <w:szCs w:val="18"/>
      </w:rPr>
      <w:t xml:space="preserve"> z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NUMPAGES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Pr="002E29B1">
      <w:rPr>
        <w:rFonts w:ascii="Arial" w:hAnsi="Arial" w:cs="Arial"/>
        <w:b/>
        <w:bCs/>
        <w:sz w:val="18"/>
        <w:szCs w:val="18"/>
      </w:rPr>
      <w:t>10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</w:p>
  <w:p w:rsidR="00C10905" w14:paraId="15C5FF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52030" w14:paraId="1A96DE17" w14:textId="77777777">
      <w:pPr>
        <w:spacing w:line="240" w:lineRule="auto"/>
      </w:pPr>
      <w:r>
        <w:separator/>
      </w:r>
    </w:p>
  </w:footnote>
  <w:footnote w:type="continuationSeparator" w:id="1">
    <w:p w:rsidR="00852030" w14:paraId="3DAB3078" w14:textId="77777777">
      <w:pPr>
        <w:spacing w:line="240" w:lineRule="auto"/>
      </w:pPr>
      <w:r>
        <w:continuationSeparator/>
      </w:r>
    </w:p>
  </w:footnote>
  <w:footnote w:id="2">
    <w:p w:rsidR="008F6AFD" w:rsidP="008F6AFD" w14:paraId="62CC1F7F" w14:textId="77777777">
      <w:pPr>
        <w:pStyle w:val="FootnoteText"/>
      </w:pPr>
      <w:r>
        <w:rPr>
          <w:rStyle w:val="FootnoteReference"/>
        </w:rPr>
        <w:footnoteRef/>
      </w:r>
      <w:r>
        <w:t xml:space="preserve"> Kontakty na jednotlivé typy možných žadatelů poskytne zadavatel při podpisu smlouvy o dílo s vybraným dodavatelem.</w:t>
      </w:r>
    </w:p>
  </w:footnote>
  <w:footnote w:id="3">
    <w:p w:rsidR="008F6AFD" w:rsidP="008F6AFD" w14:paraId="4BE13935" w14:textId="77777777">
      <w:pPr>
        <w:pStyle w:val="FootnoteText"/>
      </w:pPr>
      <w:r>
        <w:rPr>
          <w:rStyle w:val="FootnoteReference"/>
        </w:rPr>
        <w:footnoteRef/>
      </w:r>
      <w:r>
        <w:t xml:space="preserve"> T je datum zveřejnění smlouvy o dílo v rejstříku smluv (předpoklad květen 2024)</w:t>
      </w:r>
    </w:p>
  </w:footnote>
  <w:footnote w:id="4">
    <w:p w:rsidR="008F6AFD" w:rsidP="008F6AFD" w14:paraId="1A5C7994" w14:textId="77777777">
      <w:pPr>
        <w:pStyle w:val="FootnoteText"/>
      </w:pPr>
      <w:r>
        <w:rPr>
          <w:rStyle w:val="FootnoteReference"/>
        </w:rPr>
        <w:footnoteRef/>
      </w:r>
      <w:r>
        <w:t xml:space="preserve"> v souladu s principem č. 16 zadávacích tohoto Podrobného popisu předmětu plnění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73E" w:rsidRPr="00B4673E" w14:paraId="7214CFC3" w14:textId="184D4330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</w:t>
    </w:r>
    <w:r w:rsidR="004E1011">
      <w:rPr>
        <w:rFonts w:ascii="Tahoma" w:hAnsi="Tahoma" w:cs="Tahoma"/>
        <w:sz w:val="20"/>
      </w:rPr>
      <w:t xml:space="preserve"> 1 </w:t>
    </w:r>
    <w:r>
      <w:rPr>
        <w:rFonts w:ascii="Tahoma" w:hAnsi="Tahoma" w:cs="Tahoma"/>
        <w:sz w:val="20"/>
      </w:rPr>
      <w:t xml:space="preserve">Smlouvy: </w:t>
    </w:r>
    <w:r w:rsidRPr="008F6AFD" w:rsidR="008F6AFD">
      <w:rPr>
        <w:rFonts w:ascii="Tahoma" w:hAnsi="Tahoma" w:cs="Tahoma"/>
        <w:sz w:val="20"/>
      </w:rPr>
      <w:t>Podrobná specifikace díla včetně požadavků objednatele na dílo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6AFD" w:rsidRPr="00B4673E" w14:paraId="1EBF6E2F" w14:textId="4C214E6A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2 Smlouvy: Seznam osob zodpovědných za realizaci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921FE4"/>
    <w:multiLevelType w:val="multilevel"/>
    <w:tmpl w:val="8C006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E97CC4"/>
    <w:multiLevelType w:val="hybridMultilevel"/>
    <w:tmpl w:val="38848F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2586"/>
    <w:multiLevelType w:val="hybridMultilevel"/>
    <w:tmpl w:val="5C3E1A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31B5E"/>
    <w:multiLevelType w:val="hybridMultilevel"/>
    <w:tmpl w:val="BE24038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0353E"/>
    <w:multiLevelType w:val="hybridMultilevel"/>
    <w:tmpl w:val="745A421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1A5C5D"/>
    <w:multiLevelType w:val="hybridMultilevel"/>
    <w:tmpl w:val="44388E9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35B052C"/>
    <w:multiLevelType w:val="hybridMultilevel"/>
    <w:tmpl w:val="4E047E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B59C4"/>
    <w:multiLevelType w:val="hybridMultilevel"/>
    <w:tmpl w:val="F9224FC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0662E"/>
    <w:multiLevelType w:val="hybridMultilevel"/>
    <w:tmpl w:val="655CF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96778"/>
    <w:multiLevelType w:val="hybridMultilevel"/>
    <w:tmpl w:val="5E2C2E2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04D0"/>
    <w:multiLevelType w:val="hybridMultilevel"/>
    <w:tmpl w:val="B02CF854"/>
    <w:lvl w:ilvl="0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1AC62F1"/>
    <w:multiLevelType w:val="hybridMultilevel"/>
    <w:tmpl w:val="F6967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A3000"/>
    <w:multiLevelType w:val="multilevel"/>
    <w:tmpl w:val="6C543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703429"/>
    <w:multiLevelType w:val="hybridMultilevel"/>
    <w:tmpl w:val="FC2010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3508A"/>
    <w:multiLevelType w:val="hybridMultilevel"/>
    <w:tmpl w:val="E10646C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A4487"/>
    <w:multiLevelType w:val="multilevel"/>
    <w:tmpl w:val="0804DED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41AD3F55"/>
    <w:multiLevelType w:val="hybridMultilevel"/>
    <w:tmpl w:val="BFBC3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B83441"/>
    <w:multiLevelType w:val="hybridMultilevel"/>
    <w:tmpl w:val="F3D2460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9B1626"/>
    <w:multiLevelType w:val="hybridMultilevel"/>
    <w:tmpl w:val="D4E6F3F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71169"/>
    <w:multiLevelType w:val="hybridMultilevel"/>
    <w:tmpl w:val="468E3F1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A76F9"/>
    <w:multiLevelType w:val="hybridMultilevel"/>
    <w:tmpl w:val="1772EBA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04311"/>
    <w:multiLevelType w:val="hybridMultilevel"/>
    <w:tmpl w:val="4666129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F59B7"/>
    <w:multiLevelType w:val="hybridMultilevel"/>
    <w:tmpl w:val="1EA0226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05D85"/>
    <w:multiLevelType w:val="hybridMultilevel"/>
    <w:tmpl w:val="E94A71C0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5525A6"/>
    <w:multiLevelType w:val="hybridMultilevel"/>
    <w:tmpl w:val="BFF472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E6E4F"/>
    <w:multiLevelType w:val="hybridMultilevel"/>
    <w:tmpl w:val="15084D4C"/>
    <w:lvl w:ilvl="0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C7B16E6"/>
    <w:multiLevelType w:val="hybridMultilevel"/>
    <w:tmpl w:val="1A6633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E7045"/>
    <w:multiLevelType w:val="hybridMultilevel"/>
    <w:tmpl w:val="A3EABDE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02E6C"/>
    <w:multiLevelType w:val="hybridMultilevel"/>
    <w:tmpl w:val="2848DBA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45083"/>
    <w:multiLevelType w:val="hybridMultilevel"/>
    <w:tmpl w:val="073830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7626B"/>
    <w:multiLevelType w:val="hybridMultilevel"/>
    <w:tmpl w:val="5E2C2E2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049C5"/>
    <w:multiLevelType w:val="hybridMultilevel"/>
    <w:tmpl w:val="07C80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20"/>
  </w:num>
  <w:num w:numId="9">
    <w:abstractNumId w:val="19"/>
  </w:num>
  <w:num w:numId="10">
    <w:abstractNumId w:val="14"/>
  </w:num>
  <w:num w:numId="11">
    <w:abstractNumId w:val="27"/>
  </w:num>
  <w:num w:numId="12">
    <w:abstractNumId w:val="21"/>
  </w:num>
  <w:num w:numId="13">
    <w:abstractNumId w:val="28"/>
  </w:num>
  <w:num w:numId="14">
    <w:abstractNumId w:val="2"/>
  </w:num>
  <w:num w:numId="15">
    <w:abstractNumId w:val="18"/>
  </w:num>
  <w:num w:numId="16">
    <w:abstractNumId w:val="22"/>
  </w:num>
  <w:num w:numId="17">
    <w:abstractNumId w:val="23"/>
  </w:num>
  <w:num w:numId="18">
    <w:abstractNumId w:val="24"/>
  </w:num>
  <w:num w:numId="19">
    <w:abstractNumId w:val="13"/>
  </w:num>
  <w:num w:numId="20">
    <w:abstractNumId w:val="25"/>
  </w:num>
  <w:num w:numId="21">
    <w:abstractNumId w:val="16"/>
  </w:num>
  <w:num w:numId="22">
    <w:abstractNumId w:val="10"/>
  </w:num>
  <w:num w:numId="23">
    <w:abstractNumId w:val="1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"/>
  </w:num>
  <w:num w:numId="27">
    <w:abstractNumId w:val="29"/>
  </w:num>
  <w:num w:numId="28">
    <w:abstractNumId w:val="30"/>
  </w:num>
  <w:num w:numId="29">
    <w:abstractNumId w:val="17"/>
  </w:num>
  <w:num w:numId="30">
    <w:abstractNumId w:val="8"/>
  </w:num>
  <w:num w:numId="31">
    <w:abstractNumId w:val="2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F9"/>
    <w:rsid w:val="000176B9"/>
    <w:rsid w:val="00021ED7"/>
    <w:rsid w:val="00033EC5"/>
    <w:rsid w:val="00051000"/>
    <w:rsid w:val="00057FBA"/>
    <w:rsid w:val="00077FD5"/>
    <w:rsid w:val="000A751D"/>
    <w:rsid w:val="000D2709"/>
    <w:rsid w:val="000D353F"/>
    <w:rsid w:val="000D6A4F"/>
    <w:rsid w:val="000F32BB"/>
    <w:rsid w:val="00112EAD"/>
    <w:rsid w:val="0011337F"/>
    <w:rsid w:val="00125876"/>
    <w:rsid w:val="001636BA"/>
    <w:rsid w:val="00174A2B"/>
    <w:rsid w:val="001778A8"/>
    <w:rsid w:val="0018745C"/>
    <w:rsid w:val="00197D20"/>
    <w:rsid w:val="001A3818"/>
    <w:rsid w:val="001C2BEA"/>
    <w:rsid w:val="001E791B"/>
    <w:rsid w:val="001F7713"/>
    <w:rsid w:val="00210A24"/>
    <w:rsid w:val="00211749"/>
    <w:rsid w:val="0021282E"/>
    <w:rsid w:val="00236FCA"/>
    <w:rsid w:val="00246E1F"/>
    <w:rsid w:val="00275AC0"/>
    <w:rsid w:val="00277C68"/>
    <w:rsid w:val="0028076D"/>
    <w:rsid w:val="00293CF9"/>
    <w:rsid w:val="002A1920"/>
    <w:rsid w:val="002C40A7"/>
    <w:rsid w:val="002D691C"/>
    <w:rsid w:val="002E29B1"/>
    <w:rsid w:val="00304DF2"/>
    <w:rsid w:val="00346CCC"/>
    <w:rsid w:val="003504B0"/>
    <w:rsid w:val="00356AE7"/>
    <w:rsid w:val="003801F4"/>
    <w:rsid w:val="003A1401"/>
    <w:rsid w:val="003A4DBF"/>
    <w:rsid w:val="003B26E3"/>
    <w:rsid w:val="003C3D04"/>
    <w:rsid w:val="003C4899"/>
    <w:rsid w:val="003C5E84"/>
    <w:rsid w:val="003F7493"/>
    <w:rsid w:val="00445C54"/>
    <w:rsid w:val="00451B0D"/>
    <w:rsid w:val="00485BA9"/>
    <w:rsid w:val="0049277F"/>
    <w:rsid w:val="004B1F1C"/>
    <w:rsid w:val="004C3D82"/>
    <w:rsid w:val="004D5EA4"/>
    <w:rsid w:val="004E1011"/>
    <w:rsid w:val="00504AB8"/>
    <w:rsid w:val="0051119F"/>
    <w:rsid w:val="005204B2"/>
    <w:rsid w:val="00573D13"/>
    <w:rsid w:val="00582619"/>
    <w:rsid w:val="005A5536"/>
    <w:rsid w:val="005A56D9"/>
    <w:rsid w:val="005B1828"/>
    <w:rsid w:val="005F4A1E"/>
    <w:rsid w:val="00621C1E"/>
    <w:rsid w:val="00625C8D"/>
    <w:rsid w:val="0064205A"/>
    <w:rsid w:val="006459AC"/>
    <w:rsid w:val="00664C7C"/>
    <w:rsid w:val="00665680"/>
    <w:rsid w:val="006729B3"/>
    <w:rsid w:val="00683995"/>
    <w:rsid w:val="00711A91"/>
    <w:rsid w:val="0071305F"/>
    <w:rsid w:val="00727E5A"/>
    <w:rsid w:val="007530F9"/>
    <w:rsid w:val="00756971"/>
    <w:rsid w:val="00760893"/>
    <w:rsid w:val="007C2A69"/>
    <w:rsid w:val="007D6081"/>
    <w:rsid w:val="00800F22"/>
    <w:rsid w:val="00813AF7"/>
    <w:rsid w:val="00833B10"/>
    <w:rsid w:val="00835B93"/>
    <w:rsid w:val="00852030"/>
    <w:rsid w:val="00874F14"/>
    <w:rsid w:val="00887EAF"/>
    <w:rsid w:val="00890C2F"/>
    <w:rsid w:val="008B257A"/>
    <w:rsid w:val="008D1961"/>
    <w:rsid w:val="008E7BD4"/>
    <w:rsid w:val="008F5F5A"/>
    <w:rsid w:val="008F6799"/>
    <w:rsid w:val="008F6AFD"/>
    <w:rsid w:val="009146E7"/>
    <w:rsid w:val="00925799"/>
    <w:rsid w:val="00954496"/>
    <w:rsid w:val="009678D2"/>
    <w:rsid w:val="009765A3"/>
    <w:rsid w:val="009765C4"/>
    <w:rsid w:val="009B0F6B"/>
    <w:rsid w:val="009D0BC9"/>
    <w:rsid w:val="00A0530A"/>
    <w:rsid w:val="00A0688F"/>
    <w:rsid w:val="00A24C54"/>
    <w:rsid w:val="00A51E26"/>
    <w:rsid w:val="00A62E8D"/>
    <w:rsid w:val="00A63702"/>
    <w:rsid w:val="00A658D8"/>
    <w:rsid w:val="00A71EE6"/>
    <w:rsid w:val="00A726E9"/>
    <w:rsid w:val="00A90F70"/>
    <w:rsid w:val="00AA5E9E"/>
    <w:rsid w:val="00AB0FF9"/>
    <w:rsid w:val="00AC6CBF"/>
    <w:rsid w:val="00AD1886"/>
    <w:rsid w:val="00AD39D0"/>
    <w:rsid w:val="00B04E71"/>
    <w:rsid w:val="00B06973"/>
    <w:rsid w:val="00B33ADC"/>
    <w:rsid w:val="00B4673E"/>
    <w:rsid w:val="00B522D4"/>
    <w:rsid w:val="00B767EE"/>
    <w:rsid w:val="00BA3217"/>
    <w:rsid w:val="00BC7C78"/>
    <w:rsid w:val="00BF69DC"/>
    <w:rsid w:val="00C10905"/>
    <w:rsid w:val="00C16CA2"/>
    <w:rsid w:val="00C234E9"/>
    <w:rsid w:val="00C46074"/>
    <w:rsid w:val="00C54651"/>
    <w:rsid w:val="00C568C4"/>
    <w:rsid w:val="00C61F1B"/>
    <w:rsid w:val="00C841E5"/>
    <w:rsid w:val="00CC2486"/>
    <w:rsid w:val="00CC67D8"/>
    <w:rsid w:val="00CE7EFD"/>
    <w:rsid w:val="00CF3E5D"/>
    <w:rsid w:val="00D046A9"/>
    <w:rsid w:val="00D30AEB"/>
    <w:rsid w:val="00D534BE"/>
    <w:rsid w:val="00D93157"/>
    <w:rsid w:val="00D95131"/>
    <w:rsid w:val="00DA17E9"/>
    <w:rsid w:val="00DB0434"/>
    <w:rsid w:val="00DE29F9"/>
    <w:rsid w:val="00DE51D3"/>
    <w:rsid w:val="00E2251A"/>
    <w:rsid w:val="00E33856"/>
    <w:rsid w:val="00E51CA5"/>
    <w:rsid w:val="00E52020"/>
    <w:rsid w:val="00E57D30"/>
    <w:rsid w:val="00E74960"/>
    <w:rsid w:val="00E93AE7"/>
    <w:rsid w:val="00EB4DDF"/>
    <w:rsid w:val="00EB66F5"/>
    <w:rsid w:val="00EE15BF"/>
    <w:rsid w:val="00EE1B41"/>
    <w:rsid w:val="00EF2B3F"/>
    <w:rsid w:val="00F12071"/>
    <w:rsid w:val="00F14D7D"/>
    <w:rsid w:val="00F436C3"/>
    <w:rsid w:val="00F478FB"/>
    <w:rsid w:val="00F7730A"/>
    <w:rsid w:val="00FC5508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E8A397-8CE7-4CEB-8913-E7FB0247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F9"/>
    <w:pPr>
      <w:widowControl w:val="0"/>
      <w:adjustRightInd w:val="0"/>
      <w:spacing w:after="0" w:line="240" w:lineRule="atLeast"/>
      <w:jc w:val="both"/>
      <w:textAlignment w:val="baseline"/>
    </w:pPr>
    <w:rPr>
      <w:rFonts w:ascii="Book Antiqua" w:eastAsia="Times New Roman" w:hAnsi="Book Antiqua" w:cs="Times New Roman"/>
      <w:color w:val="000000"/>
      <w:sz w:val="24"/>
      <w:szCs w:val="20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293CF9"/>
    <w:pPr>
      <w:keepNext/>
      <w:spacing w:before="120"/>
      <w:jc w:val="center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293CF9"/>
    <w:rPr>
      <w:rFonts w:ascii="Arial" w:eastAsia="Times New Roman" w:hAnsi="Arial" w:cs="Times New Roman"/>
      <w:b/>
      <w:bCs/>
      <w:color w:val="000000"/>
      <w:kern w:val="32"/>
      <w:sz w:val="24"/>
      <w:szCs w:val="32"/>
      <w:lang w:eastAsia="cs-CZ"/>
    </w:rPr>
  </w:style>
  <w:style w:type="paragraph" w:customStyle="1" w:styleId="Text">
    <w:name w:val="Text"/>
    <w:basedOn w:val="Normal"/>
    <w:rsid w:val="00293CF9"/>
    <w:pPr>
      <w:tabs>
        <w:tab w:val="left" w:pos="227"/>
      </w:tabs>
      <w:spacing w:line="220" w:lineRule="exact"/>
    </w:pPr>
    <w:rPr>
      <w:sz w:val="18"/>
    </w:rPr>
  </w:style>
  <w:style w:type="paragraph" w:styleId="Footer">
    <w:name w:val="footer"/>
    <w:basedOn w:val="Normal"/>
    <w:link w:val="ZpatChar"/>
    <w:uiPriority w:val="99"/>
    <w:rsid w:val="00293C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93CF9"/>
    <w:rPr>
      <w:rFonts w:ascii="Book Antiqua" w:eastAsia="Times New Roman" w:hAnsi="Book Antiqua" w:cs="Times New Roman"/>
      <w:color w:val="000000"/>
      <w:sz w:val="24"/>
      <w:szCs w:val="20"/>
      <w:lang w:eastAsia="cs-CZ"/>
    </w:rPr>
  </w:style>
  <w:style w:type="character" w:styleId="PageNumber">
    <w:name w:val="page number"/>
    <w:basedOn w:val="DefaultParagraphFont"/>
    <w:rsid w:val="00293CF9"/>
  </w:style>
  <w:style w:type="paragraph" w:styleId="ListParagraph">
    <w:name w:val="List Paragraph"/>
    <w:aliases w:val="Bullet List,Bullet Number,Bulletr List Paragraph,FooterText,List Paragraph1,List Paragraph2,List Paragraph21,Listeafsnit1,Odstavec_muj,Paragraphe de liste1,Parágrafo da Lista1,cp_Odstavec se seznamem,numbered,リスト段落1,列出段落,列出段落1"/>
    <w:basedOn w:val="Normal"/>
    <w:link w:val="OdstavecseseznamemChar"/>
    <w:uiPriority w:val="34"/>
    <w:qFormat/>
    <w:rsid w:val="00293CF9"/>
    <w:pPr>
      <w:spacing w:line="360" w:lineRule="auto"/>
      <w:ind w:left="397" w:hanging="397"/>
    </w:pPr>
    <w:rPr>
      <w:rFonts w:ascii="Arial" w:hAnsi="Arial"/>
      <w:sz w:val="20"/>
    </w:rPr>
  </w:style>
  <w:style w:type="paragraph" w:styleId="BodyText">
    <w:name w:val="Body Text"/>
    <w:basedOn w:val="Normal"/>
    <w:link w:val="ZkladntextChar"/>
    <w:rsid w:val="00293CF9"/>
    <w:pPr>
      <w:widowControl/>
      <w:adjustRightInd/>
      <w:spacing w:line="240" w:lineRule="auto"/>
      <w:textAlignment w:val="auto"/>
    </w:pPr>
    <w:rPr>
      <w:rFonts w:ascii="Courier New" w:hAnsi="Courier New"/>
      <w:color w:val="auto"/>
      <w:sz w:val="22"/>
    </w:rPr>
  </w:style>
  <w:style w:type="character" w:customStyle="1" w:styleId="ZkladntextChar">
    <w:name w:val="Základní text Char"/>
    <w:basedOn w:val="DefaultParagraphFont"/>
    <w:link w:val="BodyText"/>
    <w:rsid w:val="00293CF9"/>
    <w:rPr>
      <w:rFonts w:ascii="Courier New" w:eastAsia="Times New Roman" w:hAnsi="Courier New" w:cs="Times New Roman"/>
      <w:szCs w:val="20"/>
      <w:lang w:eastAsia="cs-CZ"/>
    </w:rPr>
  </w:style>
  <w:style w:type="character" w:customStyle="1" w:styleId="OdstavecseseznamemChar">
    <w:name w:val="Odstavec se seznamem Char"/>
    <w:aliases w:val="Bullet List Char,Bullet Number Char,Bulletr List Paragraph Char,FooterText Char,List Paragraph1 Char,List Paragraph2 Char,List Paragraph21 Char,Listeafsnit1 Char,Odstavec_muj Char,Paragraphe de liste1 Char,numbered Char"/>
    <w:link w:val="ListParagraph"/>
    <w:uiPriority w:val="99"/>
    <w:qFormat/>
    <w:rsid w:val="00293CF9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293C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StylNormlnSmlouva11bTun">
    <w:name w:val="Styl Styl Normální.Smlouva + 11 b. Tučné +"/>
    <w:basedOn w:val="Normal"/>
    <w:link w:val="StylStylNormlnSmlouva11bTunChar"/>
    <w:autoRedefine/>
    <w:rsid w:val="00293CF9"/>
    <w:pPr>
      <w:adjustRightInd/>
      <w:spacing w:line="240" w:lineRule="auto"/>
      <w:textAlignment w:val="auto"/>
    </w:pPr>
    <w:rPr>
      <w:rFonts w:ascii="Tahoma" w:hAnsi="Tahoma" w:cs="Tahoma"/>
      <w:color w:val="auto"/>
      <w:sz w:val="18"/>
      <w:szCs w:val="18"/>
    </w:rPr>
  </w:style>
  <w:style w:type="character" w:customStyle="1" w:styleId="StylStylNormlnSmlouva11bTunChar">
    <w:name w:val="Styl Styl Normální.Smlouva + 11 b. Tučné + Char"/>
    <w:link w:val="StylStylNormlnSmlouva11bTun"/>
    <w:rsid w:val="00293CF9"/>
    <w:rPr>
      <w:rFonts w:ascii="Tahoma" w:eastAsia="Times New Roman" w:hAnsi="Tahoma" w:cs="Tahoma"/>
      <w:sz w:val="18"/>
      <w:szCs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71305F"/>
    <w:rPr>
      <w:sz w:val="16"/>
      <w:szCs w:val="16"/>
    </w:rPr>
  </w:style>
  <w:style w:type="paragraph" w:styleId="CommentText">
    <w:name w:val="annotation text"/>
    <w:basedOn w:val="Normal"/>
    <w:link w:val="TextkomenteChar"/>
    <w:semiHidden/>
    <w:rsid w:val="0071305F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 w:val="20"/>
    </w:rPr>
  </w:style>
  <w:style w:type="character" w:customStyle="1" w:styleId="TextkomenteChar">
    <w:name w:val="Text komentáře Char"/>
    <w:basedOn w:val="DefaultParagraphFont"/>
    <w:link w:val="CommentText"/>
    <w:semiHidden/>
    <w:rsid w:val="007130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NormlnSmlouva11b">
    <w:name w:val="Styl Normální.Smlouva + 11 b."/>
    <w:basedOn w:val="Normal"/>
    <w:link w:val="StylNormlnSmlouva11bChar"/>
    <w:rsid w:val="0071305F"/>
    <w:pPr>
      <w:adjustRightInd/>
      <w:spacing w:line="240" w:lineRule="auto"/>
      <w:textAlignment w:val="auto"/>
    </w:pPr>
    <w:rPr>
      <w:rFonts w:ascii="Tahoma" w:hAnsi="Tahoma"/>
      <w:color w:val="auto"/>
      <w:sz w:val="20"/>
    </w:rPr>
  </w:style>
  <w:style w:type="character" w:customStyle="1" w:styleId="StylNormlnSmlouva11bChar">
    <w:name w:val="Styl Normální.Smlouva + 11 b. Char"/>
    <w:basedOn w:val="DefaultParagraphFont"/>
    <w:link w:val="StylNormlnSmlouva11b"/>
    <w:rsid w:val="0071305F"/>
    <w:rPr>
      <w:rFonts w:ascii="Tahoma" w:eastAsia="Times New Roman" w:hAnsi="Tahoma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13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1305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NormalWeb">
    <w:name w:val="Normal (Web)"/>
    <w:basedOn w:val="Normal"/>
    <w:uiPriority w:val="99"/>
    <w:unhideWhenUsed/>
    <w:rsid w:val="00D046A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auto"/>
      <w:szCs w:val="24"/>
    </w:rPr>
  </w:style>
  <w:style w:type="paragraph" w:customStyle="1" w:styleId="odrkyChar">
    <w:name w:val="odrážky Char"/>
    <w:basedOn w:val="BodyTextIndent"/>
    <w:rsid w:val="00925799"/>
    <w:pPr>
      <w:widowControl/>
      <w:adjustRightInd/>
      <w:spacing w:before="120" w:line="240" w:lineRule="auto"/>
      <w:ind w:left="0"/>
      <w:textAlignment w:val="auto"/>
    </w:pPr>
    <w:rPr>
      <w:rFonts w:ascii="Arial" w:hAnsi="Arial" w:cs="Arial"/>
      <w:color w:val="auto"/>
      <w:sz w:val="22"/>
      <w:szCs w:val="22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25799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25799"/>
    <w:rPr>
      <w:rFonts w:ascii="Book Antiqua" w:eastAsia="Times New Roman" w:hAnsi="Book Antiqua" w:cs="Times New Roman"/>
      <w:color w:val="000000"/>
      <w:sz w:val="24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4673E"/>
    <w:pPr>
      <w:widowControl w:val="0"/>
      <w:adjustRightInd w:val="0"/>
      <w:jc w:val="both"/>
      <w:textAlignment w:val="baseline"/>
    </w:pPr>
    <w:rPr>
      <w:rFonts w:ascii="Book Antiqua" w:hAnsi="Book Antiqua"/>
      <w:b/>
      <w:bCs/>
      <w:color w:val="000000"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B4673E"/>
    <w:rPr>
      <w:rFonts w:ascii="Book Antiqua" w:eastAsia="Times New Roman" w:hAnsi="Book Antiqua" w:cs="Times New Roman"/>
      <w:b/>
      <w:bCs/>
      <w:color w:val="000000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B4673E"/>
    <w:pPr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B4673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B4673E"/>
    <w:rPr>
      <w:rFonts w:ascii="Book Antiqua" w:eastAsia="Times New Roman" w:hAnsi="Book Antiqua" w:cs="Times New Roman"/>
      <w:color w:val="000000"/>
      <w:sz w:val="24"/>
      <w:szCs w:val="20"/>
      <w:lang w:eastAsia="cs-CZ"/>
    </w:rPr>
  </w:style>
  <w:style w:type="table" w:styleId="TableGrid">
    <w:name w:val="Table Grid"/>
    <w:basedOn w:val="TableNormal"/>
    <w:uiPriority w:val="39"/>
    <w:rsid w:val="00B4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B4673E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B4673E"/>
    <w:pPr>
      <w:spacing w:after="0" w:line="240" w:lineRule="auto"/>
    </w:pPr>
  </w:style>
  <w:style w:type="paragraph" w:styleId="FootnoteText">
    <w:name w:val="footnote text"/>
    <w:basedOn w:val="Normal"/>
    <w:link w:val="TextpoznpodarouChar"/>
    <w:uiPriority w:val="99"/>
    <w:semiHidden/>
    <w:unhideWhenUsed/>
    <w:rsid w:val="008F6AFD"/>
    <w:pPr>
      <w:widowControl/>
      <w:adjustRightInd/>
      <w:spacing w:line="240" w:lineRule="auto"/>
      <w:jc w:val="left"/>
      <w:textAlignment w:val="auto"/>
    </w:pPr>
    <w:rPr>
      <w:rFonts w:ascii="Tahoma" w:hAnsi="Tahoma" w:eastAsiaTheme="minorHAnsi" w:cstheme="minorBidi"/>
      <w:color w:val="auto"/>
      <w:sz w:val="20"/>
      <w:lang w:eastAsia="en-US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8F6AFD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6A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60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6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3884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Řihák Josef</dc:creator>
  <cp:lastModifiedBy>Vondrys Jakub</cp:lastModifiedBy>
  <cp:revision>3</cp:revision>
  <cp:lastPrinted>2024-05-16T13:50:00Z</cp:lastPrinted>
  <dcterms:created xsi:type="dcterms:W3CDTF">2024-06-10T09:55:00Z</dcterms:created>
  <dcterms:modified xsi:type="dcterms:W3CDTF">2024-06-13T12:57:00Z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1130/24/SEP-SFPI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13.6.2024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&lt;TABLE&gt;&lt;TR&gt;&lt;TD&gt;Č.j.:&lt;/TD&gt;&lt;TD&gt;1130/24/SEP-SFPI&lt;/TD&gt;&lt;/TR&gt;&lt;TR&gt;&lt;TD&gt;&lt;/TD&gt;&lt;TD&gt;&lt;/TD&gt;&lt;/TR&gt;&lt;/TABLE&gt;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20685/24-SFPI</vt:lpwstr>
  </property>
  <property fmtid="{D5CDD505-2E9C-101B-9397-08002B2CF9AE}" pid="19" name="Key_BarCode_Pisemnost">
    <vt:lpwstr>*B000751488*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20685/24-SFPI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smlouvy č 16/24/IND - UCEEB, hodnotící kritéria</vt:lpwstr>
  </property>
  <property fmtid="{D5CDD505-2E9C-101B-9397-08002B2CF9AE}" pid="41" name="Zkratka_SpisovyUzel_PoziceZodpo_Pisemnost">
    <vt:lpwstr>SEP</vt:lpwstr>
  </property>
</Properties>
</file>