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36" w:rsidRDefault="000B7836">
      <w:pPr>
        <w:pStyle w:val="Zkladntext"/>
        <w:spacing w:before="3"/>
        <w:rPr>
          <w:rFonts w:ascii="Times New Roman"/>
          <w:sz w:val="31"/>
        </w:rPr>
      </w:pPr>
    </w:p>
    <w:p w:rsidR="000B7836" w:rsidRDefault="000E75E6">
      <w:pPr>
        <w:pStyle w:val="Nzev"/>
      </w:pPr>
      <w:r>
        <w:rPr>
          <w:color w:val="4F4F4F"/>
          <w:spacing w:val="-2"/>
        </w:rPr>
        <w:t>Přiloha</w:t>
      </w:r>
      <w:r>
        <w:rPr>
          <w:color w:val="4F4F4F"/>
          <w:spacing w:val="-20"/>
        </w:rPr>
        <w:t xml:space="preserve"> </w:t>
      </w:r>
      <w:r>
        <w:rPr>
          <w:color w:val="4F4F4F"/>
          <w:spacing w:val="-2"/>
        </w:rPr>
        <w:t>č.</w:t>
      </w:r>
      <w:r>
        <w:rPr>
          <w:color w:val="4F4F4F"/>
          <w:spacing w:val="-3"/>
        </w:rPr>
        <w:t xml:space="preserve"> </w:t>
      </w:r>
      <w:r>
        <w:rPr>
          <w:color w:val="4F4F4F"/>
          <w:spacing w:val="-2"/>
        </w:rPr>
        <w:t>2</w:t>
      </w:r>
      <w:r>
        <w:rPr>
          <w:color w:val="4F4F4F"/>
          <w:spacing w:val="-19"/>
        </w:rPr>
        <w:t xml:space="preserve"> </w:t>
      </w:r>
      <w:r>
        <w:rPr>
          <w:color w:val="4F4F4F"/>
          <w:spacing w:val="-2"/>
        </w:rPr>
        <w:t>-</w:t>
      </w:r>
      <w:r>
        <w:rPr>
          <w:color w:val="4F4F4F"/>
          <w:spacing w:val="1"/>
        </w:rPr>
        <w:t xml:space="preserve"> </w:t>
      </w:r>
      <w:r>
        <w:rPr>
          <w:color w:val="4F4F4F"/>
          <w:spacing w:val="-2"/>
        </w:rPr>
        <w:t>Seznam</w:t>
      </w:r>
      <w:r>
        <w:rPr>
          <w:color w:val="4F4F4F"/>
          <w:spacing w:val="1"/>
        </w:rPr>
        <w:t xml:space="preserve"> </w:t>
      </w:r>
      <w:r>
        <w:rPr>
          <w:color w:val="4F4F4F"/>
          <w:spacing w:val="-2"/>
        </w:rPr>
        <w:t>a</w:t>
      </w:r>
      <w:r>
        <w:rPr>
          <w:color w:val="4F4F4F"/>
          <w:spacing w:val="-19"/>
        </w:rPr>
        <w:t xml:space="preserve"> </w:t>
      </w:r>
      <w:r>
        <w:rPr>
          <w:color w:val="4F4F4F"/>
          <w:spacing w:val="-2"/>
        </w:rPr>
        <w:t>specifikace</w:t>
      </w:r>
      <w:r>
        <w:rPr>
          <w:color w:val="4F4F4F"/>
          <w:spacing w:val="5"/>
        </w:rPr>
        <w:t xml:space="preserve"> </w:t>
      </w:r>
      <w:r>
        <w:rPr>
          <w:color w:val="4F4F4F"/>
          <w:spacing w:val="-2"/>
        </w:rPr>
        <w:t>přístupových</w:t>
      </w:r>
      <w:r>
        <w:rPr>
          <w:color w:val="4F4F4F"/>
          <w:spacing w:val="13"/>
        </w:rPr>
        <w:t xml:space="preserve"> </w:t>
      </w:r>
      <w:r>
        <w:rPr>
          <w:color w:val="4F4F4F"/>
          <w:spacing w:val="-5"/>
        </w:rPr>
        <w:t>zón</w:t>
      </w:r>
    </w:p>
    <w:p w:rsidR="000B7836" w:rsidRDefault="000B7836">
      <w:pPr>
        <w:pStyle w:val="Zkladntext"/>
        <w:rPr>
          <w:b/>
          <w:sz w:val="31"/>
        </w:rPr>
      </w:pPr>
    </w:p>
    <w:p w:rsidR="000B7836" w:rsidRDefault="000B7836">
      <w:pPr>
        <w:pStyle w:val="Zkladntext"/>
        <w:spacing w:before="150"/>
        <w:rPr>
          <w:b/>
          <w:sz w:val="31"/>
        </w:rPr>
      </w:pPr>
    </w:p>
    <w:p w:rsidR="000B7836" w:rsidRDefault="000E75E6">
      <w:pPr>
        <w:pStyle w:val="Nadpis1"/>
        <w:numPr>
          <w:ilvl w:val="0"/>
          <w:numId w:val="1"/>
        </w:numPr>
        <w:tabs>
          <w:tab w:val="left" w:pos="641"/>
        </w:tabs>
        <w:ind w:left="641" w:hanging="342"/>
      </w:pPr>
      <w:r>
        <w:rPr>
          <w:color w:val="2B2B2B"/>
          <w:spacing w:val="-4"/>
        </w:rPr>
        <w:t>úvod</w:t>
      </w:r>
    </w:p>
    <w:p w:rsidR="000B7836" w:rsidRDefault="000E75E6">
      <w:pPr>
        <w:pStyle w:val="Zkladntext"/>
        <w:spacing w:before="74" w:line="247" w:lineRule="auto"/>
        <w:ind w:left="267" w:right="131" w:firstLine="7"/>
      </w:pPr>
      <w:r>
        <w:rPr>
          <w:color w:val="2B2B2B"/>
        </w:rPr>
        <w:t>Pro zajištění přístupu do pronajímaných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prostor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budovy NTK</w:t>
      </w:r>
      <w:r>
        <w:rPr>
          <w:color w:val="2B2B2B"/>
          <w:spacing w:val="80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nutné prostřednictvím vstupního rozhraní předat Přístupový seznam, který bude obsahovat minimálně dva sloupce.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Na každém řádku bude v prvním sloupci číslo čipu ID karty, v druhém sloupci bude číslo přístupové zóny. Případné další informace v následujících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sloupcích jsou jen pro informaci a nebudou dále zpracovávány.</w:t>
      </w:r>
    </w:p>
    <w:p w:rsidR="000B7836" w:rsidRDefault="000B7836">
      <w:pPr>
        <w:pStyle w:val="Zkladntext"/>
        <w:spacing w:before="5"/>
      </w:pPr>
    </w:p>
    <w:p w:rsidR="000B7836" w:rsidRDefault="000E75E6">
      <w:pPr>
        <w:pStyle w:val="Zkladntext"/>
        <w:spacing w:line="247" w:lineRule="auto"/>
        <w:ind w:left="255" w:right="131" w:firstLine="11"/>
      </w:pPr>
      <w:r>
        <w:rPr>
          <w:b/>
          <w:color w:val="2B2B2B"/>
          <w:sz w:val="22"/>
        </w:rPr>
        <w:t xml:space="preserve">V </w:t>
      </w:r>
      <w:r>
        <w:rPr>
          <w:color w:val="2B2B2B"/>
        </w:rPr>
        <w:t>rámci předávaného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Přístupového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seznamu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je potř</w:t>
      </w:r>
      <w:r>
        <w:rPr>
          <w:color w:val="2B2B2B"/>
        </w:rPr>
        <w:t>eba sdělit informaci o tom, zdali je držitel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karty</w:t>
      </w:r>
      <w:r>
        <w:rPr>
          <w:color w:val="2B2B2B"/>
          <w:spacing w:val="59"/>
        </w:rPr>
        <w:t xml:space="preserve"> </w:t>
      </w:r>
      <w:r>
        <w:rPr>
          <w:color w:val="2B2B2B"/>
        </w:rPr>
        <w:t>studentem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u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subjektu,</w:t>
      </w:r>
      <w:r>
        <w:rPr>
          <w:color w:val="2B2B2B"/>
          <w:spacing w:val="66"/>
        </w:rPr>
        <w:t xml:space="preserve"> </w:t>
      </w:r>
      <w:r>
        <w:rPr>
          <w:color w:val="2B2B2B"/>
        </w:rPr>
        <w:t>který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Přístupový</w:t>
      </w:r>
      <w:r>
        <w:rPr>
          <w:color w:val="2B2B2B"/>
          <w:spacing w:val="68"/>
        </w:rPr>
        <w:t xml:space="preserve"> </w:t>
      </w:r>
      <w:r>
        <w:rPr>
          <w:color w:val="2B2B2B"/>
        </w:rPr>
        <w:t>seznam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poskytuje.</w:t>
      </w:r>
      <w:r>
        <w:rPr>
          <w:color w:val="2B2B2B"/>
          <w:spacing w:val="68"/>
        </w:rPr>
        <w:t xml:space="preserve"> </w:t>
      </w:r>
      <w:r>
        <w:rPr>
          <w:color w:val="2B2B2B"/>
        </w:rPr>
        <w:t>Tato doplňující informace bude předána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přiřazením Přístupové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zóny se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specifickým označením O (NULA).</w:t>
      </w:r>
    </w:p>
    <w:p w:rsidR="000B7836" w:rsidRDefault="000B7836">
      <w:pPr>
        <w:pStyle w:val="Zkladntext"/>
        <w:spacing w:before="6"/>
      </w:pPr>
    </w:p>
    <w:p w:rsidR="000B7836" w:rsidRDefault="000E75E6">
      <w:pPr>
        <w:pStyle w:val="Zkladntext"/>
        <w:spacing w:line="244" w:lineRule="auto"/>
        <w:ind w:left="247" w:right="203" w:firstLine="3"/>
      </w:pPr>
      <w:r>
        <w:rPr>
          <w:color w:val="2B2B2B"/>
        </w:rPr>
        <w:t>Před vstupem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do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všech prostor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budovy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NTK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69"/>
        </w:rPr>
        <w:t xml:space="preserve"> </w:t>
      </w:r>
      <w:r>
        <w:rPr>
          <w:color w:val="2B2B2B"/>
        </w:rPr>
        <w:t>nutné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se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prokázat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platnou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ID kartou typu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Mifare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(Classic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nebo DESFire).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Povolení přístupu je prováděno na základě členství v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přístupové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skupině,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která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definována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podle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předané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informace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o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přístupové</w:t>
      </w:r>
      <w:r>
        <w:rPr>
          <w:color w:val="2B2B2B"/>
          <w:spacing w:val="38"/>
        </w:rPr>
        <w:t xml:space="preserve"> </w:t>
      </w:r>
      <w:r>
        <w:rPr>
          <w:color w:val="2B2B2B"/>
          <w:spacing w:val="-2"/>
        </w:rPr>
        <w:t>zóně.</w:t>
      </w:r>
    </w:p>
    <w:p w:rsidR="000B7836" w:rsidRDefault="000E75E6">
      <w:pPr>
        <w:pStyle w:val="Zkladntext"/>
        <w:spacing w:before="6" w:line="242" w:lineRule="auto"/>
        <w:ind w:left="250" w:right="1454" w:hanging="3"/>
      </w:pPr>
      <w:r>
        <w:rPr>
          <w:color w:val="2B2B2B"/>
        </w:rPr>
        <w:t>Seznam všech platných karet a přiřazených přístupových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zón je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definován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v Přístupovém seznamu.</w:t>
      </w:r>
    </w:p>
    <w:p w:rsidR="000B7836" w:rsidRDefault="000B7836">
      <w:pPr>
        <w:pStyle w:val="Zkladntext"/>
      </w:pPr>
    </w:p>
    <w:p w:rsidR="000B7836" w:rsidRDefault="000B7836">
      <w:pPr>
        <w:pStyle w:val="Zkladntext"/>
        <w:spacing w:before="208"/>
      </w:pPr>
    </w:p>
    <w:p w:rsidR="000B7836" w:rsidRDefault="000E75E6">
      <w:pPr>
        <w:pStyle w:val="Nadpis1"/>
        <w:numPr>
          <w:ilvl w:val="0"/>
          <w:numId w:val="1"/>
        </w:numPr>
        <w:tabs>
          <w:tab w:val="left" w:pos="594"/>
        </w:tabs>
        <w:ind w:left="594" w:hanging="343"/>
      </w:pPr>
      <w:r>
        <w:rPr>
          <w:color w:val="2B2B2B"/>
        </w:rPr>
        <w:t>Zpřístupněné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prostory</w:t>
      </w:r>
      <w:r>
        <w:rPr>
          <w:color w:val="2B2B2B"/>
          <w:spacing w:val="21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11"/>
        </w:rPr>
        <w:t xml:space="preserve"> </w:t>
      </w:r>
      <w:r>
        <w:rPr>
          <w:color w:val="2B2B2B"/>
        </w:rPr>
        <w:t>budově</w:t>
      </w:r>
      <w:r>
        <w:rPr>
          <w:color w:val="2B2B2B"/>
          <w:spacing w:val="15"/>
        </w:rPr>
        <w:t xml:space="preserve"> </w:t>
      </w:r>
      <w:r>
        <w:rPr>
          <w:color w:val="2B2B2B"/>
          <w:spacing w:val="-5"/>
        </w:rPr>
        <w:t>NTK</w:t>
      </w:r>
    </w:p>
    <w:p w:rsidR="000B7836" w:rsidRDefault="000B7836">
      <w:pPr>
        <w:pStyle w:val="Zkladntext"/>
        <w:spacing w:before="295"/>
        <w:rPr>
          <w:b/>
          <w:sz w:val="26"/>
        </w:rPr>
      </w:pPr>
    </w:p>
    <w:p w:rsidR="000B7836" w:rsidRDefault="000E75E6">
      <w:pPr>
        <w:pStyle w:val="Nadpis2"/>
        <w:numPr>
          <w:ilvl w:val="1"/>
          <w:numId w:val="1"/>
        </w:numPr>
        <w:tabs>
          <w:tab w:val="left" w:pos="937"/>
        </w:tabs>
        <w:ind w:hanging="705"/>
      </w:pPr>
      <w:r>
        <w:rPr>
          <w:color w:val="2B2B2B"/>
        </w:rPr>
        <w:t>Definice</w:t>
      </w:r>
      <w:r>
        <w:rPr>
          <w:color w:val="2B2B2B"/>
          <w:spacing w:val="18"/>
        </w:rPr>
        <w:t xml:space="preserve"> </w:t>
      </w:r>
      <w:r>
        <w:rPr>
          <w:color w:val="2B2B2B"/>
          <w:spacing w:val="-2"/>
        </w:rPr>
        <w:t>prostoru</w:t>
      </w:r>
    </w:p>
    <w:p w:rsidR="000B7836" w:rsidRDefault="000E75E6">
      <w:pPr>
        <w:pStyle w:val="Zkladntext"/>
        <w:spacing w:before="225" w:line="247" w:lineRule="auto"/>
        <w:ind w:left="224" w:right="30" w:firstLine="8"/>
      </w:pPr>
      <w:r>
        <w:rPr>
          <w:color w:val="2B2B2B"/>
        </w:rPr>
        <w:t>V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rámci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budovy NTK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bude Uživateli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přístupu zpřístupněn</w:t>
      </w:r>
      <w:r>
        <w:rPr>
          <w:color w:val="2B2B2B"/>
          <w:spacing w:val="40"/>
        </w:rPr>
        <w:t xml:space="preserve"> </w:t>
      </w:r>
      <w:r>
        <w:rPr>
          <w:b/>
          <w:color w:val="2B2B2B"/>
          <w:sz w:val="20"/>
        </w:rPr>
        <w:t>Veřejný</w:t>
      </w:r>
      <w:r>
        <w:rPr>
          <w:b/>
          <w:color w:val="2B2B2B"/>
          <w:spacing w:val="39"/>
          <w:sz w:val="20"/>
        </w:rPr>
        <w:t xml:space="preserve"> </w:t>
      </w:r>
      <w:r>
        <w:rPr>
          <w:b/>
          <w:color w:val="2B2B2B"/>
          <w:sz w:val="20"/>
        </w:rPr>
        <w:t>chráněný</w:t>
      </w:r>
      <w:r>
        <w:rPr>
          <w:b/>
          <w:color w:val="2B2B2B"/>
          <w:spacing w:val="36"/>
          <w:sz w:val="20"/>
        </w:rPr>
        <w:t xml:space="preserve"> </w:t>
      </w:r>
      <w:r>
        <w:rPr>
          <w:b/>
          <w:color w:val="2B2B2B"/>
          <w:sz w:val="20"/>
        </w:rPr>
        <w:t xml:space="preserve">prostor, </w:t>
      </w:r>
      <w:r>
        <w:rPr>
          <w:color w:val="2B2B2B"/>
        </w:rPr>
        <w:t>který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přístupný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po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ověření.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Prostor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začíná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turnikety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na 1. NP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a pokračuje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dále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do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2. až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6. NP. Nezahrnuje pouze prostory v tomto prostoru,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kde je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vyžadováno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další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 xml:space="preserve">ověření </w:t>
      </w:r>
      <w:r>
        <w:rPr>
          <w:color w:val="2B2B2B"/>
          <w:spacing w:val="-2"/>
        </w:rPr>
        <w:t>přístupu.</w:t>
      </w:r>
    </w:p>
    <w:p w:rsidR="000B7836" w:rsidRDefault="000B7836">
      <w:pPr>
        <w:pStyle w:val="Zkladntext"/>
      </w:pPr>
    </w:p>
    <w:p w:rsidR="000B7836" w:rsidRDefault="000B7836">
      <w:pPr>
        <w:pStyle w:val="Zkladntext"/>
        <w:spacing w:before="32"/>
      </w:pPr>
    </w:p>
    <w:p w:rsidR="000B7836" w:rsidRDefault="000E75E6">
      <w:pPr>
        <w:pStyle w:val="Nadpis2"/>
        <w:numPr>
          <w:ilvl w:val="1"/>
          <w:numId w:val="1"/>
        </w:numPr>
        <w:tabs>
          <w:tab w:val="left" w:pos="928"/>
        </w:tabs>
        <w:ind w:left="928" w:hanging="691"/>
      </w:pPr>
      <w:r>
        <w:rPr>
          <w:color w:val="2B2B2B"/>
          <w:spacing w:val="-4"/>
        </w:rPr>
        <w:t>Přístupové</w:t>
      </w:r>
      <w:r>
        <w:rPr>
          <w:color w:val="2B2B2B"/>
          <w:spacing w:val="5"/>
        </w:rPr>
        <w:t xml:space="preserve"> </w:t>
      </w:r>
      <w:r>
        <w:rPr>
          <w:color w:val="2B2B2B"/>
          <w:spacing w:val="-4"/>
        </w:rPr>
        <w:t>zóny</w:t>
      </w:r>
    </w:p>
    <w:p w:rsidR="000B7836" w:rsidRDefault="000B7836">
      <w:pPr>
        <w:pStyle w:val="Zkladntext"/>
        <w:spacing w:before="76"/>
        <w:rPr>
          <w:b/>
          <w:sz w:val="23"/>
        </w:rPr>
      </w:pPr>
    </w:p>
    <w:p w:rsidR="000B7836" w:rsidRDefault="000E75E6">
      <w:pPr>
        <w:pStyle w:val="Zkladntext"/>
        <w:spacing w:line="249" w:lineRule="auto"/>
        <w:ind w:left="214" w:right="203" w:firstLine="2"/>
        <w:rPr>
          <w:b/>
          <w:sz w:val="20"/>
        </w:rPr>
      </w:pPr>
      <w:r>
        <w:rPr>
          <w:color w:val="2B2B2B"/>
        </w:rPr>
        <w:t>Přístup je povolován na základě členství karty v přístupové zóně. Ke každému jednotlivému záznamu karty v Přístupovém seznamu může být přiřazena pouze jedna přístupová zóna. Přístupový seznam tak bude obsahovat číslo daného čipu ID karty tolikrát, do kolik</w:t>
      </w:r>
      <w:r>
        <w:rPr>
          <w:color w:val="2B2B2B"/>
        </w:rPr>
        <w:t>a přístupových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zón bude mít přístup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(plus přístupová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 xml:space="preserve">skupina </w:t>
      </w:r>
      <w:r>
        <w:rPr>
          <w:b/>
          <w:color w:val="2B2B2B"/>
          <w:spacing w:val="-2"/>
          <w:sz w:val="20"/>
        </w:rPr>
        <w:t>Student_VSCHT).</w:t>
      </w:r>
    </w:p>
    <w:p w:rsidR="000B7836" w:rsidRDefault="000E75E6">
      <w:pPr>
        <w:pStyle w:val="Zkladntext"/>
        <w:spacing w:before="236" w:line="249" w:lineRule="auto"/>
        <w:ind w:left="211"/>
      </w:pPr>
      <w:r>
        <w:rPr>
          <w:color w:val="2B2B2B"/>
        </w:rPr>
        <w:t xml:space="preserve">Pro přístup karty do zpřístupněného prostoru bude existovat v </w:t>
      </w:r>
      <w:r>
        <w:rPr>
          <w:color w:val="3B3B3B"/>
        </w:rPr>
        <w:t xml:space="preserve">Přístupovém </w:t>
      </w:r>
      <w:r>
        <w:rPr>
          <w:color w:val="2B2B2B"/>
        </w:rPr>
        <w:t>seznamu odpovídající záznam číslem karty a číslem Přístupové zóny. Pro Uživatele přístupu jsou vydefinová</w:t>
      </w:r>
      <w:r>
        <w:rPr>
          <w:color w:val="2B2B2B"/>
        </w:rPr>
        <w:t>ny přístupové zóny uvedené v Tabulka 1:</w:t>
      </w:r>
    </w:p>
    <w:p w:rsidR="000B7836" w:rsidRDefault="000B7836">
      <w:pPr>
        <w:spacing w:line="249" w:lineRule="auto"/>
        <w:sectPr w:rsidR="000B7836">
          <w:type w:val="continuous"/>
          <w:pgSz w:w="11910" w:h="16840"/>
          <w:pgMar w:top="1940" w:right="1460" w:bottom="280" w:left="1680" w:header="708" w:footer="708" w:gutter="0"/>
          <w:cols w:space="708"/>
        </w:sectPr>
      </w:pPr>
    </w:p>
    <w:p w:rsidR="000B7836" w:rsidRDefault="000B7836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389"/>
        <w:gridCol w:w="5206"/>
      </w:tblGrid>
      <w:tr w:rsidR="000B7836">
        <w:trPr>
          <w:trHeight w:val="754"/>
        </w:trPr>
        <w:tc>
          <w:tcPr>
            <w:tcW w:w="2043" w:type="dxa"/>
          </w:tcPr>
          <w:p w:rsidR="000B7836" w:rsidRDefault="000E75E6">
            <w:pPr>
              <w:pStyle w:val="TableParagraph"/>
              <w:spacing w:line="256" w:lineRule="auto"/>
              <w:ind w:firstLine="6"/>
              <w:rPr>
                <w:b/>
                <w:sz w:val="20"/>
              </w:rPr>
            </w:pPr>
            <w:r>
              <w:rPr>
                <w:b/>
                <w:color w:val="4D4D4D"/>
                <w:spacing w:val="-2"/>
                <w:w w:val="105"/>
                <w:sz w:val="20"/>
              </w:rPr>
              <w:t>Označeni Přístupové</w:t>
            </w:r>
            <w:r>
              <w:rPr>
                <w:b/>
                <w:color w:val="4D4D4D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20"/>
              </w:rPr>
              <w:t>zóny</w:t>
            </w:r>
          </w:p>
          <w:p w:rsidR="000B7836" w:rsidRDefault="000E75E6"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w w:val="110"/>
                <w:sz w:val="20"/>
              </w:rPr>
              <w:t>(zkratka)</w:t>
            </w:r>
          </w:p>
        </w:tc>
        <w:tc>
          <w:tcPr>
            <w:tcW w:w="1389" w:type="dxa"/>
          </w:tcPr>
          <w:p w:rsidR="000B7836" w:rsidRDefault="000E75E6">
            <w:pPr>
              <w:pStyle w:val="TableParagraph"/>
              <w:spacing w:line="256" w:lineRule="auto"/>
              <w:ind w:left="115" w:firstLine="5"/>
              <w:rPr>
                <w:b/>
                <w:sz w:val="20"/>
              </w:rPr>
            </w:pPr>
            <w:r>
              <w:rPr>
                <w:b/>
                <w:color w:val="4D4D4D"/>
                <w:spacing w:val="-2"/>
                <w:sz w:val="20"/>
              </w:rPr>
              <w:t>Cislo Přístupové</w:t>
            </w:r>
          </w:p>
          <w:p w:rsidR="000B7836" w:rsidRDefault="000E75E6">
            <w:pPr>
              <w:pStyle w:val="TableParagraph"/>
              <w:spacing w:before="3"/>
              <w:ind w:left="121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w w:val="105"/>
                <w:sz w:val="20"/>
              </w:rPr>
              <w:t>zóny</w:t>
            </w:r>
          </w:p>
        </w:tc>
        <w:tc>
          <w:tcPr>
            <w:tcW w:w="5206" w:type="dxa"/>
          </w:tcPr>
          <w:p w:rsidR="000B7836" w:rsidRDefault="000E75E6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color w:val="4D4D4D"/>
                <w:w w:val="105"/>
                <w:sz w:val="20"/>
              </w:rPr>
              <w:t>Prostory,</w:t>
            </w:r>
            <w:r>
              <w:rPr>
                <w:b/>
                <w:color w:val="4D4D4D"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color w:val="4D4D4D"/>
                <w:w w:val="105"/>
                <w:sz w:val="20"/>
              </w:rPr>
              <w:t>které</w:t>
            </w:r>
            <w:r>
              <w:rPr>
                <w:b/>
                <w:color w:val="4D4D4D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4D4D4D"/>
                <w:w w:val="105"/>
                <w:sz w:val="20"/>
              </w:rPr>
              <w:t>jsou</w:t>
            </w:r>
            <w:r>
              <w:rPr>
                <w:b/>
                <w:color w:val="4D4D4D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4D4D4D"/>
                <w:w w:val="105"/>
                <w:sz w:val="20"/>
              </w:rPr>
              <w:t>zahrnuty</w:t>
            </w:r>
            <w:r>
              <w:rPr>
                <w:b/>
                <w:color w:val="4D4D4D"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color w:val="4D4D4D"/>
                <w:w w:val="105"/>
                <w:sz w:val="20"/>
              </w:rPr>
              <w:t>do</w:t>
            </w:r>
            <w:r>
              <w:rPr>
                <w:b/>
                <w:color w:val="4D4D4D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4D4D4D"/>
                <w:w w:val="105"/>
                <w:sz w:val="20"/>
              </w:rPr>
              <w:t>přístupové</w:t>
            </w:r>
            <w:r>
              <w:rPr>
                <w:b/>
                <w:color w:val="4D4D4D"/>
                <w:spacing w:val="15"/>
                <w:w w:val="105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20"/>
              </w:rPr>
              <w:t>zóny</w:t>
            </w:r>
          </w:p>
        </w:tc>
      </w:tr>
      <w:tr w:rsidR="000B7836">
        <w:trPr>
          <w:trHeight w:val="244"/>
        </w:trPr>
        <w:tc>
          <w:tcPr>
            <w:tcW w:w="2043" w:type="dxa"/>
          </w:tcPr>
          <w:p w:rsidR="000B7836" w:rsidRDefault="000E75E6"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VSCHT</w:t>
            </w:r>
          </w:p>
        </w:tc>
        <w:tc>
          <w:tcPr>
            <w:tcW w:w="1389" w:type="dxa"/>
          </w:tcPr>
          <w:p w:rsidR="000B7836" w:rsidRDefault="000E75E6">
            <w:pPr>
              <w:pStyle w:val="TableParagraph"/>
              <w:spacing w:before="0" w:line="225" w:lineRule="exact"/>
              <w:ind w:left="116"/>
              <w:rPr>
                <w:sz w:val="21"/>
              </w:rPr>
            </w:pPr>
            <w:r>
              <w:rPr>
                <w:color w:val="333333"/>
                <w:spacing w:val="-5"/>
                <w:sz w:val="21"/>
              </w:rPr>
              <w:t>57</w:t>
            </w:r>
          </w:p>
        </w:tc>
        <w:tc>
          <w:tcPr>
            <w:tcW w:w="5206" w:type="dxa"/>
          </w:tcPr>
          <w:p w:rsidR="000B7836" w:rsidRDefault="000E75E6">
            <w:pPr>
              <w:pStyle w:val="TableParagraph"/>
              <w:spacing w:before="0" w:line="225" w:lineRule="exact"/>
              <w:ind w:left="124"/>
              <w:rPr>
                <w:sz w:val="21"/>
              </w:rPr>
            </w:pPr>
            <w:r>
              <w:rPr>
                <w:color w:val="333333"/>
                <w:sz w:val="21"/>
              </w:rPr>
              <w:t>Veřejný</w:t>
            </w:r>
            <w:r>
              <w:rPr>
                <w:color w:val="333333"/>
                <w:spacing w:val="1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chráněný</w:t>
            </w:r>
            <w:r>
              <w:rPr>
                <w:color w:val="333333"/>
                <w:spacing w:val="2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prostor</w:t>
            </w:r>
          </w:p>
        </w:tc>
      </w:tr>
      <w:tr w:rsidR="000B7836">
        <w:trPr>
          <w:trHeight w:val="754"/>
        </w:trPr>
        <w:tc>
          <w:tcPr>
            <w:tcW w:w="2043" w:type="dxa"/>
          </w:tcPr>
          <w:p w:rsidR="000B7836" w:rsidRDefault="000E75E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Student_VSCHT</w:t>
            </w:r>
          </w:p>
        </w:tc>
        <w:tc>
          <w:tcPr>
            <w:tcW w:w="1389" w:type="dxa"/>
          </w:tcPr>
          <w:p w:rsidR="000B7836" w:rsidRDefault="000E75E6">
            <w:pPr>
              <w:pStyle w:val="TableParagraph"/>
              <w:spacing w:before="0" w:line="256" w:lineRule="exact"/>
              <w:ind w:left="106"/>
              <w:rPr>
                <w:sz w:val="28"/>
              </w:rPr>
            </w:pPr>
            <w:r>
              <w:rPr>
                <w:color w:val="333333"/>
                <w:spacing w:val="-10"/>
                <w:w w:val="90"/>
                <w:sz w:val="28"/>
              </w:rPr>
              <w:t>o</w:t>
            </w:r>
          </w:p>
        </w:tc>
        <w:tc>
          <w:tcPr>
            <w:tcW w:w="5206" w:type="dxa"/>
          </w:tcPr>
          <w:p w:rsidR="000B7836" w:rsidRDefault="000E75E6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333333"/>
                <w:sz w:val="21"/>
              </w:rPr>
              <w:t>Pomocná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zóna,</w:t>
            </w:r>
            <w:r>
              <w:rPr>
                <w:color w:val="333333"/>
                <w:spacing w:val="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která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neobsahuje</w:t>
            </w:r>
            <w:r>
              <w:rPr>
                <w:color w:val="333333"/>
                <w:spacing w:val="1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žádné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prostory</w:t>
            </w:r>
          </w:p>
          <w:p w:rsidR="000B7836" w:rsidRDefault="000E75E6">
            <w:pPr>
              <w:pStyle w:val="TableParagraph"/>
              <w:spacing w:before="5" w:line="240" w:lineRule="atLeast"/>
              <w:ind w:left="108" w:firstLine="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budovy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NTK,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ale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obsahuje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informaci</w:t>
            </w:r>
            <w:r>
              <w:rPr>
                <w:color w:val="333333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tom,</w:t>
            </w:r>
            <w:r>
              <w:rPr>
                <w:color w:val="333333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zda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je držitel karty studentem u Uživatele přístupu.</w:t>
            </w:r>
          </w:p>
        </w:tc>
      </w:tr>
    </w:tbl>
    <w:p w:rsidR="000B7836" w:rsidRDefault="000E75E6">
      <w:pPr>
        <w:pStyle w:val="Zkladntext"/>
        <w:ind w:left="17"/>
        <w:jc w:val="center"/>
      </w:pPr>
      <w:r>
        <w:rPr>
          <w:color w:val="333333"/>
        </w:rPr>
        <w:t>Tabulka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Přístupové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4"/>
        </w:rPr>
        <w:t>zóny</w:t>
      </w:r>
    </w:p>
    <w:p w:rsidR="000B7836" w:rsidRDefault="000B7836">
      <w:pPr>
        <w:pStyle w:val="Zkladntext"/>
        <w:spacing w:before="17"/>
      </w:pPr>
    </w:p>
    <w:p w:rsidR="000B7836" w:rsidRDefault="000E75E6">
      <w:pPr>
        <w:pStyle w:val="Zkladntext"/>
        <w:spacing w:line="249" w:lineRule="auto"/>
        <w:ind w:left="238" w:right="302" w:firstLine="3"/>
      </w:pPr>
      <w:r>
        <w:rPr>
          <w:color w:val="333333"/>
        </w:rPr>
        <w:t>Číslo přístupové zóny bude používáno ve druhém sloupci Přístupového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seznamu. Tabulka shrnuje, jakých číselných hodnot může položka v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Přístupovém seznamu pro daného Uživatele přístupu nabývat.</w:t>
      </w:r>
    </w:p>
    <w:p w:rsidR="000B7836" w:rsidRDefault="000B7836">
      <w:pPr>
        <w:pStyle w:val="Zkladntext"/>
        <w:spacing w:before="203"/>
      </w:pPr>
    </w:p>
    <w:p w:rsidR="000B7836" w:rsidRDefault="000E75E6">
      <w:pPr>
        <w:tabs>
          <w:tab w:val="left" w:pos="1882"/>
          <w:tab w:val="left" w:pos="2495"/>
        </w:tabs>
        <w:spacing w:before="1"/>
        <w:ind w:left="232"/>
        <w:rPr>
          <w:i/>
          <w:sz w:val="29"/>
        </w:rPr>
      </w:pPr>
      <w:r>
        <w:rPr>
          <w:color w:val="333333"/>
          <w:sz w:val="21"/>
        </w:rPr>
        <w:t>V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Praze</w:t>
      </w:r>
      <w:r>
        <w:rPr>
          <w:color w:val="333333"/>
          <w:spacing w:val="7"/>
          <w:sz w:val="21"/>
        </w:rPr>
        <w:t xml:space="preserve"> </w:t>
      </w:r>
      <w:r>
        <w:rPr>
          <w:color w:val="333333"/>
          <w:sz w:val="21"/>
        </w:rPr>
        <w:t>dne</w:t>
      </w:r>
      <w:r>
        <w:rPr>
          <w:color w:val="333333"/>
          <w:spacing w:val="44"/>
          <w:sz w:val="21"/>
        </w:rPr>
        <w:t xml:space="preserve"> </w:t>
      </w:r>
    </w:p>
    <w:p w:rsidR="000B7836" w:rsidRDefault="000B7836">
      <w:pPr>
        <w:pStyle w:val="Zkladntext"/>
        <w:rPr>
          <w:i/>
          <w:sz w:val="20"/>
        </w:rPr>
      </w:pPr>
    </w:p>
    <w:p w:rsidR="000E75E6" w:rsidRPr="000E75E6" w:rsidRDefault="000E75E6">
      <w:pPr>
        <w:pStyle w:val="Zkladntext"/>
        <w:rPr>
          <w:sz w:val="20"/>
        </w:rPr>
      </w:pPr>
      <w:r>
        <w:rPr>
          <w:sz w:val="20"/>
        </w:rPr>
        <w:t>redigováno</w:t>
      </w:r>
      <w:bookmarkStart w:id="0" w:name="_GoBack"/>
      <w:bookmarkEnd w:id="0"/>
    </w:p>
    <w:p w:rsidR="000E75E6" w:rsidRDefault="000E75E6">
      <w:pPr>
        <w:pStyle w:val="Zkladntext"/>
        <w:rPr>
          <w:i/>
          <w:sz w:val="20"/>
        </w:rPr>
      </w:pPr>
    </w:p>
    <w:p w:rsidR="000B7836" w:rsidRDefault="000B7836">
      <w:pPr>
        <w:pStyle w:val="Zkladntext"/>
        <w:rPr>
          <w:i/>
          <w:sz w:val="20"/>
        </w:rPr>
      </w:pPr>
    </w:p>
    <w:p w:rsidR="000B7836" w:rsidRDefault="000B7836">
      <w:pPr>
        <w:rPr>
          <w:sz w:val="20"/>
        </w:rPr>
        <w:sectPr w:rsidR="000B7836">
          <w:pgSz w:w="11910" w:h="16840"/>
          <w:pgMar w:top="1940" w:right="1320" w:bottom="280" w:left="1680" w:header="708" w:footer="708" w:gutter="0"/>
          <w:cols w:space="708"/>
        </w:sectPr>
      </w:pPr>
    </w:p>
    <w:p w:rsidR="000B7836" w:rsidRDefault="000B7836" w:rsidP="000E75E6">
      <w:pPr>
        <w:pStyle w:val="Zkladntext"/>
        <w:spacing w:before="3" w:line="242" w:lineRule="auto"/>
        <w:ind w:left="213" w:right="983" w:firstLine="441"/>
      </w:pPr>
    </w:p>
    <w:sectPr w:rsidR="000B7836">
      <w:type w:val="continuous"/>
      <w:pgSz w:w="11910" w:h="16840"/>
      <w:pgMar w:top="1940" w:right="1320" w:bottom="280" w:left="1680" w:header="708" w:footer="708" w:gutter="0"/>
      <w:cols w:num="2" w:space="708" w:equalWidth="0">
        <w:col w:w="4602" w:space="455"/>
        <w:col w:w="3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9D9"/>
    <w:multiLevelType w:val="multilevel"/>
    <w:tmpl w:val="04F69CAE"/>
    <w:lvl w:ilvl="0">
      <w:start w:val="1"/>
      <w:numFmt w:val="decimal"/>
      <w:lvlText w:val="%1."/>
      <w:lvlJc w:val="left"/>
      <w:pPr>
        <w:ind w:left="643" w:hanging="344"/>
        <w:jc w:val="left"/>
      </w:pPr>
      <w:rPr>
        <w:rFonts w:ascii="Arial" w:eastAsia="Arial" w:hAnsi="Arial" w:cs="Arial" w:hint="default"/>
        <w:b/>
        <w:bCs/>
        <w:i w:val="0"/>
        <w:iCs w:val="0"/>
        <w:color w:val="2B2B2B"/>
        <w:spacing w:val="-1"/>
        <w:w w:val="95"/>
        <w:sz w:val="26"/>
        <w:szCs w:val="2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7" w:hanging="706"/>
        <w:jc w:val="left"/>
      </w:pPr>
      <w:rPr>
        <w:rFonts w:ascii="Arial" w:eastAsia="Arial" w:hAnsi="Arial" w:cs="Arial" w:hint="default"/>
        <w:b/>
        <w:bCs/>
        <w:i w:val="0"/>
        <w:iCs w:val="0"/>
        <w:color w:val="2B2B2B"/>
        <w:spacing w:val="-1"/>
        <w:w w:val="103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1809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78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8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17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86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56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25" w:hanging="70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36"/>
    <w:rsid w:val="000B7836"/>
    <w:rsid w:val="000E75E6"/>
    <w:rsid w:val="00110AD1"/>
    <w:rsid w:val="006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1A39"/>
  <w15:docId w15:val="{E498BF1B-286D-4758-A362-CC00F612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94" w:hanging="343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928" w:hanging="705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ind w:left="292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594" w:hanging="705"/>
    </w:pPr>
  </w:style>
  <w:style w:type="paragraph" w:customStyle="1" w:styleId="TableParagraph">
    <w:name w:val="Table Paragraph"/>
    <w:basedOn w:val="Normln"/>
    <w:uiPriority w:val="1"/>
    <w:qFormat/>
    <w:pPr>
      <w:spacing w:before="9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4</cp:revision>
  <dcterms:created xsi:type="dcterms:W3CDTF">2024-06-13T09:44:00Z</dcterms:created>
  <dcterms:modified xsi:type="dcterms:W3CDTF">2024-06-13T09:48:00Z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YSoft SafeQ 6</vt:lpwstr>
  </property>
  <property fmtid="{D5CDD505-2E9C-101B-9397-08002B2CF9AE}" pid="4" name="LastSaved">
    <vt:filetime>2024-06-13T00:00:00Z</vt:filetime>
  </property>
  <property fmtid="{D5CDD505-2E9C-101B-9397-08002B2CF9AE}" pid="5" name="PDFVersion">
    <vt:lpwstr>1.5</vt:lpwstr>
  </property>
  <property fmtid="{D5CDD505-2E9C-101B-9397-08002B2CF9AE}" pid="6" name="Producer">
    <vt:lpwstr>3-Heights(TM) PDF Security Shell 4.8.25.2 (http://www.pdf-tools.com)</vt:lpwstr>
  </property>
</Properties>
</file>