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28" w:rsidRDefault="0021557F">
      <w:pPr>
        <w:pStyle w:val="Nadpis10"/>
        <w:keepNext/>
        <w:keepLines/>
        <w:framePr w:w="979" w:h="552" w:wrap="none" w:vAnchor="text" w:hAnchor="page" w:x="690" w:y="21"/>
        <w:shd w:val="clear" w:color="auto" w:fill="auto"/>
      </w:pPr>
      <w:bookmarkStart w:id="0" w:name="bookmark0"/>
      <w:r>
        <w:t>/A*</w:t>
      </w:r>
      <w:bookmarkEnd w:id="0"/>
    </w:p>
    <w:p w:rsidR="004A3228" w:rsidRDefault="0021557F">
      <w:pPr>
        <w:pStyle w:val="Nadpis40"/>
        <w:keepNext/>
        <w:keepLines/>
        <w:framePr w:w="1651" w:h="336" w:wrap="none" w:vAnchor="text" w:hAnchor="page" w:x="1650" w:y="135"/>
        <w:shd w:val="clear" w:color="auto" w:fill="auto"/>
        <w:ind w:right="0"/>
      </w:pPr>
      <w:bookmarkStart w:id="1" w:name="bookmark1"/>
      <w:r>
        <w:rPr>
          <w:rFonts w:ascii="Arial" w:eastAsia="Arial" w:hAnsi="Arial" w:cs="Arial"/>
          <w:strike w:val="0"/>
        </w:rPr>
        <w:t>GROKOP CZ</w:t>
      </w:r>
      <w:bookmarkEnd w:id="1"/>
    </w:p>
    <w:p w:rsidR="004A3228" w:rsidRDefault="0021557F">
      <w:pPr>
        <w:pStyle w:val="Jin0"/>
        <w:framePr w:w="1450" w:h="254" w:wrap="none" w:vAnchor="text" w:hAnchor="page" w:x="6134" w:y="102"/>
        <w:shd w:val="clear" w:color="auto" w:fill="auto"/>
        <w:spacing w:line="240" w:lineRule="auto"/>
        <w:jc w:val="left"/>
        <w:rPr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SoPP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ZemFA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č.</w:t>
      </w:r>
    </w:p>
    <w:p w:rsidR="004A3228" w:rsidRDefault="0021557F">
      <w:pPr>
        <w:pStyle w:val="Nadpis50"/>
        <w:keepNext/>
        <w:keepLines/>
        <w:framePr w:w="3475" w:h="446" w:wrap="none" w:vAnchor="text" w:hAnchor="page" w:x="7785" w:y="30"/>
        <w:shd w:val="clear" w:color="auto" w:fill="auto"/>
      </w:pPr>
      <w:bookmarkStart w:id="2" w:name="bookmark2"/>
      <w:r>
        <w:t>2 o 2 4 / 573 / 106</w:t>
      </w:r>
      <w:bookmarkEnd w:id="2"/>
    </w:p>
    <w:p w:rsidR="004A3228" w:rsidRDefault="0021557F">
      <w:pPr>
        <w:pStyle w:val="Jin0"/>
        <w:framePr w:w="3475" w:h="446" w:wrap="none" w:vAnchor="text" w:hAnchor="page" w:x="7785" w:y="30"/>
        <w:shd w:val="clear" w:color="auto" w:fill="auto"/>
        <w:spacing w:line="240" w:lineRule="auto"/>
        <w:jc w:val="right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 xml:space="preserve">rok / </w:t>
      </w:r>
      <w:proofErr w:type="spellStart"/>
      <w:r>
        <w:rPr>
          <w:rFonts w:ascii="Arial" w:eastAsia="Arial" w:hAnsi="Arial" w:cs="Arial"/>
          <w:sz w:val="11"/>
          <w:szCs w:val="11"/>
        </w:rPr>
        <w:t>obch.zást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. </w:t>
      </w:r>
      <w:r>
        <w:rPr>
          <w:rFonts w:ascii="Arial" w:eastAsia="Arial" w:hAnsi="Arial" w:cs="Arial"/>
          <w:i/>
          <w:iCs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 xml:space="preserve"> pořadově číslo smlouvy</w:t>
      </w:r>
    </w:p>
    <w:p w:rsidR="004A3228" w:rsidRDefault="0021557F">
      <w:pPr>
        <w:pStyle w:val="Zkladntext1"/>
        <w:framePr w:w="1080" w:h="235" w:wrap="none" w:vAnchor="text" w:hAnchor="page" w:x="489" w:y="1283"/>
        <w:shd w:val="clear" w:color="auto" w:fill="auto"/>
        <w:spacing w:line="240" w:lineRule="auto"/>
        <w:jc w:val="left"/>
      </w:pPr>
      <w:r>
        <w:rPr>
          <w:b/>
          <w:bCs/>
          <w:i/>
          <w:iCs/>
        </w:rPr>
        <w:t>i. Prodávající</w:t>
      </w:r>
    </w:p>
    <w:p w:rsidR="004A3228" w:rsidRDefault="0021557F">
      <w:pPr>
        <w:pStyle w:val="Jin0"/>
        <w:framePr w:w="4829" w:h="1042" w:wrap="none" w:vAnchor="text" w:hAnchor="page" w:x="3638" w:y="491"/>
        <w:shd w:val="clear" w:color="auto" w:fill="auto"/>
        <w:spacing w:after="60" w:line="240" w:lineRule="auto"/>
        <w:jc w:val="left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u w:val="single"/>
        </w:rPr>
        <w:t>Smlouva o platebních podmínkách</w:t>
      </w:r>
    </w:p>
    <w:p w:rsidR="004A3228" w:rsidRDefault="0021557F">
      <w:pPr>
        <w:pStyle w:val="Jin0"/>
        <w:framePr w:w="4829" w:h="1042" w:wrap="none" w:vAnchor="text" w:hAnchor="page" w:x="3638" w:y="491"/>
        <w:shd w:val="clear" w:color="auto" w:fill="auto"/>
        <w:tabs>
          <w:tab w:val="left" w:pos="1426"/>
          <w:tab w:val="left" w:pos="2870"/>
          <w:tab w:val="left" w:pos="4118"/>
        </w:tabs>
        <w:spacing w:line="240" w:lineRule="auto"/>
        <w:rPr>
          <w:sz w:val="17"/>
          <w:szCs w:val="17"/>
        </w:rPr>
      </w:pPr>
      <w:r>
        <w:rPr>
          <w:rFonts w:ascii="Tahoma" w:eastAsia="Tahoma" w:hAnsi="Tahoma" w:cs="Tahoma"/>
          <w:sz w:val="13"/>
          <w:szCs w:val="13"/>
        </w:rPr>
        <w:t>dodávaných</w:t>
      </w:r>
      <w:r>
        <w:rPr>
          <w:rFonts w:ascii="Tahoma" w:eastAsia="Tahoma" w:hAnsi="Tahoma" w:cs="Tahoma"/>
          <w:sz w:val="13"/>
          <w:szCs w:val="13"/>
        </w:rPr>
        <w:tab/>
      </w:r>
      <w:r>
        <w:rPr>
          <w:rFonts w:ascii="Segoe UI" w:eastAsia="Segoe UI" w:hAnsi="Segoe UI" w:cs="Segoe UI"/>
          <w:sz w:val="17"/>
          <w:szCs w:val="17"/>
        </w:rPr>
        <w:t>0 pesticidů</w:t>
      </w:r>
      <w:r>
        <w:rPr>
          <w:rFonts w:ascii="Segoe UI" w:eastAsia="Segoe UI" w:hAnsi="Segoe UI" w:cs="Segoe UI"/>
          <w:sz w:val="17"/>
          <w:szCs w:val="17"/>
        </w:rPr>
        <w:tab/>
        <w:t>0 hnojiv</w:t>
      </w:r>
      <w:r>
        <w:rPr>
          <w:rFonts w:ascii="Segoe UI" w:eastAsia="Segoe UI" w:hAnsi="Segoe UI" w:cs="Segoe UI"/>
          <w:sz w:val="17"/>
          <w:szCs w:val="17"/>
        </w:rPr>
        <w:tab/>
        <w:t>0 osiv</w:t>
      </w:r>
    </w:p>
    <w:p w:rsidR="004A3228" w:rsidRDefault="0021557F">
      <w:pPr>
        <w:pStyle w:val="Jin0"/>
        <w:framePr w:w="4829" w:h="1042" w:wrap="none" w:vAnchor="text" w:hAnchor="page" w:x="3638" w:y="491"/>
        <w:shd w:val="clear" w:color="auto" w:fill="auto"/>
        <w:spacing w:after="60" w:line="240" w:lineRule="auto"/>
        <w:ind w:left="60"/>
        <w:jc w:val="center"/>
        <w:rPr>
          <w:sz w:val="13"/>
          <w:szCs w:val="13"/>
        </w:rPr>
      </w:pPr>
      <w:r>
        <w:rPr>
          <w:rFonts w:ascii="Tahoma" w:eastAsia="Tahoma" w:hAnsi="Tahoma" w:cs="Tahoma"/>
          <w:sz w:val="13"/>
          <w:szCs w:val="13"/>
        </w:rPr>
        <w:t>uzavřená mezi níže uvedenými stranami</w:t>
      </w:r>
    </w:p>
    <w:p w:rsidR="004A3228" w:rsidRDefault="0021557F">
      <w:pPr>
        <w:pStyle w:val="Zkladntext1"/>
        <w:framePr w:w="4829" w:h="1042" w:wrap="none" w:vAnchor="text" w:hAnchor="page" w:x="3638" w:y="491"/>
        <w:shd w:val="clear" w:color="auto" w:fill="auto"/>
        <w:tabs>
          <w:tab w:val="left" w:leader="underscore" w:pos="3052"/>
        </w:tabs>
        <w:spacing w:after="60" w:line="240" w:lineRule="auto"/>
        <w:ind w:left="460"/>
      </w:pPr>
      <w:r>
        <w:rPr>
          <w:rFonts w:ascii="Tahoma" w:eastAsia="Tahoma" w:hAnsi="Tahoma" w:cs="Tahoma"/>
          <w:sz w:val="13"/>
          <w:szCs w:val="13"/>
        </w:rPr>
        <w:t xml:space="preserve">a </w:t>
      </w:r>
      <w:r>
        <w:rPr>
          <w:rFonts w:ascii="Tahoma" w:eastAsia="Tahoma" w:hAnsi="Tahoma" w:cs="Tahoma"/>
          <w:sz w:val="13"/>
          <w:szCs w:val="13"/>
          <w:u w:val="single"/>
        </w:rPr>
        <w:t xml:space="preserve">2. </w:t>
      </w:r>
      <w:r>
        <w:rPr>
          <w:b/>
          <w:bCs/>
          <w:i/>
          <w:iCs/>
          <w:u w:val="single"/>
        </w:rPr>
        <w:t>Kupující</w:t>
      </w:r>
      <w:r>
        <w:rPr>
          <w:b/>
          <w:bCs/>
          <w:i/>
          <w:iCs/>
        </w:rPr>
        <w:tab/>
      </w:r>
    </w:p>
    <w:p w:rsidR="004A3228" w:rsidRDefault="0021557F">
      <w:pPr>
        <w:pStyle w:val="Jin0"/>
        <w:framePr w:w="3082" w:h="1651" w:wrap="none" w:vAnchor="text" w:hAnchor="page" w:x="546" w:y="15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AGROKOP CZ, a.s.</w:t>
      </w:r>
    </w:p>
    <w:p w:rsidR="004A3228" w:rsidRDefault="0021557F">
      <w:pPr>
        <w:pStyle w:val="Jin0"/>
        <w:framePr w:w="3082" w:h="1651" w:wrap="none" w:vAnchor="text" w:hAnchor="page" w:x="546" w:y="15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36" w:lineRule="auto"/>
        <w:jc w:val="left"/>
        <w:rPr>
          <w:sz w:val="17"/>
          <w:szCs w:val="17"/>
        </w:rPr>
      </w:pPr>
      <w:r>
        <w:rPr>
          <w:rFonts w:ascii="Segoe UI" w:eastAsia="Segoe UI" w:hAnsi="Segoe UI" w:cs="Segoe UI"/>
          <w:sz w:val="17"/>
          <w:szCs w:val="17"/>
        </w:rPr>
        <w:t>Spojovací</w:t>
      </w:r>
      <w:r>
        <w:rPr>
          <w:rFonts w:ascii="Segoe UI" w:eastAsia="Segoe UI" w:hAnsi="Segoe UI" w:cs="Segoe UI"/>
          <w:sz w:val="17"/>
          <w:szCs w:val="17"/>
        </w:rPr>
        <w:t xml:space="preserve"> 1343, Střítež, 674 01 Třebíč IČ:29286719</w:t>
      </w:r>
    </w:p>
    <w:p w:rsidR="004A3228" w:rsidRDefault="0021557F">
      <w:pPr>
        <w:pStyle w:val="Jin0"/>
        <w:framePr w:w="3082" w:h="1651" w:wrap="none" w:vAnchor="text" w:hAnchor="page" w:x="546" w:y="15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 w:line="346" w:lineRule="auto"/>
        <w:jc w:val="left"/>
        <w:rPr>
          <w:sz w:val="13"/>
          <w:szCs w:val="13"/>
        </w:rPr>
      </w:pPr>
      <w:r>
        <w:rPr>
          <w:rFonts w:ascii="Tahoma" w:eastAsia="Tahoma" w:hAnsi="Tahoma" w:cs="Tahoma"/>
          <w:sz w:val="13"/>
          <w:szCs w:val="13"/>
        </w:rPr>
        <w:t>zápis v OR vedeném KS v Brně, oddíl B, vložka 6406</w:t>
      </w:r>
    </w:p>
    <w:p w:rsidR="004A3228" w:rsidRDefault="0021557F">
      <w:pPr>
        <w:pStyle w:val="Jin0"/>
        <w:framePr w:w="3082" w:h="1651" w:wrap="none" w:vAnchor="text" w:hAnchor="page" w:x="546" w:y="15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43" w:lineRule="auto"/>
        <w:jc w:val="left"/>
        <w:rPr>
          <w:sz w:val="13"/>
          <w:szCs w:val="13"/>
        </w:rPr>
      </w:pPr>
      <w:r>
        <w:rPr>
          <w:rFonts w:ascii="Tahoma" w:eastAsia="Tahoma" w:hAnsi="Tahoma" w:cs="Tahoma"/>
          <w:sz w:val="13"/>
          <w:szCs w:val="13"/>
        </w:rPr>
        <w:t xml:space="preserve">email pro </w:t>
      </w:r>
      <w:proofErr w:type="gramStart"/>
      <w:r>
        <w:rPr>
          <w:rFonts w:ascii="Tahoma" w:eastAsia="Tahoma" w:hAnsi="Tahoma" w:cs="Tahoma"/>
          <w:sz w:val="13"/>
          <w:szCs w:val="13"/>
        </w:rPr>
        <w:t>zasíláni</w:t>
      </w:r>
      <w:proofErr w:type="gramEnd"/>
      <w:r>
        <w:rPr>
          <w:rFonts w:ascii="Tahoma" w:eastAsia="Tahoma" w:hAnsi="Tahoma" w:cs="Tahoma"/>
          <w:sz w:val="13"/>
          <w:szCs w:val="13"/>
        </w:rPr>
        <w:t xml:space="preserve"> dokladů: </w:t>
      </w:r>
      <w:hyperlink r:id="rId8" w:history="1">
        <w:r>
          <w:rPr>
            <w:rFonts w:ascii="Tahoma" w:eastAsia="Tahoma" w:hAnsi="Tahoma" w:cs="Tahoma"/>
            <w:sz w:val="13"/>
            <w:szCs w:val="13"/>
            <w:lang w:val="en-US" w:eastAsia="en-US" w:bidi="en-US"/>
          </w:rPr>
          <w:t>fakturace@agrokop.cz</w:t>
        </w:r>
      </w:hyperlink>
      <w:r>
        <w:rPr>
          <w:rFonts w:ascii="Tahoma" w:eastAsia="Tahoma" w:hAnsi="Tahoma" w:cs="Tahoma"/>
          <w:sz w:val="13"/>
          <w:szCs w:val="13"/>
          <w:lang w:val="en-US" w:eastAsia="en-US" w:bidi="en-US"/>
        </w:rPr>
        <w:t xml:space="preserve"> </w:t>
      </w:r>
      <w:r>
        <w:rPr>
          <w:i/>
          <w:iCs/>
          <w:sz w:val="13"/>
          <w:szCs w:val="13"/>
          <w:u w:val="single"/>
        </w:rPr>
        <w:t>zastoupená obchodním zástupcem:</w:t>
      </w:r>
    </w:p>
    <w:p w:rsidR="004A3228" w:rsidRDefault="0021557F">
      <w:pPr>
        <w:pStyle w:val="Zkladntext1"/>
        <w:framePr w:w="1056" w:h="235" w:wrap="none" w:vAnchor="text" w:hAnchor="page" w:x="1583" w:y="3265"/>
        <w:pBdr>
          <w:bottom w:val="single" w:sz="4" w:space="0" w:color="auto"/>
        </w:pBdr>
        <w:shd w:val="clear" w:color="auto" w:fill="auto"/>
        <w:spacing w:line="240" w:lineRule="auto"/>
        <w:jc w:val="left"/>
      </w:pPr>
      <w:r>
        <w:t>Ing. Jiří Daněk</w:t>
      </w:r>
    </w:p>
    <w:p w:rsidR="004A3228" w:rsidRDefault="0021557F">
      <w:pPr>
        <w:pStyle w:val="Jin0"/>
        <w:framePr w:w="1190" w:h="163" w:wrap="none" w:vAnchor="text" w:hAnchor="page" w:x="1497" w:y="3500"/>
        <w:shd w:val="clear" w:color="auto" w:fill="auto"/>
        <w:spacing w:line="240" w:lineRule="auto"/>
        <w:jc w:val="left"/>
        <w:rPr>
          <w:sz w:val="12"/>
          <w:szCs w:val="12"/>
        </w:rPr>
      </w:pPr>
      <w:r>
        <w:rPr>
          <w:i/>
          <w:iCs/>
          <w:sz w:val="12"/>
          <w:szCs w:val="12"/>
        </w:rPr>
        <w:t>na základě zmocnění</w:t>
      </w:r>
    </w:p>
    <w:p w:rsidR="004A3228" w:rsidRDefault="0021557F">
      <w:pPr>
        <w:pStyle w:val="Jin0"/>
        <w:framePr w:w="1622" w:h="264" w:wrap="none" w:vAnchor="text" w:hAnchor="page" w:x="594" w:y="4307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rFonts w:ascii="Segoe UI" w:eastAsia="Segoe UI" w:hAnsi="Segoe UI" w:cs="Segoe UI"/>
          <w:sz w:val="17"/>
          <w:szCs w:val="17"/>
        </w:rPr>
        <w:t xml:space="preserve">□ </w:t>
      </w:r>
      <w:r>
        <w:rPr>
          <w:rFonts w:ascii="Segoe UI" w:eastAsia="Segoe UI" w:hAnsi="Segoe UI" w:cs="Segoe UI"/>
          <w:sz w:val="17"/>
          <w:szCs w:val="17"/>
        </w:rPr>
        <w:t>uživatel již založen</w:t>
      </w:r>
    </w:p>
    <w:p w:rsidR="004A3228" w:rsidRDefault="0021557F">
      <w:pPr>
        <w:pStyle w:val="Jin0"/>
        <w:framePr w:w="2112" w:h="264" w:wrap="none" w:vAnchor="text" w:hAnchor="page" w:x="2457" w:y="4311"/>
        <w:shd w:val="clear" w:color="auto" w:fill="auto"/>
        <w:spacing w:line="240" w:lineRule="auto"/>
        <w:jc w:val="left"/>
        <w:rPr>
          <w:sz w:val="19"/>
          <w:szCs w:val="19"/>
        </w:rPr>
      </w:pPr>
      <w:hyperlink r:id="rId9" w:history="1">
        <w:r>
          <w:rPr>
            <w:rFonts w:ascii="Arial" w:eastAsia="Arial" w:hAnsi="Arial" w:cs="Arial"/>
            <w:sz w:val="19"/>
            <w:szCs w:val="19"/>
            <w:lang w:val="en-US" w:eastAsia="en-US" w:bidi="en-US"/>
          </w:rPr>
          <w:t>www.obchod.agrokop.cz</w:t>
        </w:r>
      </w:hyperlink>
    </w:p>
    <w:p w:rsidR="004A3228" w:rsidRDefault="0021557F">
      <w:pPr>
        <w:pStyle w:val="Nadpis50"/>
        <w:keepNext/>
        <w:keepLines/>
        <w:framePr w:w="4166" w:h="317" w:wrap="none" w:vAnchor="text" w:hAnchor="page" w:x="5999" w:y="1777"/>
        <w:shd w:val="clear" w:color="auto" w:fill="auto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4A3228" w:rsidRDefault="0021557F">
      <w:pPr>
        <w:pStyle w:val="Jin0"/>
        <w:framePr w:w="1142" w:h="202" w:wrap="none" w:vAnchor="text" w:hAnchor="page" w:x="7526" w:y="2108"/>
        <w:shd w:val="clear" w:color="auto" w:fill="auto"/>
        <w:spacing w:line="240" w:lineRule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Obchodní jméno</w:t>
      </w:r>
    </w:p>
    <w:p w:rsidR="004A3228" w:rsidRDefault="0021557F">
      <w:pPr>
        <w:pStyle w:val="Jin0"/>
        <w:framePr w:w="2458" w:h="216" w:wrap="none" w:vAnchor="text" w:hAnchor="page" w:x="6882" w:y="2391"/>
        <w:shd w:val="clear" w:color="auto" w:fill="auto"/>
        <w:spacing w:line="240" w:lineRule="auto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661 - Veřejná výzkumná instituce</w:t>
      </w:r>
    </w:p>
    <w:p w:rsidR="004A3228" w:rsidRDefault="0021557F">
      <w:pPr>
        <w:pStyle w:val="Zkladntext1"/>
        <w:framePr w:w="2352" w:h="235" w:wrap="none" w:vAnchor="text" w:hAnchor="page" w:x="6930" w:y="2636"/>
        <w:shd w:val="clear" w:color="auto" w:fill="auto"/>
        <w:spacing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Zápis do OR </w:t>
      </w:r>
      <w:r>
        <w:rPr>
          <w:b/>
          <w:bCs/>
          <w:i/>
          <w:iCs/>
        </w:rPr>
        <w:t>ti jiného veřejného rejstříku</w:t>
      </w:r>
    </w:p>
    <w:p w:rsidR="004A3228" w:rsidRDefault="0021557F">
      <w:pPr>
        <w:pStyle w:val="Nadpis60"/>
        <w:keepNext/>
        <w:keepLines/>
        <w:framePr w:w="4589" w:h="283" w:wrap="none" w:vAnchor="text" w:hAnchor="page" w:x="5826" w:y="2891"/>
        <w:shd w:val="clear" w:color="auto" w:fill="auto"/>
        <w:spacing w:after="0"/>
        <w:jc w:val="left"/>
      </w:pPr>
      <w:bookmarkStart w:id="4" w:name="bookmark4"/>
      <w:r>
        <w:t xml:space="preserve">Drnovská 507, Praha 6 - Ruzyně, 161 06 </w:t>
      </w:r>
      <w:r>
        <w:t>Praha 614</w:t>
      </w:r>
      <w:bookmarkEnd w:id="4"/>
    </w:p>
    <w:p w:rsidR="004A3228" w:rsidRDefault="0021557F">
      <w:pPr>
        <w:pStyle w:val="Nadpis50"/>
        <w:keepNext/>
        <w:keepLines/>
        <w:framePr w:w="1805" w:h="317" w:wrap="none" w:vAnchor="text" w:hAnchor="page" w:x="4761" w:y="3663"/>
        <w:shd w:val="clear" w:color="auto" w:fill="auto"/>
      </w:pPr>
      <w:bookmarkStart w:id="5" w:name="bookmark5"/>
      <w:r>
        <w:t>ICO: 00027006</w:t>
      </w:r>
      <w:bookmarkEnd w:id="5"/>
    </w:p>
    <w:p w:rsidR="004A3228" w:rsidRDefault="0021557F">
      <w:pPr>
        <w:pStyle w:val="Jin0"/>
        <w:framePr w:w="1680" w:h="216" w:wrap="none" w:vAnchor="text" w:hAnchor="page" w:x="5327" w:y="4071"/>
        <w:shd w:val="clear" w:color="auto" w:fill="auto"/>
        <w:spacing w:line="240" w:lineRule="auto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25635 - 061 / 0100</w:t>
      </w:r>
    </w:p>
    <w:p w:rsidR="004A3228" w:rsidRDefault="0021557F">
      <w:pPr>
        <w:pStyle w:val="Jin0"/>
        <w:framePr w:w="1661" w:h="202" w:wrap="none" w:vAnchor="text" w:hAnchor="page" w:x="7132" w:y="3222"/>
        <w:shd w:val="clear" w:color="auto" w:fill="auto"/>
        <w:spacing w:line="240" w:lineRule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Sídlo nebo místo podnikání</w:t>
      </w:r>
    </w:p>
    <w:p w:rsidR="004A3228" w:rsidRDefault="0021557F">
      <w:pPr>
        <w:pStyle w:val="Jin0"/>
        <w:framePr w:w="2054" w:h="192" w:wrap="none" w:vAnchor="text" w:hAnchor="page" w:x="5126" w:y="4307"/>
        <w:shd w:val="clear" w:color="auto" w:fill="auto"/>
        <w:spacing w:line="240" w:lineRule="auto"/>
        <w:jc w:val="left"/>
        <w:rPr>
          <w:sz w:val="12"/>
          <w:szCs w:val="12"/>
        </w:rPr>
      </w:pPr>
      <w:r>
        <w:rPr>
          <w:i/>
          <w:iCs/>
          <w:sz w:val="12"/>
          <w:szCs w:val="12"/>
        </w:rPr>
        <w:t>číslo běžného účtu (vč. kódu banky)</w:t>
      </w:r>
    </w:p>
    <w:p w:rsidR="004A3228" w:rsidRDefault="004A3228">
      <w:pPr>
        <w:pStyle w:val="Nadpis30"/>
        <w:keepNext/>
        <w:keepLines/>
        <w:framePr w:w="3782" w:h="461" w:wrap="none" w:vAnchor="text" w:hAnchor="page" w:x="8486" w:y="3203"/>
        <w:shd w:val="clear" w:color="auto" w:fill="auto"/>
      </w:pPr>
    </w:p>
    <w:p w:rsidR="004A3228" w:rsidRDefault="0021557F">
      <w:pPr>
        <w:pStyle w:val="Zkladntext1"/>
        <w:framePr w:w="3782" w:h="461" w:wrap="none" w:vAnchor="text" w:hAnchor="page" w:x="8486" w:y="3203"/>
        <w:shd w:val="clear" w:color="auto" w:fill="auto"/>
        <w:tabs>
          <w:tab w:val="left" w:pos="2299"/>
          <w:tab w:val="left" w:pos="3677"/>
        </w:tabs>
        <w:spacing w:line="230" w:lineRule="auto"/>
      </w:pPr>
      <w:r>
        <w:rPr>
          <w:i/>
          <w:iCs/>
        </w:rPr>
        <w:tab/>
      </w:r>
      <w:r>
        <w:rPr>
          <w:i/>
          <w:iCs/>
          <w:color w:val="171458"/>
        </w:rPr>
        <w:t>'</w:t>
      </w:r>
      <w:r>
        <w:rPr>
          <w:i/>
          <w:iCs/>
          <w:color w:val="171458"/>
        </w:rPr>
        <w:tab/>
        <w:t>'</w:t>
      </w:r>
    </w:p>
    <w:p w:rsidR="004A3228" w:rsidRDefault="0021557F">
      <w:pPr>
        <w:pStyle w:val="Jin0"/>
        <w:framePr w:w="710" w:h="192" w:wrap="none" w:vAnchor="text" w:hAnchor="page" w:x="8082" w:y="3788"/>
        <w:shd w:val="clear" w:color="auto" w:fill="auto"/>
        <w:spacing w:line="240" w:lineRule="auto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sz w:val="13"/>
          <w:szCs w:val="13"/>
        </w:rPr>
        <w:t>zastoupeni</w:t>
      </w:r>
    </w:p>
    <w:p w:rsidR="004A3228" w:rsidRDefault="0021557F">
      <w:pPr>
        <w:pStyle w:val="Jin0"/>
        <w:framePr w:w="1210" w:h="178" w:wrap="none" w:vAnchor="text" w:hAnchor="page" w:x="9023" w:y="3803"/>
        <w:shd w:val="clear" w:color="auto" w:fill="auto"/>
        <w:spacing w:line="240" w:lineRule="auto"/>
        <w:jc w:val="left"/>
        <w:rPr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(</w:t>
      </w:r>
      <w:proofErr w:type="gramStart"/>
      <w:r>
        <w:rPr>
          <w:rFonts w:ascii="Arial" w:eastAsia="Arial" w:hAnsi="Arial" w:cs="Arial"/>
          <w:i/>
          <w:iCs/>
          <w:sz w:val="12"/>
          <w:szCs w:val="12"/>
        </w:rPr>
        <w:t>jméno(a) a funkce</w:t>
      </w:r>
      <w:proofErr w:type="gramEnd"/>
      <w:r>
        <w:rPr>
          <w:rFonts w:ascii="Arial" w:eastAsia="Arial" w:hAnsi="Arial" w:cs="Arial"/>
          <w:i/>
          <w:iCs/>
          <w:sz w:val="12"/>
          <w:szCs w:val="12"/>
        </w:rPr>
        <w:t>)</w:t>
      </w:r>
    </w:p>
    <w:p w:rsidR="004A3228" w:rsidRDefault="0021557F">
      <w:pPr>
        <w:pStyle w:val="Jin0"/>
        <w:framePr w:w="2275" w:h="278" w:wrap="none" w:vAnchor="text" w:hAnchor="page" w:x="8534" w:y="4028"/>
        <w:shd w:val="clear" w:color="auto" w:fill="auto"/>
        <w:spacing w:line="240" w:lineRule="auto"/>
        <w:jc w:val="left"/>
        <w:rPr>
          <w:sz w:val="20"/>
          <w:szCs w:val="20"/>
        </w:rPr>
      </w:pPr>
      <w:hyperlink r:id="rId10" w:history="1">
        <w:r>
          <w:rPr>
            <w:rFonts w:ascii="Arial" w:eastAsia="Arial" w:hAnsi="Arial" w:cs="Arial"/>
            <w:sz w:val="20"/>
            <w:szCs w:val="20"/>
            <w:lang w:val="en-US" w:eastAsia="en-US" w:bidi="en-US"/>
          </w:rPr>
          <w:t>vurv.ivanovice@infos.cz</w:t>
        </w:r>
      </w:hyperlink>
    </w:p>
    <w:p w:rsidR="004A3228" w:rsidRDefault="0021557F">
      <w:pPr>
        <w:pStyle w:val="Jin0"/>
        <w:framePr w:w="1522" w:h="187" w:wrap="none" w:vAnchor="text" w:hAnchor="page" w:x="8908" w:y="4287"/>
        <w:shd w:val="clear" w:color="auto" w:fill="auto"/>
        <w:spacing w:line="240" w:lineRule="auto"/>
        <w:jc w:val="left"/>
        <w:rPr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 xml:space="preserve">e-mail pro </w:t>
      </w:r>
      <w:proofErr w:type="gramStart"/>
      <w:r>
        <w:rPr>
          <w:rFonts w:ascii="Arial" w:eastAsia="Arial" w:hAnsi="Arial" w:cs="Arial"/>
          <w:i/>
          <w:iCs/>
          <w:sz w:val="12"/>
          <w:szCs w:val="12"/>
        </w:rPr>
        <w:t>zasíláni</w:t>
      </w:r>
      <w:proofErr w:type="gramEnd"/>
      <w:r>
        <w:rPr>
          <w:rFonts w:ascii="Arial" w:eastAsia="Arial" w:hAnsi="Arial" w:cs="Arial"/>
          <w:i/>
          <w:iCs/>
          <w:sz w:val="12"/>
          <w:szCs w:val="12"/>
        </w:rPr>
        <w:t xml:space="preserve"> faktur</w:t>
      </w:r>
    </w:p>
    <w:p w:rsidR="004A3228" w:rsidRDefault="0021557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6149975</wp:posOffset>
            </wp:positionH>
            <wp:positionV relativeFrom="paragraph">
              <wp:posOffset>350520</wp:posOffset>
            </wp:positionV>
            <wp:extent cx="481330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8133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line="360" w:lineRule="exact"/>
      </w:pPr>
    </w:p>
    <w:p w:rsidR="004A3228" w:rsidRDefault="004A3228">
      <w:pPr>
        <w:spacing w:after="600" w:line="14" w:lineRule="exact"/>
      </w:pPr>
    </w:p>
    <w:p w:rsidR="004A3228" w:rsidRDefault="004A3228">
      <w:pPr>
        <w:spacing w:line="14" w:lineRule="exact"/>
        <w:sectPr w:rsidR="004A32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443" w:h="17107"/>
          <w:pgMar w:top="498" w:right="176" w:bottom="469" w:left="70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26"/>
        <w:gridCol w:w="2194"/>
        <w:gridCol w:w="1099"/>
        <w:gridCol w:w="1003"/>
        <w:gridCol w:w="2947"/>
        <w:gridCol w:w="1992"/>
      </w:tblGrid>
      <w:tr w:rsidR="004A322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54" w:lineRule="auto"/>
              <w:jc w:val="center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Předmětem této smlouvy, která vychází z platné rámcové smlouvy 0 poskytování zboží a služeb (dále jen „RS"), je konkretizace platebních podmínek dodávaných pesticidů, 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>hnojiv a osiv.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  <w:rPr>
                <w:sz w:val="10"/>
                <w:szCs w:val="10"/>
              </w:rPr>
            </w:pPr>
          </w:p>
        </w:tc>
        <w:tc>
          <w:tcPr>
            <w:tcW w:w="70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PESTICIDY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SLEVY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before="10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*' %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množstevní velkoodběr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</w:pPr>
            <w:r>
              <w:rPr>
                <w:i/>
                <w:iCs/>
              </w:rPr>
              <w:t>realizace z ceníkové ceny (bez DPH) v momentě vystavení daňového dokladu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4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0,25 - 8,0 %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360" w:line="240" w:lineRule="auto"/>
              <w:ind w:left="20"/>
              <w:jc w:val="center"/>
            </w:pPr>
            <w:r>
              <w:rPr>
                <w:i/>
                <w:iCs/>
              </w:rPr>
              <w:t>nebo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400" w:line="240" w:lineRule="auto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8,5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-li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right="12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za Úhradu </w:t>
            </w:r>
            <w:r>
              <w:rPr>
                <w:rFonts w:ascii="Tahoma" w:eastAsia="Tahoma" w:hAnsi="Tahoma" w:cs="Tahoma"/>
                <w:sz w:val="13"/>
                <w:szCs w:val="13"/>
              </w:rPr>
              <w:t>daňového dokladu (i části)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konkrétní výše slevy závisí na termínu úhrady, při </w:t>
            </w:r>
            <w:r>
              <w:rPr>
                <w:sz w:val="12"/>
                <w:szCs w:val="12"/>
              </w:rPr>
              <w:t>úhradě do 15 dnů od data vystavení faktury činí 8%, při úhradě v den splatnosti činí 5,5 %, je-li úhrada provedena před datem splatnosti, je k základu 5,5% připočítáváno navýšení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0,033% </w:t>
            </w:r>
            <w:r>
              <w:rPr>
                <w:sz w:val="12"/>
                <w:szCs w:val="12"/>
                <w:vertAlign w:val="superscript"/>
              </w:rPr>
              <w:t>za</w:t>
            </w:r>
            <w:r>
              <w:rPr>
                <w:sz w:val="12"/>
                <w:szCs w:val="12"/>
              </w:rPr>
              <w:t xml:space="preserve"> každý den před datem splatnosti až do max. výše 7 %, při úhradě provedené po datu </w:t>
            </w:r>
            <w:proofErr w:type="spellStart"/>
            <w:r>
              <w:rPr>
                <w:sz w:val="12"/>
                <w:szCs w:val="12"/>
              </w:rPr>
              <w:t>splanosti</w:t>
            </w:r>
            <w:proofErr w:type="spellEnd"/>
            <w:r>
              <w:rPr>
                <w:sz w:val="12"/>
                <w:szCs w:val="12"/>
              </w:rPr>
              <w:t xml:space="preserve"> náleží v první den po splatnosti sleva 5,0 % a za každý další den "po splatnosti" se odpočítává srážka 0,25% (blíže viz Příloha </w:t>
            </w:r>
            <w:proofErr w:type="spellStart"/>
            <w:proofErr w:type="gramStart"/>
            <w:r>
              <w:rPr>
                <w:sz w:val="12"/>
                <w:szCs w:val="12"/>
              </w:rPr>
              <w:t>č.i</w:t>
            </w:r>
            <w:proofErr w:type="spellEnd"/>
            <w:r>
              <w:rPr>
                <w:sz w:val="12"/>
                <w:szCs w:val="12"/>
              </w:rPr>
              <w:t xml:space="preserve"> "Sleva</w:t>
            </w:r>
            <w:proofErr w:type="gramEnd"/>
            <w:r>
              <w:rPr>
                <w:sz w:val="12"/>
                <w:szCs w:val="12"/>
              </w:rPr>
              <w:t xml:space="preserve"> za provedení platby pest</w:t>
            </w:r>
            <w:r>
              <w:rPr>
                <w:sz w:val="12"/>
                <w:szCs w:val="12"/>
              </w:rPr>
              <w:t>icidů-pro různé varianty splatnosti"),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výpočet slevy bude prováděn k ultimu každého měsíce, realizace formou opravného daňového dokladu se splatností ke konci následujícího měsíce.</w:t>
            </w:r>
            <w:r>
              <w:rPr>
                <w:sz w:val="12"/>
                <w:szCs w:val="12"/>
              </w:rPr>
              <w:t xml:space="preserve"> Slevu prodávající neposkytne, pokud bude částka nižší než 100 Kč bez DPH a </w:t>
            </w:r>
            <w:r>
              <w:rPr>
                <w:sz w:val="12"/>
                <w:szCs w:val="12"/>
              </w:rPr>
              <w:t>dále v případě, že u kupujícího eviduje jakékoli faktury po splatnosti.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platbu předem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71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výše slevy závisí na délce intervalu mezi dnem úhrady zálohy a DUZP (dodávky zboží). Za prvních 30 dnů z citovaného intervalu je sleva 8,5%, za každý další se k </w:t>
            </w:r>
            <w:r>
              <w:rPr>
                <w:sz w:val="12"/>
                <w:szCs w:val="12"/>
              </w:rPr>
              <w:t xml:space="preserve">základu 8,5% připočítává denní sazba 0,0075%, a to až do maximální výše slevy 11 % (viz Příloha </w:t>
            </w:r>
            <w:proofErr w:type="gramStart"/>
            <w:r>
              <w:rPr>
                <w:sz w:val="12"/>
                <w:szCs w:val="12"/>
              </w:rPr>
              <w:t>č.2 "PESTICIDY</w:t>
            </w:r>
            <w:proofErr w:type="gramEnd"/>
            <w:r>
              <w:rPr>
                <w:sz w:val="12"/>
                <w:szCs w:val="12"/>
              </w:rPr>
              <w:t>- sleva za platbu předem")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71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sleva se vypočítává ze sjednané kupní ceny (bez DPH), tj. ceníková cena ponížená 0 případnou slevu za množstevní </w:t>
            </w:r>
            <w:r>
              <w:rPr>
                <w:i/>
                <w:iCs/>
                <w:sz w:val="12"/>
                <w:szCs w:val="12"/>
              </w:rPr>
              <w:t>velkoodběr, a to do výše uhrazené zálohy bez DPH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za obrat Kč nejméně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**/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nejvyšší dosažená varianta slevy bude přiznána koncem kalendářního roku z obratu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za obrat Kč nejméně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**/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tabs>
                <w:tab w:val="left" w:pos="1392"/>
              </w:tabs>
              <w:spacing w:line="307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sjeuiidiiycii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Kupmcii</w:t>
            </w:r>
            <w:proofErr w:type="spellEnd"/>
            <w:r>
              <w:rPr>
                <w:sz w:val="12"/>
                <w:szCs w:val="12"/>
              </w:rPr>
              <w:tab/>
              <w:t xml:space="preserve">se </w:t>
            </w:r>
            <w:proofErr w:type="spellStart"/>
            <w:r>
              <w:rPr>
                <w:sz w:val="12"/>
                <w:szCs w:val="12"/>
              </w:rPr>
              <w:t>zdpuciidniiu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puuze</w:t>
            </w:r>
            <w:proofErr w:type="spellEnd"/>
            <w:r>
              <w:rPr>
                <w:sz w:val="12"/>
                <w:szCs w:val="12"/>
              </w:rPr>
              <w:t xml:space="preserve"> teči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95" w:lineRule="auto"/>
              <w:rPr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 xml:space="preserve">vyhodnocování plně uhrazeny a úhrada proběhla n </w:t>
            </w:r>
            <w:r>
              <w:rPr>
                <w:sz w:val="12"/>
                <w:szCs w:val="12"/>
              </w:rPr>
              <w:t xml:space="preserve">statnosti maximálně do m </w:t>
            </w:r>
            <w:proofErr w:type="spellStart"/>
            <w:r>
              <w:rPr>
                <w:sz w:val="12"/>
                <w:szCs w:val="12"/>
              </w:rPr>
              <w:t>m</w:t>
            </w:r>
            <w:proofErr w:type="spellEnd"/>
            <w:r>
              <w:rPr>
                <w:sz w:val="12"/>
                <w:szCs w:val="12"/>
              </w:rPr>
              <w:t xml:space="preserve"> následujícího roku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10"/>
                <w:szCs w:val="10"/>
              </w:rPr>
              <w:t>ibkiui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10"/>
                <w:szCs w:val="10"/>
              </w:rPr>
              <w:t>mcic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uuuuu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uuue</w:t>
            </w:r>
            <w:proofErr w:type="spellEnd"/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93" w:lineRule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sz w:val="13"/>
                <w:szCs w:val="13"/>
              </w:rPr>
              <w:t>sjpozději</w:t>
            </w:r>
            <w:proofErr w:type="spellEnd"/>
            <w:r>
              <w:rPr>
                <w:rFonts w:ascii="Tahoma" w:eastAsia="Tahoma" w:hAnsi="Tahoma" w:cs="Tahoma"/>
                <w:sz w:val="13"/>
                <w:szCs w:val="13"/>
              </w:rPr>
              <w:t xml:space="preserve"> 30. den po </w:t>
            </w:r>
            <w:proofErr w:type="spellStart"/>
            <w:r>
              <w:rPr>
                <w:rFonts w:ascii="Tahoma" w:eastAsia="Tahoma" w:hAnsi="Tahoma" w:cs="Tahoma"/>
                <w:sz w:val="13"/>
                <w:szCs w:val="13"/>
              </w:rPr>
              <w:t>Ihůtě</w:t>
            </w:r>
            <w:proofErr w:type="spellEnd"/>
            <w:r>
              <w:rPr>
                <w:rFonts w:ascii="Tahoma" w:eastAsia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3"/>
                <w:szCs w:val="13"/>
              </w:rPr>
              <w:t>ealizace</w:t>
            </w:r>
            <w:proofErr w:type="spellEnd"/>
            <w:r>
              <w:rPr>
                <w:rFonts w:ascii="Tahoma" w:eastAsia="Tahoma" w:hAnsi="Tahoma" w:cs="Tahoma"/>
                <w:sz w:val="13"/>
                <w:szCs w:val="13"/>
              </w:rPr>
              <w:t xml:space="preserve"> opravným daňovým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B6D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za obrat Kč nejméně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**/x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 xml:space="preserve">dokladem splatným k </w:t>
            </w:r>
            <w:proofErr w:type="gramStart"/>
            <w:r>
              <w:rPr>
                <w:rFonts w:ascii="Tahoma" w:eastAsia="Tahoma" w:hAnsi="Tahoma" w:cs="Tahoma"/>
                <w:sz w:val="13"/>
                <w:szCs w:val="13"/>
              </w:rPr>
              <w:t>31.1</w:t>
            </w:r>
            <w:proofErr w:type="gramEnd"/>
            <w:r>
              <w:rPr>
                <w:rFonts w:ascii="Tahoma" w:eastAsia="Tahoma" w:hAnsi="Tahoma" w:cs="Tahoma"/>
                <w:sz w:val="13"/>
                <w:szCs w:val="13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3"/>
                <w:szCs w:val="13"/>
              </w:rPr>
              <w:t>roku</w:t>
            </w:r>
            <w:proofErr w:type="gramEnd"/>
            <w:r>
              <w:rPr>
                <w:rFonts w:ascii="Tahoma" w:eastAsia="Tahoma" w:hAnsi="Tahoma" w:cs="Tahoma"/>
                <w:sz w:val="13"/>
                <w:szCs w:val="13"/>
              </w:rPr>
              <w:t xml:space="preserve"> následujícího</w:t>
            </w: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tabs>
                <w:tab w:val="left" w:pos="6399"/>
              </w:tabs>
              <w:spacing w:line="240" w:lineRule="auto"/>
              <w:ind w:left="1100"/>
            </w:pPr>
            <w:r>
              <w:rPr>
                <w:i/>
                <w:iCs/>
              </w:rPr>
              <w:t xml:space="preserve">*/ </w:t>
            </w:r>
            <w:r>
              <w:rPr>
                <w:i/>
                <w:iCs/>
              </w:rPr>
              <w:t>doplňte chybějící údaj v % na jedno desetinné místo nebo proškrtněte</w:t>
            </w:r>
            <w:r>
              <w:rPr>
                <w:i/>
                <w:iCs/>
              </w:rPr>
              <w:tab/>
              <w:t>~doplňte chybějící údaj v Kč nebo proškrtněte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o,5%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331" w:lineRule="auto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za objednávku v elektronickém objednávkovém systému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93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 xml:space="preserve">sleva bude přiznána koncem kalendářního roku z obratu objednávek uskutečněných 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prostřednictvím elektronického objednávkového systému, tyto objednávky budou v době vyhodnocování plně uhrazeny a úhrada proběhla nejpozději 30. den po </w:t>
            </w:r>
            <w:proofErr w:type="spellStart"/>
            <w:r>
              <w:rPr>
                <w:rFonts w:ascii="Tahoma" w:eastAsia="Tahoma" w:hAnsi="Tahoma" w:cs="Tahoma"/>
                <w:sz w:val="13"/>
                <w:szCs w:val="13"/>
              </w:rPr>
              <w:t>Ihůtě</w:t>
            </w:r>
            <w:proofErr w:type="spellEnd"/>
            <w:r>
              <w:rPr>
                <w:rFonts w:ascii="Tahoma" w:eastAsia="Tahoma" w:hAnsi="Tahoma" w:cs="Tahoma"/>
                <w:sz w:val="13"/>
                <w:szCs w:val="13"/>
              </w:rPr>
              <w:t xml:space="preserve"> splatnosti, maximálně do </w:t>
            </w:r>
            <w:proofErr w:type="gramStart"/>
            <w:r>
              <w:rPr>
                <w:rFonts w:ascii="Tahoma" w:eastAsia="Tahoma" w:hAnsi="Tahoma" w:cs="Tahoma"/>
                <w:sz w:val="13"/>
                <w:szCs w:val="13"/>
              </w:rPr>
              <w:t>05.01. následujícího</w:t>
            </w:r>
            <w:proofErr w:type="gramEnd"/>
            <w:r>
              <w:rPr>
                <w:rFonts w:ascii="Tahoma" w:eastAsia="Tahoma" w:hAnsi="Tahoma" w:cs="Tahoma"/>
                <w:sz w:val="13"/>
                <w:szCs w:val="13"/>
              </w:rPr>
              <w:t xml:space="preserve"> roku, realizace opravným daňovým dokladem splatným k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31.1. roku následujícího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9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likvidaci odpadu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9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finanční příspěvek na likvidaci odpadu (sleva) bude přiznán koncem kalendářního roku z obratu sjednaných kupních cen (s vyloučením faktur, které jsou v době vyhodnocování v prodlení) za období aktuálního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 kalendářního roku, podmínky přiznání a realizace jsou popsány v níže uvedeném článku ODPAD ZOBALŮ A PŘÍSPĚVEK NA JEHO LIKVIDACI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  <w:rPr>
                <w:sz w:val="10"/>
                <w:szCs w:val="10"/>
              </w:rPr>
            </w:pP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Zboží </w:t>
            </w:r>
            <w:proofErr w:type="gramStart"/>
            <w:r>
              <w:rPr>
                <w:rFonts w:ascii="Segoe UI" w:eastAsia="Segoe UI" w:hAnsi="Segoe UI" w:cs="Segoe UI"/>
                <w:sz w:val="17"/>
                <w:szCs w:val="17"/>
              </w:rPr>
              <w:t>za</w:t>
            </w:r>
            <w:proofErr w:type="gramEnd"/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>"konečnou cenu"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>Bude-li kupujícímu v dílčích nabídkách (mimo ceník) prodávajícím nabízeno a prodáváno zboží za "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>KONEČNOU CEN U", kupující již nemá nárok na žádnou z výše uvedených slev.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  <w:rPr>
                <w:sz w:val="10"/>
                <w:szCs w:val="10"/>
              </w:rPr>
            </w:pP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SPLATNOST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100" w:line="240" w:lineRule="auto"/>
              <w:jc w:val="left"/>
            </w:pPr>
            <w:r>
              <w:rPr>
                <w:i/>
                <w:iCs/>
              </w:rPr>
              <w:t>* * * 1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ind w:left="28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6O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dnU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od data vystavení daňového dokladu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— Standardní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Ihuta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Splatnosti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cenová přirážka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za prodloužení splatností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</w:pPr>
            <w:r>
              <w:rPr>
                <w:i/>
                <w:iCs/>
              </w:rPr>
              <w:t>** *1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64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120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dnU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3"/>
                <w:szCs w:val="13"/>
              </w:rPr>
              <w:t xml:space="preserve">od data vystavení daňového </w:t>
            </w:r>
            <w:r>
              <w:rPr>
                <w:rFonts w:ascii="Tahoma" w:eastAsia="Tahoma" w:hAnsi="Tahoma" w:cs="Tahoma"/>
                <w:sz w:val="13"/>
                <w:szCs w:val="13"/>
              </w:rPr>
              <w:t>dokladu, a to pro dodávky realizované do ■•/■•/ 2024 po výše uvedeném termínu se sjednává splatnost v délce 60 dnů od vystavení dokladu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0,5%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  <w:rPr>
                <w:sz w:val="10"/>
                <w:szCs w:val="10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odklad k 30. září 2024, pro dodávky realizované v termínu do 31. července 2024,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 xml:space="preserve">po výše uvedeném termínu se </w:t>
            </w:r>
            <w:r>
              <w:rPr>
                <w:rFonts w:ascii="Tahoma" w:eastAsia="Tahoma" w:hAnsi="Tahoma" w:cs="Tahoma"/>
                <w:sz w:val="13"/>
                <w:szCs w:val="13"/>
              </w:rPr>
              <w:t>sjednává standardní splatnost v délce 60 dnů od vystavení dokladu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1,0%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228" w:rsidRDefault="004A3228">
            <w:pPr>
              <w:framePr w:w="11131" w:h="9902" w:vSpace="466" w:wrap="notBeside" w:vAnchor="text" w:hAnchor="text" w:y="467"/>
              <w:rPr>
                <w:sz w:val="10"/>
                <w:szCs w:val="10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after="40"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odklad k 29. listopadu 2024, pro dodávky realizované v termínu do 30. září 2024,</w:t>
            </w:r>
          </w:p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left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po výše uvedeném termínu se sjednává standardní splatnost v délce 60 dnů od vystavení dokladu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1,5%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3228" w:rsidRDefault="004A3228">
            <w:pPr>
              <w:framePr w:w="11131" w:h="9902" w:vSpace="466" w:wrap="notBeside" w:vAnchor="text" w:hAnchor="text" w:y="467"/>
            </w:pPr>
          </w:p>
        </w:tc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framePr w:w="11131" w:h="9902" w:vSpace="466" w:wrap="notBeside" w:vAnchor="text" w:hAnchor="text" w:y="467"/>
              <w:shd w:val="clear" w:color="auto" w:fill="auto"/>
              <w:tabs>
                <w:tab w:val="left" w:pos="595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</w:rPr>
              <w:t>***/ sjednanou variantu (pouze jednu) označte v předtištěném políčku křížkem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PX^</w:t>
            </w:r>
          </w:p>
        </w:tc>
      </w:tr>
    </w:tbl>
    <w:p w:rsidR="004A3228" w:rsidRDefault="0021557F">
      <w:pPr>
        <w:pStyle w:val="Titulektabulky0"/>
        <w:framePr w:w="1872" w:h="187" w:hSpace="9259" w:wrap="notBeside" w:vAnchor="text" w:hAnchor="text" w:x="1110" w:y="1"/>
        <w:shd w:val="clear" w:color="auto" w:fill="auto"/>
      </w:pPr>
      <w:r>
        <w:t>elektronický objednávkový systém</w:t>
      </w:r>
    </w:p>
    <w:p w:rsidR="004A3228" w:rsidRDefault="0021557F">
      <w:pPr>
        <w:pStyle w:val="Titulektabulky0"/>
        <w:framePr w:w="1013" w:h="187" w:hSpace="10118" w:wrap="notBeside" w:vAnchor="text" w:hAnchor="text" w:x="4095" w:y="1"/>
        <w:shd w:val="clear" w:color="auto" w:fill="auto"/>
      </w:pPr>
      <w:r>
        <w:t>přihlašovací email</w:t>
      </w:r>
    </w:p>
    <w:p w:rsidR="004A3228" w:rsidRDefault="0021557F">
      <w:pPr>
        <w:pStyle w:val="Titulektabulky0"/>
        <w:framePr w:w="1003" w:h="187" w:hSpace="10128" w:wrap="notBeside" w:vAnchor="text" w:hAnchor="text" w:x="7206" w:y="1"/>
        <w:shd w:val="clear" w:color="auto" w:fill="auto"/>
      </w:pPr>
      <w:r>
        <w:t>přihlašovací heslo</w:t>
      </w:r>
    </w:p>
    <w:p w:rsidR="004A3228" w:rsidRDefault="004A3228">
      <w:pPr>
        <w:spacing w:line="14" w:lineRule="exact"/>
      </w:pPr>
    </w:p>
    <w:p w:rsidR="004A3228" w:rsidRDefault="0021557F">
      <w:pPr>
        <w:pStyle w:val="Nadpis20"/>
        <w:keepNext/>
        <w:keepLines/>
        <w:pBdr>
          <w:top w:val="single" w:sz="4" w:space="0" w:color="auto"/>
        </w:pBdr>
        <w:shd w:val="clear" w:color="auto" w:fill="auto"/>
      </w:pPr>
      <w:bookmarkStart w:id="6" w:name="bookmark7"/>
      <w:r>
        <w:lastRenderedPageBreak/>
        <w:t>HNOJIVÁ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26"/>
        <w:gridCol w:w="3283"/>
        <w:gridCol w:w="5899"/>
      </w:tblGrid>
      <w:tr w:rsidR="004A322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0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SLEVY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množstevní velkoodběr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shd w:val="clear" w:color="auto" w:fill="auto"/>
              <w:jc w:val="left"/>
            </w:pPr>
            <w:r>
              <w:t>dle jednotlivých druhů hnojiv a velikosti daného</w:t>
            </w:r>
            <w:r>
              <w:t xml:space="preserve"> obchodu - konkrétní </w:t>
            </w:r>
            <w:proofErr w:type="spellStart"/>
            <w:r>
              <w:t>možft</w:t>
            </w:r>
            <w:proofErr w:type="spellEnd"/>
            <w:r>
              <w:t>, informace v ceníku hnojiv,</w:t>
            </w:r>
          </w:p>
          <w:p w:rsidR="004A3228" w:rsidRDefault="0021557F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realizace z ceníkové ceny (bez DPH) v momentě vystavení daňového dokladu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platbu předem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slevu za platbu předem lze sjednat individuálně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SPLATNOST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30 dnů</w:t>
            </w:r>
          </w:p>
        </w:tc>
        <w:tc>
          <w:tcPr>
            <w:tcW w:w="9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od data vystavení daňového 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dokladu = standardní lhůta splatnosti, pro některá hnojivá je standardní </w:t>
            </w:r>
            <w:proofErr w:type="spellStart"/>
            <w:r>
              <w:rPr>
                <w:rFonts w:ascii="Segoe UI" w:eastAsia="Segoe UI" w:hAnsi="Segoe UI" w:cs="Segoe UI"/>
                <w:sz w:val="17"/>
                <w:szCs w:val="17"/>
              </w:rPr>
              <w:t>Ihůta</w:t>
            </w:r>
            <w:proofErr w:type="spellEnd"/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60 dnů, rozdílnosti dle jednotlivých druhů </w:t>
            </w:r>
            <w:proofErr w:type="spellStart"/>
            <w:r>
              <w:rPr>
                <w:rFonts w:ascii="Segoe UI" w:eastAsia="Segoe UI" w:hAnsi="Segoe UI" w:cs="Segoe UI"/>
                <w:sz w:val="17"/>
                <w:szCs w:val="17"/>
              </w:rPr>
              <w:t>hnojivjsou</w:t>
            </w:r>
            <w:proofErr w:type="spellEnd"/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uváděny v ceníku hnojiv,</w:t>
            </w:r>
          </w:p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>standardní lhůta splatnosti bude aplikována automaticky ve všech případech prodejů, vyjma obchodů,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kdy si kupující předem v dílčí objednávce sjedná splatnost delší s přirážkou za prodloužení splatnosti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0,03 %/den</w:t>
            </w:r>
          </w:p>
        </w:tc>
        <w:tc>
          <w:tcPr>
            <w:tcW w:w="9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shd w:val="clear" w:color="auto" w:fill="auto"/>
              <w:spacing w:line="252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je cenová přirážka za prodloužení lhůty splatnosti, která bude v případě smluvního prodloužení standardní splatnosti daňového dokladu (nad 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lhůtu splatnosti uváděnou v ceníku) účtována za každý den prodloužení k sjednané kupní ceně hnojivá, tj. k-ceníkové ceně ponížené 0 případnou slevu za </w:t>
            </w:r>
            <w:proofErr w:type="spellStart"/>
            <w:r>
              <w:rPr>
                <w:rFonts w:ascii="Segoe UI" w:eastAsia="Segoe UI" w:hAnsi="Segoe UI" w:cs="Segoe UI"/>
                <w:sz w:val="17"/>
                <w:szCs w:val="17"/>
              </w:rPr>
              <w:t>množst</w:t>
            </w:r>
            <w:proofErr w:type="spellEnd"/>
            <w:r>
              <w:rPr>
                <w:rFonts w:ascii="Segoe UI" w:eastAsia="Segoe UI" w:hAnsi="Segoe UI" w:cs="Segoe UI"/>
                <w:sz w:val="17"/>
                <w:szCs w:val="17"/>
              </w:rPr>
              <w:t>. velkoodběr.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4A3228">
            <w:pPr>
              <w:rPr>
                <w:sz w:val="10"/>
                <w:szCs w:val="10"/>
              </w:rPr>
            </w:pP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OSIVA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SLEVY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množstevní velkoodběr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dle jednotlivých druhů a 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>odrůd osiv a velikosti daného obchodu - konkrétní možnosti a informace v ceníku osiv</w:t>
            </w:r>
          </w:p>
          <w:p w:rsidR="004A3228" w:rsidRDefault="0021557F">
            <w:pPr>
              <w:pStyle w:val="Jin0"/>
              <w:shd w:val="clear" w:color="auto" w:fill="auto"/>
              <w:spacing w:line="290" w:lineRule="auto"/>
              <w:jc w:val="left"/>
            </w:pPr>
            <w:r>
              <w:rPr>
                <w:i/>
                <w:iCs/>
              </w:rPr>
              <w:t>realizace z ceníkové ceny (bez DPH) v momentě vystavení daňového dokladu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4A322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"individuální"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 platbu předem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>slevu za platbu předem lze sjednat individuálně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3228" w:rsidRDefault="0021557F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SPLATNOST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"</w:t>
            </w:r>
            <w:r>
              <w:rPr>
                <w:i/>
                <w:iCs/>
              </w:rPr>
              <w:t>individuální"</w:t>
            </w:r>
          </w:p>
        </w:tc>
        <w:tc>
          <w:tcPr>
            <w:tcW w:w="9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228" w:rsidRDefault="0021557F">
            <w:pPr>
              <w:pStyle w:val="Jin0"/>
              <w:shd w:val="clear" w:color="auto" w:fill="auto"/>
              <w:spacing w:line="252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standardní lhůty splatnosti na jednotlivé druhy (případně i odrůdy) osiv jsou variabilní, jsou uváděny </w:t>
            </w:r>
            <w:proofErr w:type="spellStart"/>
            <w:r>
              <w:rPr>
                <w:rFonts w:ascii="Segoe UI" w:eastAsia="Segoe UI" w:hAnsi="Segoe UI" w:cs="Segoe UI"/>
                <w:sz w:val="17"/>
                <w:szCs w:val="17"/>
              </w:rPr>
              <w:t>vceníku</w:t>
            </w:r>
            <w:proofErr w:type="spellEnd"/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osiv, tyto standardní lhůty splatnosti budou aplikovány automaticky ve všech případech prodejů, vyjma těch případů, kdy si kupující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předem v dílčí objednávce zboží sjedná splatnost delší s příslušnou přirážkou za prodloužení splatnosti</w:t>
            </w:r>
          </w:p>
        </w:tc>
      </w:tr>
      <w:tr w:rsidR="004A322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3228" w:rsidRDefault="004A322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228" w:rsidRDefault="0021557F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0,03 %/den</w:t>
            </w:r>
          </w:p>
        </w:tc>
        <w:tc>
          <w:tcPr>
            <w:tcW w:w="9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228" w:rsidRDefault="0021557F">
            <w:pPr>
              <w:pStyle w:val="Jin0"/>
              <w:shd w:val="clear" w:color="auto" w:fill="auto"/>
              <w:spacing w:line="252" w:lineRule="auto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sz w:val="17"/>
                <w:szCs w:val="17"/>
              </w:rPr>
              <w:t>je cenová přirážka za prodloužení lhůty splatnosti, která bude v případě smluvního prodloužení standardní splatnosti daňového dokladu (nad</w:t>
            </w:r>
            <w:r>
              <w:rPr>
                <w:rFonts w:ascii="Segoe UI" w:eastAsia="Segoe UI" w:hAnsi="Segoe UI" w:cs="Segoe UI"/>
                <w:sz w:val="17"/>
                <w:szCs w:val="17"/>
              </w:rPr>
              <w:t xml:space="preserve"> lhůtu splatnosti uváděnou v ceníku) účtována za každý den prodloužení k sjednané kupní ceně osiva, tj. k ceníkové ceně ponížené 0 případnou slevu za </w:t>
            </w:r>
            <w:proofErr w:type="spellStart"/>
            <w:r>
              <w:rPr>
                <w:rFonts w:ascii="Segoe UI" w:eastAsia="Segoe UI" w:hAnsi="Segoe UI" w:cs="Segoe UI"/>
                <w:sz w:val="17"/>
                <w:szCs w:val="17"/>
              </w:rPr>
              <w:t>množst</w:t>
            </w:r>
            <w:proofErr w:type="spellEnd"/>
            <w:r>
              <w:rPr>
                <w:rFonts w:ascii="Segoe UI" w:eastAsia="Segoe UI" w:hAnsi="Segoe UI" w:cs="Segoe UI"/>
                <w:sz w:val="17"/>
                <w:szCs w:val="17"/>
              </w:rPr>
              <w:t>. velkoodběr.</w:t>
            </w:r>
          </w:p>
        </w:tc>
      </w:tr>
    </w:tbl>
    <w:p w:rsidR="004A3228" w:rsidRDefault="004A3228">
      <w:pPr>
        <w:spacing w:after="226" w:line="14" w:lineRule="exact"/>
      </w:pPr>
    </w:p>
    <w:p w:rsidR="004A3228" w:rsidRDefault="0021557F">
      <w:pPr>
        <w:pStyle w:val="Nadpis60"/>
        <w:keepNext/>
        <w:keepLines/>
        <w:pBdr>
          <w:bottom w:val="single" w:sz="4" w:space="0" w:color="auto"/>
        </w:pBdr>
        <w:shd w:val="clear" w:color="auto" w:fill="auto"/>
        <w:spacing w:after="40"/>
      </w:pPr>
      <w:bookmarkStart w:id="7" w:name="bookmark8"/>
      <w:r>
        <w:t>OBJEDNÁNÍ ZBOŽÍ PROSTŘEDNICTVÍM ONLINE APLIKACE</w:t>
      </w:r>
      <w:bookmarkEnd w:id="7"/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</w:pPr>
      <w:r>
        <w:t xml:space="preserve">Smluvní strany společně uzavřely </w:t>
      </w:r>
      <w:r>
        <w:t xml:space="preserve">Rámcovou smlouvu o poskytování zboží a služeb. Smluvní strany doplňují ustanovení čl. I. odst. 3 Rámcové smlouvy, kdy objednávka může být učiněna rovněž prostřednictvím internetu. Tato část pak upravuje uzavírán! </w:t>
      </w:r>
      <w:proofErr w:type="gramStart"/>
      <w:r>
        <w:t>dílčích</w:t>
      </w:r>
      <w:proofErr w:type="gramEnd"/>
      <w:r>
        <w:t xml:space="preserve"> smluv předpokládaných rámcovou smlo</w:t>
      </w:r>
      <w:r>
        <w:t>uvou prostřednictvím aplikace umístěné na internetu.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jc w:val="left"/>
      </w:pPr>
      <w:r>
        <w:t xml:space="preserve">Aplikace sloužící k uzavírání dílčích smluv prostřednictvím internetu je pro kupujícího přístupná na internetové stránce s adresou: </w:t>
      </w:r>
      <w:hyperlink r:id="rId18" w:history="1">
        <w:r>
          <w:rPr>
            <w:lang w:val="en-US" w:eastAsia="en-US" w:bidi="en-US"/>
          </w:rPr>
          <w:t>www.obchod.agrokop.cz</w:t>
        </w:r>
      </w:hyperlink>
      <w:r>
        <w:rPr>
          <w:lang w:val="en-US" w:eastAsia="en-US" w:bidi="en-US"/>
        </w:rPr>
        <w:t xml:space="preserve"> </w:t>
      </w:r>
      <w:r>
        <w:t>Uživatelské jméno kupujícího: zvolí si kupující při sepsání Smlouvy o platebních podmínkách</w:t>
      </w:r>
    </w:p>
    <w:p w:rsidR="004A3228" w:rsidRDefault="0021557F">
      <w:pPr>
        <w:pStyle w:val="Zkladntext1"/>
        <w:shd w:val="clear" w:color="auto" w:fill="auto"/>
      </w:pPr>
      <w:r>
        <w:t xml:space="preserve">Heslo: zvol! </w:t>
      </w:r>
      <w:proofErr w:type="gramStart"/>
      <w:r>
        <w:t>si</w:t>
      </w:r>
      <w:proofErr w:type="gramEnd"/>
      <w:r>
        <w:t xml:space="preserve"> kupující při sepsání Smlouvy o platebních podmínkách, kdykoli jej může prostřednictvím obchodního oddělení prodávajícího změnit.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80"/>
      </w:pPr>
      <w:r>
        <w:t xml:space="preserve">Po zadání </w:t>
      </w:r>
      <w:r>
        <w:t>internetové adresy do vyhledávače se kupujícímu zobrazí internetová stránka, ze které je přístupná aplikace. Pro přístup do aplikace je zapotřebí, aby se kupující přihlásil tím, že zadá své uživatelské jméno a heslo. Ze svého uživatelského rozhraní může ku</w:t>
      </w:r>
      <w:r>
        <w:t>pující provádět objednávání zboží (dále jen „uživatelský účet").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Kupující i prodávající je povinen zachovávat mlčenlivost ohledně informací nezbytných k přístupu do jeho uživatelského účtu. Kupující není oprávněn umožnit využívání uživatelského účtu třetím</w:t>
      </w:r>
      <w:r>
        <w:t xml:space="preserve"> osobám.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Kupující bere na vědomí, že uživatelský účet nemusí být dostupný nepřetržitě, a to zejména s ohledem na nutnou údržbu hardwarového a softwarového vybavení prodávajícího, popř. nutnou údržbu hardwarového a softwarového vybavení třetích osob.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Vešker</w:t>
      </w:r>
      <w:r>
        <w:t>á prezentace zboží umístěná ve webovém rozhraní je informativního charakteru a prodávající není povinen uzavřít kupní smlouvu ohledně tohoto zboží. Ustanovení § 1732 odst. 1 občanského zákoníku se tak nepoužije. Informace ve webovém rozhraní jsou uváděny s</w:t>
      </w:r>
      <w:r>
        <w:t xml:space="preserve"> výhradou vyčerpání zásob nebo ztráty schopnosti prodávajícího plnit.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Pro objednání zboží vyplní kupující objednávkový formulář ve webovém rozhraní. Před zasláním objednávky prodávajícímu je kupujícímu umožněno zkontrolovat a měnit údaje, které do objednáv</w:t>
      </w:r>
      <w:r>
        <w:t>ky kupující vložil. Objednávku odešle kupující prodávajícímu kliknutím na tlačítko „Dokončit objednávku". Prodávající neprodleně po obdržení objednávky toto obdržení kupujícímu potvrdí elektronickou poštou. Potvrzení obdržení objednávky prodávajícím je aut</w:t>
      </w:r>
      <w:r>
        <w:t>omaticky generováno softwarem prodávajícího a má pro kupujícího pouhý informativní charakter o tom, že objednávka kupujícího byla prodávajícímu řádně doručena. Přijetí tohoto potvrzení tak nemá za následek uzavření kupní smlouvy. Prodávající následně v při</w:t>
      </w:r>
      <w:r>
        <w:t>měřené lhůtě informuje kupujícího o přijetí (akceptaci), případně nepřijetí jeho objednávky. Tato informace může být kupujícímu zaslána na jeho elektronickou adresu, nebo sdělena telefonicky, případně osobně. Nepřijetí objednávky si prodávající vyhrazuje p</w:t>
      </w:r>
      <w:r>
        <w:t xml:space="preserve">ředevším v případě vyčerpání zásob zboží nebo ztráty schopnosti prodávajícího plnit. Okamžikem, kdy bylo přijetí objednávky doručeno kupujícímu, došlo k uzavření dílčí kupní smlouvy ve smyslu </w:t>
      </w:r>
      <w:proofErr w:type="spellStart"/>
      <w:r>
        <w:t>čl.l</w:t>
      </w:r>
      <w:proofErr w:type="spellEnd"/>
      <w:r>
        <w:t xml:space="preserve"> </w:t>
      </w:r>
      <w:proofErr w:type="gramStart"/>
      <w:r>
        <w:t>odst.2 Rámcové</w:t>
      </w:r>
      <w:proofErr w:type="gramEnd"/>
      <w:r>
        <w:t xml:space="preserve"> smlouvy.</w:t>
      </w:r>
    </w:p>
    <w:p w:rsidR="004A3228" w:rsidRDefault="0021557F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  <w:spacing w:after="40"/>
      </w:pPr>
      <w:r>
        <w:t>Slevu 0,5% za objednávku v elektron</w:t>
      </w:r>
      <w:r>
        <w:t>ickém objednávkovém systému prodávající neposkytne, pokud bude po jejím výpočtu částka nižší než 100 Kč bez DPH.</w:t>
      </w:r>
    </w:p>
    <w:p w:rsidR="004A3228" w:rsidRDefault="0021557F">
      <w:pPr>
        <w:pStyle w:val="Nadpis60"/>
        <w:keepNext/>
        <w:keepLines/>
        <w:pBdr>
          <w:bottom w:val="single" w:sz="4" w:space="0" w:color="auto"/>
        </w:pBdr>
        <w:shd w:val="clear" w:color="auto" w:fill="auto"/>
        <w:spacing w:after="80"/>
      </w:pPr>
      <w:bookmarkStart w:id="8" w:name="bookmark9"/>
      <w:r>
        <w:t>DISTRIBUCE CHEMICKÝCH PŘÍPRAVKŮ NA OCHRANU ROSTLIN</w:t>
      </w:r>
      <w:bookmarkEnd w:id="8"/>
    </w:p>
    <w:p w:rsidR="004A3228" w:rsidRDefault="0021557F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80" w:line="264" w:lineRule="auto"/>
      </w:pPr>
      <w:r>
        <w:t>V případě distribuce chemických přípravků na ochranu rostlin k profesionálnímu použití kupuj</w:t>
      </w:r>
      <w:r>
        <w:t xml:space="preserve">ící prohlašuje, že zajistí, že s přípravky bude nakládat pouze držitel osvědčení druhého nebo třetího stupně odborné způsobilosti pro nakládání s přípravky na ochranu rostlin dle ustanovení § 46a odst. 3 písm. g) zákona č. 326/2004 Sb., o rostlinolékařské </w:t>
      </w:r>
      <w:r>
        <w:t>péči, ve znění pozdějších právních předpisů. Kupující prohlašuje, že kontaktní osoba, která je oprávněna k převzetí takového přípravku, je osoba, která je držitelem osvědčení prvního, druhého nebo třetího stupně. Předem, nebo nejpozději v objednávce, je ku</w:t>
      </w:r>
      <w:r>
        <w:t>pující povinen uvést pořadové číslo osvědčení kontaktní osoby a datum vydání tohoto osvědčení.</w:t>
      </w:r>
    </w:p>
    <w:p w:rsidR="004A3228" w:rsidRDefault="0021557F">
      <w:pPr>
        <w:pStyle w:val="Nadpis60"/>
        <w:keepNext/>
        <w:keepLines/>
        <w:shd w:val="clear" w:color="auto" w:fill="auto"/>
        <w:tabs>
          <w:tab w:val="left" w:leader="underscore" w:pos="1805"/>
          <w:tab w:val="left" w:leader="underscore" w:pos="4728"/>
          <w:tab w:val="left" w:leader="underscore" w:pos="11040"/>
        </w:tabs>
        <w:spacing w:after="0"/>
        <w:jc w:val="both"/>
      </w:pPr>
      <w:bookmarkStart w:id="9" w:name="bookmark10"/>
      <w:r>
        <w:rPr>
          <w:u w:val="single"/>
        </w:rPr>
        <w:tab/>
      </w:r>
      <w:r>
        <w:rPr>
          <w:u w:val="single"/>
        </w:rPr>
        <w:tab/>
        <w:t>ÚHRADY FAKTUR</w:t>
      </w:r>
      <w:r>
        <w:rPr>
          <w:u w:val="single"/>
        </w:rPr>
        <w:tab/>
      </w:r>
      <w:bookmarkEnd w:id="9"/>
    </w:p>
    <w:p w:rsidR="004A3228" w:rsidRDefault="0021557F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Při úhradě závazků kupujícího vůči prodávajícímu bude postupováno tak, že jednotlivé faktury budou hrazeny v pořadí dle jejich lhůt splatnosti.</w:t>
      </w:r>
    </w:p>
    <w:p w:rsidR="004A3228" w:rsidRDefault="0021557F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</w:pPr>
      <w:r>
        <w:t>Úhrady před datem splatnosti lze provádět dle výběru kupujícího jen v případě, nebude-li v den této úhrady existovat žádný jiný dluh kupujícího, který je po splatnosti nebo by měl být v den uvažované úhrady splatný.</w:t>
      </w:r>
    </w:p>
    <w:p w:rsidR="004A3228" w:rsidRDefault="0021557F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spacing w:after="200"/>
      </w:pPr>
      <w:r>
        <w:t xml:space="preserve">Dojde-li i přes tato ujednání, viz </w:t>
      </w:r>
      <w:proofErr w:type="spellStart"/>
      <w:r>
        <w:t>odst</w:t>
      </w:r>
      <w:proofErr w:type="spellEnd"/>
      <w:r>
        <w:t xml:space="preserve"> </w:t>
      </w:r>
      <w:r>
        <w:t xml:space="preserve">(1) a (2) tohoto článku, k úhradám závazků </w:t>
      </w:r>
      <w:proofErr w:type="spellStart"/>
      <w:r>
        <w:t>vjiném</w:t>
      </w:r>
      <w:proofErr w:type="spellEnd"/>
      <w:r>
        <w:t xml:space="preserve"> pořadí, prodávající má právo </w:t>
      </w:r>
      <w:r>
        <w:rPr>
          <w:sz w:val="18"/>
          <w:szCs w:val="18"/>
        </w:rPr>
        <w:t xml:space="preserve">nerespektovat </w:t>
      </w:r>
      <w:r>
        <w:t>výše uvedená ujednání o slevách za provedené úhrady, bonus za provedení platby se nepřiznává. Dále se bonus nepřiznává, je-li nižší než 100,- Kč</w:t>
      </w:r>
    </w:p>
    <w:p w:rsidR="004A3228" w:rsidRDefault="0021557F">
      <w:pPr>
        <w:pStyle w:val="Jin0"/>
        <w:pBdr>
          <w:bottom w:val="single" w:sz="4" w:space="0" w:color="auto"/>
        </w:pBdr>
        <w:shd w:val="clear" w:color="auto" w:fill="auto"/>
        <w:spacing w:after="80"/>
        <w:jc w:val="center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lastRenderedPageBreak/>
        <w:t>PLATBY PŘEDEM (ZÁL</w:t>
      </w:r>
      <w:r>
        <w:rPr>
          <w:rFonts w:ascii="Arial" w:eastAsia="Arial" w:hAnsi="Arial" w:cs="Arial"/>
          <w:sz w:val="17"/>
          <w:szCs w:val="17"/>
        </w:rPr>
        <w:t>OHY)</w:t>
      </w:r>
      <w:r>
        <w:br w:type="page"/>
      </w:r>
    </w:p>
    <w:p w:rsidR="004A3228" w:rsidRDefault="0021557F">
      <w:pPr>
        <w:pStyle w:val="Zkladntext1"/>
        <w:shd w:val="clear" w:color="auto" w:fill="auto"/>
        <w:ind w:left="760"/>
        <w:jc w:val="right"/>
      </w:pPr>
      <w:proofErr w:type="spellStart"/>
      <w:r>
        <w:lastRenderedPageBreak/>
        <w:t>piu</w:t>
      </w:r>
      <w:proofErr w:type="spellEnd"/>
      <w:r>
        <w:t xml:space="preserve"> kupujícího o provedení </w:t>
      </w:r>
      <w:proofErr w:type="spellStart"/>
      <w:r>
        <w:t>předplatby</w:t>
      </w:r>
      <w:proofErr w:type="spellEnd"/>
      <w:r>
        <w:t xml:space="preserve"> na budoucí nákup zboží požádá prodávajícího o vystavení </w:t>
      </w:r>
      <w:r>
        <w:rPr>
          <w:b/>
          <w:bCs/>
        </w:rPr>
        <w:t xml:space="preserve">zálohové faktury. </w:t>
      </w:r>
      <w:r>
        <w:t xml:space="preserve">Výhodou této nestandardní formy </w:t>
      </w:r>
      <w:proofErr w:type="spellStart"/>
      <w:r>
        <w:t>xání</w:t>
      </w:r>
      <w:proofErr w:type="spellEnd"/>
      <w:r>
        <w:t xml:space="preserve"> vyšších slev. Standardní slevy za provedení úhrad daňových dokladů (viz výše) jsou v tomto případě </w:t>
      </w:r>
      <w:r>
        <w:t>nahrazeny slevou za platbu předem.</w:t>
      </w:r>
    </w:p>
    <w:p w:rsidR="004A3228" w:rsidRDefault="0021557F">
      <w:pPr>
        <w:pStyle w:val="Zkladntext1"/>
        <w:shd w:val="clear" w:color="auto" w:fill="auto"/>
        <w:ind w:left="440"/>
        <w:jc w:val="right"/>
      </w:pPr>
      <w:r>
        <w:t xml:space="preserve">,u přiznání této slevy je, aby ze strany prodávajícího vůči kupujícímu nebyly žádné pohledávky po lhůtě splatnosti, které by jinak byly přednostně Jány z provedené </w:t>
      </w:r>
      <w:proofErr w:type="spellStart"/>
      <w:r>
        <w:t>předplatby</w:t>
      </w:r>
      <w:proofErr w:type="spellEnd"/>
      <w:r>
        <w:t>, a to bez nároku na slevu. Prodávající si vyhr</w:t>
      </w:r>
      <w:r>
        <w:t>azuje právo možnosti odmítnutí nabízené platby předem. Bude-li k úhradě zboží</w:t>
      </w:r>
    </w:p>
    <w:p w:rsidR="004A3228" w:rsidRDefault="0021557F">
      <w:pPr>
        <w:pStyle w:val="Zkladntext1"/>
        <w:shd w:val="clear" w:color="auto" w:fill="auto"/>
        <w:spacing w:after="100"/>
        <w:ind w:left="240"/>
        <w:jc w:val="left"/>
      </w:pPr>
      <w:proofErr w:type="spellStart"/>
      <w:r>
        <w:t>ato</w:t>
      </w:r>
      <w:proofErr w:type="spellEnd"/>
      <w:r>
        <w:t xml:space="preserve"> </w:t>
      </w:r>
      <w:proofErr w:type="spellStart"/>
      <w:r>
        <w:t>zálohyjen</w:t>
      </w:r>
      <w:proofErr w:type="spellEnd"/>
      <w:r>
        <w:t xml:space="preserve"> z části, sleva bude úměrně krácena. Nevyčerpaná záloha bude kupujícímu vrácena na základě dohody.</w:t>
      </w:r>
    </w:p>
    <w:p w:rsidR="004A3228" w:rsidRDefault="0021557F">
      <w:pPr>
        <w:pStyle w:val="Jin0"/>
        <w:pBdr>
          <w:bottom w:val="single" w:sz="4" w:space="0" w:color="auto"/>
        </w:pBdr>
        <w:shd w:val="clear" w:color="auto" w:fill="auto"/>
        <w:spacing w:after="6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ODPAD Z OBALŮ a PŘÍSPĚVEK NA JEHO LIKVIDACI</w:t>
      </w:r>
    </w:p>
    <w:p w:rsidR="004A3228" w:rsidRDefault="0021557F">
      <w:pPr>
        <w:pStyle w:val="Zkladntext1"/>
        <w:numPr>
          <w:ilvl w:val="0"/>
          <w:numId w:val="4"/>
        </w:numPr>
        <w:shd w:val="clear" w:color="auto" w:fill="auto"/>
        <w:tabs>
          <w:tab w:val="left" w:pos="289"/>
        </w:tabs>
        <w:jc w:val="left"/>
      </w:pPr>
      <w:r>
        <w:t>Kupující, jako původce</w:t>
      </w:r>
      <w:r>
        <w:t xml:space="preserve"> odpadu vzniklého z obalů od spotřebovaného zboží, je povinen s tímto odpadem nakládat a zbavovat se ho způsobem stanoveným platnými právními předpisy (zákon č.185/2001, Sb., o </w:t>
      </w:r>
      <w:proofErr w:type="gramStart"/>
      <w:r>
        <w:t>odpadech ,vč.</w:t>
      </w:r>
      <w:proofErr w:type="gramEnd"/>
      <w:r>
        <w:t xml:space="preserve"> znění pozdějších předpisů).</w:t>
      </w:r>
    </w:p>
    <w:p w:rsidR="004A3228" w:rsidRDefault="0021557F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jc w:val="left"/>
      </w:pPr>
      <w:r>
        <w:t xml:space="preserve">Prodávající prohlašuje, že za </w:t>
      </w:r>
      <w:r>
        <w:t xml:space="preserve">podmínek dále uvedených, poskytne kupujícímu finanční příspěvek na likvidaci odpadu pocházejícího z obalů od pesticidů (dále i "zboží") dodaných prodávajícím. Příspěvek se bude týkat </w:t>
      </w:r>
      <w:proofErr w:type="spellStart"/>
      <w:r>
        <w:t>adekvotního</w:t>
      </w:r>
      <w:proofErr w:type="spellEnd"/>
      <w:r>
        <w:t xml:space="preserve"> množství odebraného zboží. Stanovení jeho výše - viz část "PE</w:t>
      </w:r>
      <w:r>
        <w:t xml:space="preserve">STICIDY“ na </w:t>
      </w:r>
      <w:proofErr w:type="spellStart"/>
      <w:r>
        <w:t>staně</w:t>
      </w:r>
      <w:proofErr w:type="spellEnd"/>
      <w:r>
        <w:t xml:space="preserve"> </w:t>
      </w:r>
      <w:proofErr w:type="spellStart"/>
      <w:r>
        <w:t>ítéto</w:t>
      </w:r>
      <w:proofErr w:type="spellEnd"/>
      <w:r>
        <w:t xml:space="preserve"> Smlouvy. Finanční příspěvek má formu slevy z obratu kupujícího dosaženého v pesticidech v aktuálním kalendářním roce, z tohoto obratu se vylučují faktury, které jsou v prodlení. U faktur evidovaných v době vyhodnocování v prodlení n</w:t>
      </w:r>
      <w:r>
        <w:t xml:space="preserve">emá kupující na tuto slevu nárok. Tato sleva bude realizována prostřednictvím opravného daňového dokladu splatného k </w:t>
      </w:r>
      <w:proofErr w:type="gramStart"/>
      <w:r>
        <w:t>31.1. roku</w:t>
      </w:r>
      <w:proofErr w:type="gramEnd"/>
      <w:r>
        <w:t xml:space="preserve"> následujícího. Příspěvek prodávající neposkytne, pokud bude po jeho výpočtu částka nižší než 100 Kč bez DPH.</w:t>
      </w:r>
    </w:p>
    <w:p w:rsidR="004A3228" w:rsidRDefault="0021557F">
      <w:pPr>
        <w:pStyle w:val="Jin0"/>
        <w:shd w:val="clear" w:color="auto" w:fill="auto"/>
        <w:tabs>
          <w:tab w:val="left" w:leader="underscore" w:pos="4622"/>
          <w:tab w:val="left" w:leader="underscore" w:pos="11078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  <w:t>ÚROK Z PRODLENÍ</w:t>
      </w:r>
      <w:r>
        <w:rPr>
          <w:b/>
          <w:bCs/>
          <w:sz w:val="20"/>
          <w:szCs w:val="20"/>
          <w:u w:val="single"/>
        </w:rPr>
        <w:tab/>
      </w:r>
    </w:p>
    <w:p w:rsidR="004A3228" w:rsidRDefault="0021557F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line="269" w:lineRule="auto"/>
      </w:pPr>
      <w:r>
        <w:t>P</w:t>
      </w:r>
      <w:r>
        <w:t xml:space="preserve">okud kupující neuhradí své peněžní závazky vzniklé z titulu dodání zboží nebo služeb řádně a včas, zavazuje se prodávajícímu zaplatit za každý den prodlení úrok z prodlení, který </w:t>
      </w:r>
      <w:proofErr w:type="gramStart"/>
      <w:r>
        <w:t>odpovídá</w:t>
      </w:r>
      <w:proofErr w:type="gramEnd"/>
      <w:r>
        <w:t xml:space="preserve"> ročně výši </w:t>
      </w:r>
      <w:proofErr w:type="gramStart"/>
      <w:r>
        <w:t>řepo</w:t>
      </w:r>
      <w:proofErr w:type="gramEnd"/>
      <w:r>
        <w:t xml:space="preserve"> sazby stanovené ČNB pro poslední den kalendářního po</w:t>
      </w:r>
      <w:r>
        <w:t xml:space="preserve">loletí, které předchází kalendářnímu pololetí, v němž došlo k prodlení, zvýšené o osm procentních bodů, nebude-li ve </w:t>
      </w:r>
      <w:proofErr w:type="spellStart"/>
      <w:r>
        <w:t>SoPP</w:t>
      </w:r>
      <w:proofErr w:type="spellEnd"/>
      <w:r>
        <w:t xml:space="preserve"> pro určitý druh zboží/služby </w:t>
      </w:r>
      <w:proofErr w:type="spellStart"/>
      <w:r>
        <w:t>uvedenojinak</w:t>
      </w:r>
      <w:proofErr w:type="spellEnd"/>
      <w:r>
        <w:t xml:space="preserve">. Řepo sazba zvýšená o osm procentních bodů znamená, že k výši 2T řepo sazby se připočte 8 </w:t>
      </w:r>
      <w:proofErr w:type="spellStart"/>
      <w:proofErr w:type="gramStart"/>
      <w:r>
        <w:t>p.</w:t>
      </w:r>
      <w:r>
        <w:t>b</w:t>
      </w:r>
      <w:proofErr w:type="spellEnd"/>
      <w:r>
        <w:t>.</w:t>
      </w:r>
      <w:proofErr w:type="gramEnd"/>
    </w:p>
    <w:p w:rsidR="004A3228" w:rsidRDefault="0021557F">
      <w:pPr>
        <w:pStyle w:val="Zkladntext1"/>
        <w:numPr>
          <w:ilvl w:val="0"/>
          <w:numId w:val="5"/>
        </w:numPr>
        <w:shd w:val="clear" w:color="auto" w:fill="auto"/>
        <w:tabs>
          <w:tab w:val="left" w:pos="298"/>
        </w:tabs>
        <w:spacing w:line="269" w:lineRule="auto"/>
      </w:pPr>
      <w:r>
        <w:t>Splatnost vyúčtovaných úroků z prodlení je 15 dnů.</w:t>
      </w:r>
    </w:p>
    <w:p w:rsidR="004A3228" w:rsidRDefault="0021557F">
      <w:pPr>
        <w:pStyle w:val="Jin0"/>
        <w:shd w:val="clear" w:color="auto" w:fill="auto"/>
        <w:tabs>
          <w:tab w:val="left" w:leader="underscore" w:pos="955"/>
          <w:tab w:val="left" w:leader="underscore" w:pos="1714"/>
          <w:tab w:val="left" w:leader="underscore" w:pos="2165"/>
          <w:tab w:val="left" w:leader="underscore" w:pos="2942"/>
          <w:tab w:val="left" w:leader="underscore" w:pos="3211"/>
          <w:tab w:val="left" w:leader="underscore" w:pos="4147"/>
          <w:tab w:val="left" w:leader="underscore" w:pos="11078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  <w:t>ZMĚNY CENOVÝCH PŘIRÁŽEK</w:t>
      </w:r>
      <w:r>
        <w:rPr>
          <w:b/>
          <w:bCs/>
          <w:sz w:val="20"/>
          <w:szCs w:val="20"/>
          <w:u w:val="single"/>
        </w:rPr>
        <w:tab/>
      </w:r>
    </w:p>
    <w:p w:rsidR="004A3228" w:rsidRDefault="0021557F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spacing w:line="269" w:lineRule="auto"/>
        <w:ind w:right="620"/>
        <w:jc w:val="left"/>
      </w:pPr>
      <w:r>
        <w:t>Prodávající si vyhrazuje právo na změnu výše cenových přirážek za realizaci jiné než standardní splatnosti (dále jen "cenová přirážka za prodloužení lhůty splatnosti"). Př</w:t>
      </w:r>
      <w:r>
        <w:t>ípadné změny výše cenových přirážek za prodloužení lhůty splatnosti budou kupujícímu oznámeny nejméně 15 dnů před datem jejich realizace.</w:t>
      </w:r>
    </w:p>
    <w:p w:rsidR="004A3228" w:rsidRDefault="0021557F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line="269" w:lineRule="auto"/>
        <w:jc w:val="left"/>
      </w:pPr>
      <w:r>
        <w:t>Nově vyhlašované cenové přirážky za prodloužení lhůty splatnosti se nebudou týkat dřívějších zdanitelných plnění, kter</w:t>
      </w:r>
      <w:r>
        <w:t>á byla realizována dříve, tj. před datem účinnosti nově vyhlášených sazeb cenových přirážek za prodloužení lhůty splatnosti.</w:t>
      </w:r>
    </w:p>
    <w:p w:rsidR="004A3228" w:rsidRDefault="0021557F">
      <w:pPr>
        <w:pStyle w:val="Zkladntext1"/>
        <w:numPr>
          <w:ilvl w:val="0"/>
          <w:numId w:val="6"/>
        </w:numPr>
        <w:shd w:val="clear" w:color="auto" w:fill="auto"/>
        <w:tabs>
          <w:tab w:val="left" w:pos="303"/>
        </w:tabs>
        <w:spacing w:line="269" w:lineRule="auto"/>
        <w:jc w:val="left"/>
      </w:pPr>
      <w:r>
        <w:t xml:space="preserve">Prodávajíc! </w:t>
      </w:r>
      <w:proofErr w:type="gramStart"/>
      <w:r>
        <w:t>se</w:t>
      </w:r>
      <w:proofErr w:type="gramEnd"/>
      <w:r>
        <w:t xml:space="preserve"> zavazuje, že ke změnám uvedeným v předcházejících odstavcích (1) a (2) tohoto článku přistoupí pouze v případě nutno</w:t>
      </w:r>
      <w:r>
        <w:t>sti a vzniku mimořádné tržní situace, a to jen při zdražení jím využívaných cizích zdrojů či nemožnosti jejich opětovného získání.</w:t>
      </w:r>
    </w:p>
    <w:p w:rsidR="004A3228" w:rsidRDefault="0021557F">
      <w:pPr>
        <w:pStyle w:val="Jin0"/>
        <w:shd w:val="clear" w:color="auto" w:fill="auto"/>
        <w:tabs>
          <w:tab w:val="left" w:leader="underscore" w:pos="4622"/>
          <w:tab w:val="left" w:leader="underscore" w:pos="11078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  <w:t>BEZPEČNOSTNÍ LISTY</w:t>
      </w:r>
      <w:r>
        <w:rPr>
          <w:b/>
          <w:bCs/>
          <w:sz w:val="20"/>
          <w:szCs w:val="20"/>
          <w:u w:val="single"/>
        </w:rPr>
        <w:tab/>
      </w:r>
    </w:p>
    <w:p w:rsidR="004A3228" w:rsidRDefault="0021557F">
      <w:pPr>
        <w:pStyle w:val="Zkladntext1"/>
        <w:shd w:val="clear" w:color="auto" w:fill="auto"/>
        <w:spacing w:line="269" w:lineRule="auto"/>
        <w:jc w:val="left"/>
      </w:pPr>
      <w:r>
        <w:t xml:space="preserve">(1) V návaznosti na povinnost Nařízení Evropského parlamentu a Rady (ES) č. 1907/2006 (REACH) uvedenou v článku 31 (poskytování bezpečnostního listu) jsou bezpečnostní listy přípravků k </w:t>
      </w:r>
      <w:proofErr w:type="gramStart"/>
      <w:r>
        <w:t>dispozicí</w:t>
      </w:r>
      <w:proofErr w:type="gramEnd"/>
      <w:r>
        <w:t xml:space="preserve"> v elektronické podobě na webových stránkách společnosti AGRO</w:t>
      </w:r>
      <w:r>
        <w:t xml:space="preserve">KOP CZ, a.s. - přímý odkaz </w:t>
      </w:r>
      <w:hyperlink r:id="rId19" w:history="1">
        <w:r>
          <w:rPr>
            <w:lang w:val="en-US" w:eastAsia="en-US" w:bidi="en-US"/>
          </w:rPr>
          <w:t>www.agrokop.cz/dokumenty</w:t>
        </w:r>
      </w:hyperlink>
      <w:r>
        <w:rPr>
          <w:lang w:val="en-US" w:eastAsia="en-US" w:bidi="en-US"/>
        </w:rPr>
        <w:t xml:space="preserve"> </w:t>
      </w:r>
      <w:r>
        <w:t xml:space="preserve">Dotčený subjekt (odběratel/koncový zákazník) </w:t>
      </w:r>
      <w:proofErr w:type="gramStart"/>
      <w:r>
        <w:t>bere</w:t>
      </w:r>
      <w:proofErr w:type="gramEnd"/>
      <w:r>
        <w:t xml:space="preserve"> tuto informaci na vědomí </w:t>
      </w:r>
      <w:proofErr w:type="gramStart"/>
      <w:r>
        <w:t>souhlasí</w:t>
      </w:r>
      <w:proofErr w:type="gramEnd"/>
      <w:r>
        <w:t xml:space="preserve"> s tím, že touto formou je plněna povinnost článku 31 (bod 8: „Bezpečnostní</w:t>
      </w:r>
      <w:r>
        <w:t xml:space="preserve"> list se poskytuje zdarma v tištěné nebo elektronické podobě nejpozději v den, kdy je látka nebo směs poprvé dodána") Nařízení Evropského parlamentu a Rady (ES) č. 1907/2006 o registraci, hodnocení, povolování a omezování chemických </w:t>
      </w:r>
      <w:proofErr w:type="gramStart"/>
      <w:r>
        <w:t>látek...</w:t>
      </w:r>
      <w:proofErr w:type="gramEnd"/>
      <w:r>
        <w:t xml:space="preserve"> (REACH) splněn</w:t>
      </w:r>
      <w:r>
        <w:t>a.</w:t>
      </w:r>
    </w:p>
    <w:p w:rsidR="004A3228" w:rsidRDefault="0021557F">
      <w:pPr>
        <w:pStyle w:val="Jin0"/>
        <w:shd w:val="clear" w:color="auto" w:fill="auto"/>
        <w:tabs>
          <w:tab w:val="left" w:leader="underscore" w:pos="5299"/>
          <w:tab w:val="left" w:leader="underscore" w:pos="11078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  <w:t>GDPR</w:t>
      </w:r>
      <w:r>
        <w:rPr>
          <w:b/>
          <w:bCs/>
          <w:sz w:val="20"/>
          <w:szCs w:val="20"/>
          <w:u w:val="single"/>
        </w:rPr>
        <w:tab/>
      </w:r>
    </w:p>
    <w:p w:rsidR="004A3228" w:rsidRDefault="0021557F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  <w:spacing w:line="271" w:lineRule="auto"/>
      </w:pPr>
      <w:r>
        <w:t xml:space="preserve">Vyplněním údajů se AGROKOP CZ, a.s. IČ 2928679 stává správcem osobních údajů kupujícího ve smyslu </w:t>
      </w:r>
      <w:proofErr w:type="spellStart"/>
      <w:r>
        <w:t>ust</w:t>
      </w:r>
      <w:proofErr w:type="spellEnd"/>
      <w:r>
        <w:t>. § 4 písm. j) ZOOÚ (</w:t>
      </w:r>
      <w:proofErr w:type="spellStart"/>
      <w:r>
        <w:t>ioi</w:t>
      </w:r>
      <w:proofErr w:type="spellEnd"/>
      <w:r>
        <w:t xml:space="preserve">/2OooSb.) a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4 bod 7 nařízení Evropského parlamentu a Rady (EU) 2016/679. Kupující může vznést námitku,</w:t>
      </w:r>
      <w:r>
        <w:t xml:space="preserve"> stejně jako může požadovat opravu udaných osobního údajů; požadovat sdělení, jaké osobní údaje prodávající eviduje, případně požádat o výmaz osobních údajů, bude-li to možné.</w:t>
      </w:r>
    </w:p>
    <w:p w:rsidR="004A3228" w:rsidRDefault="0021557F">
      <w:pPr>
        <w:pStyle w:val="Zkladntext1"/>
        <w:numPr>
          <w:ilvl w:val="0"/>
          <w:numId w:val="7"/>
        </w:numPr>
        <w:shd w:val="clear" w:color="auto" w:fill="auto"/>
        <w:tabs>
          <w:tab w:val="left" w:pos="303"/>
        </w:tabs>
        <w:spacing w:line="271" w:lineRule="auto"/>
        <w:jc w:val="left"/>
      </w:pPr>
      <w:r>
        <w:t xml:space="preserve">Informace o zpracování osobních údajů včetně kontaktních údajů jsou zveřejněny na webových stránkách </w:t>
      </w:r>
      <w:hyperlink r:id="rId20" w:history="1">
        <w:r>
          <w:rPr>
            <w:lang w:val="en-US" w:eastAsia="en-US" w:bidi="en-US"/>
          </w:rPr>
          <w:t>www.agrokop.cz</w:t>
        </w:r>
      </w:hyperlink>
      <w:r>
        <w:rPr>
          <w:lang w:val="en-US" w:eastAsia="en-US" w:bidi="en-US"/>
        </w:rPr>
        <w:t xml:space="preserve">; </w:t>
      </w:r>
      <w:r>
        <w:t>v jednom vyhotovení jsou předány při podpisu tohoto dokumentu.</w:t>
      </w:r>
    </w:p>
    <w:p w:rsidR="004A3228" w:rsidRDefault="0021557F">
      <w:pPr>
        <w:pStyle w:val="Zkladntext1"/>
        <w:numPr>
          <w:ilvl w:val="0"/>
          <w:numId w:val="7"/>
        </w:numPr>
        <w:shd w:val="clear" w:color="auto" w:fill="auto"/>
        <w:tabs>
          <w:tab w:val="left" w:pos="303"/>
        </w:tabs>
        <w:spacing w:line="269" w:lineRule="auto"/>
      </w:pPr>
      <w:r>
        <w:t>Subjekt údajů (kupující) má právo odmítn</w:t>
      </w:r>
      <w:r>
        <w:t xml:space="preserve">out zpracován! </w:t>
      </w:r>
      <w:proofErr w:type="gramStart"/>
      <w:r>
        <w:t>osobních</w:t>
      </w:r>
      <w:proofErr w:type="gramEnd"/>
      <w:r>
        <w:t xml:space="preserve"> údajů za marketingovým účelem, bez vlivu na uzavíraný právní vztah.</w:t>
      </w:r>
    </w:p>
    <w:p w:rsidR="004A3228" w:rsidRDefault="0021557F">
      <w:pPr>
        <w:pStyle w:val="Zkladntext1"/>
        <w:numPr>
          <w:ilvl w:val="0"/>
          <w:numId w:val="7"/>
        </w:numPr>
        <w:shd w:val="clear" w:color="auto" w:fill="auto"/>
        <w:tabs>
          <w:tab w:val="left" w:pos="303"/>
        </w:tabs>
        <w:spacing w:line="269" w:lineRule="auto"/>
      </w:pPr>
      <w:r>
        <w:t>Se zasíláním obchodních sdělení a nabídek prodávajícího elektronicky, telefonicky či prostřednictvím obchodního zástupce souhlasím.</w:t>
      </w:r>
    </w:p>
    <w:p w:rsidR="004A3228" w:rsidRDefault="004A3228">
      <w:pPr>
        <w:spacing w:line="14" w:lineRule="exact"/>
      </w:pPr>
    </w:p>
    <w:p w:rsidR="004A3228" w:rsidRDefault="0021557F">
      <w:pPr>
        <w:pStyle w:val="Jin0"/>
        <w:shd w:val="clear" w:color="auto" w:fill="auto"/>
        <w:tabs>
          <w:tab w:val="left" w:leader="underscore" w:pos="4354"/>
          <w:tab w:val="left" w:leader="underscore" w:pos="11074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ZÁVĚREČNÁ USTANOVENÍ</w:t>
      </w:r>
      <w:r>
        <w:rPr>
          <w:b/>
          <w:bCs/>
          <w:sz w:val="20"/>
          <w:szCs w:val="20"/>
        </w:rPr>
        <w:tab/>
      </w:r>
    </w:p>
    <w:p w:rsidR="004A3228" w:rsidRDefault="0021557F">
      <w:pPr>
        <w:pStyle w:val="Zkladntext1"/>
        <w:numPr>
          <w:ilvl w:val="0"/>
          <w:numId w:val="8"/>
        </w:numPr>
        <w:shd w:val="clear" w:color="auto" w:fill="auto"/>
        <w:tabs>
          <w:tab w:val="left" w:pos="318"/>
        </w:tabs>
        <w:spacing w:line="276" w:lineRule="auto"/>
      </w:pPr>
      <w:r>
        <w:t>Platnos</w:t>
      </w:r>
      <w:r>
        <w:t>t této smlouvy nastává dnem jejího podpisu oběma stranami. Účinnosti této smlouvy nastává od třetího pracovního dne po datu podpisu této smlouvy a</w:t>
      </w:r>
    </w:p>
    <w:p w:rsidR="004A3228" w:rsidRDefault="0021557F">
      <w:pPr>
        <w:pStyle w:val="Zkladntext1"/>
        <w:shd w:val="clear" w:color="auto" w:fill="auto"/>
        <w:spacing w:line="276" w:lineRule="auto"/>
      </w:pPr>
      <w:r>
        <w:t xml:space="preserve">končí k 30. dubnu 2025. Před tímto datem může být její platnost a účinnost ukončena buď dnem účinnosti nové </w:t>
      </w:r>
      <w:r>
        <w:t xml:space="preserve">smlouvy o platebních podmínkách pro období </w:t>
      </w:r>
      <w:proofErr w:type="gramStart"/>
      <w:r>
        <w:t>následné nebo</w:t>
      </w:r>
      <w:proofErr w:type="gramEnd"/>
      <w:r>
        <w:t xml:space="preserve"> dohodou obou stran o ukončen! její platnosti, případně písemnou výpovědí kterékoliv ze stran. Výpověď se stává účinnou následujícím dnem po jejím prokazatelném doručení druhému z účastníků.</w:t>
      </w:r>
    </w:p>
    <w:p w:rsidR="004A3228" w:rsidRDefault="0021557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76" w:lineRule="auto"/>
      </w:pPr>
      <w:r>
        <w:t xml:space="preserve">Podpisem </w:t>
      </w:r>
      <w:r>
        <w:t>této smlouvy končí současně i platnost Smlouvy o platebních podmínkách minulého kalendářního roku (a to v případě, že tato smlouva byla v minulém roce s kupujícím uzavřena).</w:t>
      </w:r>
    </w:p>
    <w:p w:rsidR="004A3228" w:rsidRDefault="0021557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40" w:lineRule="auto"/>
        <w:sectPr w:rsidR="004A3228">
          <w:type w:val="continuous"/>
          <w:pgSz w:w="12443" w:h="17107"/>
          <w:pgMar w:top="468" w:right="754" w:bottom="742" w:left="559" w:header="0" w:footer="3" w:gutter="0"/>
          <w:cols w:space="720"/>
          <w:noEndnote/>
          <w:docGrid w:linePitch="360"/>
        </w:sectPr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stejnopisech, z nichž každá</w:t>
      </w:r>
      <w:r>
        <w:t xml:space="preserve"> zúčastněná strana obdrž! po jednom.</w:t>
      </w:r>
    </w:p>
    <w:p w:rsidR="004A3228" w:rsidRDefault="004A3228">
      <w:pPr>
        <w:spacing w:before="83" w:after="83" w:line="240" w:lineRule="exact"/>
        <w:rPr>
          <w:sz w:val="19"/>
          <w:szCs w:val="19"/>
        </w:rPr>
      </w:pPr>
    </w:p>
    <w:p w:rsidR="004A3228" w:rsidRDefault="004A3228">
      <w:pPr>
        <w:spacing w:line="14" w:lineRule="exact"/>
        <w:sectPr w:rsidR="004A3228">
          <w:type w:val="continuous"/>
          <w:pgSz w:w="12443" w:h="17107"/>
          <w:pgMar w:top="494" w:right="0" w:bottom="336" w:left="0" w:header="0" w:footer="3" w:gutter="0"/>
          <w:cols w:space="720"/>
          <w:noEndnote/>
          <w:docGrid w:linePitch="360"/>
        </w:sectPr>
      </w:pPr>
    </w:p>
    <w:p w:rsidR="004A3228" w:rsidRDefault="0021557F">
      <w:pPr>
        <w:pStyle w:val="Jin0"/>
        <w:framePr w:w="374" w:h="235" w:wrap="none" w:vAnchor="text" w:hAnchor="page" w:x="608" w:y="102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V(e)</w:t>
      </w:r>
    </w:p>
    <w:p w:rsidR="004A3228" w:rsidRDefault="0021557F">
      <w:pPr>
        <w:pStyle w:val="Jin0"/>
        <w:framePr w:w="1507" w:h="235" w:wrap="none" w:vAnchor="text" w:hAnchor="page" w:x="1068" w:y="92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Ivanovice na Hané</w:t>
      </w:r>
    </w:p>
    <w:p w:rsidR="004A3228" w:rsidRDefault="004A3228">
      <w:pPr>
        <w:pStyle w:val="Jin0"/>
        <w:framePr w:w="720" w:h="322" w:wrap="none" w:vAnchor="text" w:hAnchor="page" w:x="3776" w:y="21"/>
        <w:shd w:val="clear" w:color="auto" w:fill="auto"/>
        <w:spacing w:line="240" w:lineRule="auto"/>
        <w:jc w:val="left"/>
        <w:rPr>
          <w:sz w:val="22"/>
          <w:szCs w:val="22"/>
        </w:rPr>
      </w:pPr>
    </w:p>
    <w:p w:rsidR="004A3228" w:rsidRDefault="0021557F">
      <w:pPr>
        <w:pStyle w:val="Jin0"/>
        <w:framePr w:w="346" w:h="235" w:wrap="none" w:vAnchor="text" w:hAnchor="page" w:x="6099" w:y="87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dne</w:t>
      </w:r>
    </w:p>
    <w:p w:rsidR="004A3228" w:rsidRDefault="004A3228">
      <w:pPr>
        <w:spacing w:after="322" w:line="14" w:lineRule="exact"/>
      </w:pPr>
    </w:p>
    <w:p w:rsidR="004A3228" w:rsidRDefault="004A3228">
      <w:pPr>
        <w:spacing w:line="14" w:lineRule="exact"/>
        <w:sectPr w:rsidR="004A3228">
          <w:type w:val="continuous"/>
          <w:pgSz w:w="12443" w:h="17107"/>
          <w:pgMar w:top="494" w:right="718" w:bottom="336" w:left="598" w:header="0" w:footer="3" w:gutter="0"/>
          <w:cols w:space="720"/>
          <w:noEndnote/>
          <w:docGrid w:linePitch="360"/>
        </w:sectPr>
      </w:pPr>
    </w:p>
    <w:p w:rsidR="004A3228" w:rsidRDefault="004A3228">
      <w:pPr>
        <w:spacing w:line="59" w:lineRule="exact"/>
        <w:rPr>
          <w:sz w:val="5"/>
          <w:szCs w:val="5"/>
        </w:rPr>
      </w:pPr>
    </w:p>
    <w:p w:rsidR="004A3228" w:rsidRDefault="004A3228">
      <w:pPr>
        <w:spacing w:line="14" w:lineRule="exact"/>
        <w:sectPr w:rsidR="004A3228">
          <w:type w:val="continuous"/>
          <w:pgSz w:w="12443" w:h="17107"/>
          <w:pgMar w:top="509" w:right="0" w:bottom="336" w:left="0" w:header="0" w:footer="3" w:gutter="0"/>
          <w:cols w:space="720"/>
          <w:noEndnote/>
          <w:docGrid w:linePitch="360"/>
        </w:sectPr>
      </w:pPr>
    </w:p>
    <w:p w:rsidR="004A3228" w:rsidRDefault="0021557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408305</wp:posOffset>
                </wp:positionV>
                <wp:extent cx="1060450" cy="15557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55575"/>
                        </a:xfrm>
                        <a:prstGeom prst="rect">
                          <a:avLst/>
                        </a:prstGeom>
                        <a:solidFill>
                          <a:srgbClr val="EAEBEC"/>
                        </a:solidFill>
                      </wps:spPr>
                      <wps:txbx>
                        <w:txbxContent>
                          <w:p w:rsidR="004A3228" w:rsidRDefault="0021557F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AGROKOP CZ,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4.399999999999999pt;margin-top:32.149999999999999pt;width:83.5pt;height:12.25pt;z-index:-125829374;mso-wrap-distance-left:9.pt;mso-wrap-distance-right:9.pt;mso-position-horizontal-relative:page" fillcolor="#EAEBEC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AGROKOP CZ,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567055</wp:posOffset>
                </wp:positionV>
                <wp:extent cx="438785" cy="14922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228" w:rsidRDefault="0021557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'prodávají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20.34999999999999pt;margin-top:44.649999999999999pt;width:34.549999999999997pt;height:11.75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'prodávají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A3228" w:rsidRDefault="0021557F">
      <w:pPr>
        <w:pStyle w:val="Nadpis40"/>
        <w:keepNext/>
        <w:keepLines/>
        <w:shd w:val="clear" w:color="auto" w:fill="auto"/>
        <w:ind w:right="1200"/>
        <w:jc w:val="right"/>
        <w:rPr>
          <w:sz w:val="24"/>
          <w:szCs w:val="24"/>
        </w:rPr>
      </w:pPr>
      <w:bookmarkStart w:id="10" w:name="bookmark11"/>
      <w:r>
        <w:t xml:space="preserve">AGROKOP </w:t>
      </w:r>
      <w:proofErr w:type="gramStart"/>
      <w:r>
        <w:t xml:space="preserve">CZ. </w:t>
      </w:r>
      <w:proofErr w:type="spellStart"/>
      <w:r>
        <w:rPr>
          <w:b w:val="0"/>
          <w:bCs w:val="0"/>
          <w:sz w:val="24"/>
          <w:szCs w:val="24"/>
        </w:rPr>
        <w:t>a;s</w:t>
      </w:r>
      <w:proofErr w:type="spellEnd"/>
      <w:r>
        <w:rPr>
          <w:b w:val="0"/>
          <w:bCs w:val="0"/>
          <w:sz w:val="24"/>
          <w:szCs w:val="24"/>
        </w:rPr>
        <w:t>.</w:t>
      </w:r>
      <w:bookmarkEnd w:id="10"/>
      <w:proofErr w:type="gramEnd"/>
    </w:p>
    <w:p w:rsidR="004A3228" w:rsidRDefault="0021557F">
      <w:pPr>
        <w:pStyle w:val="Jin0"/>
        <w:shd w:val="clear" w:color="auto" w:fill="auto"/>
        <w:spacing w:line="276" w:lineRule="auto"/>
        <w:ind w:right="1200"/>
        <w:jc w:val="right"/>
        <w:rPr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S t ř í t e ž , Spojovací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1343 674 01 Třebíč ®</w:t>
      </w:r>
    </w:p>
    <w:p w:rsidR="004A3228" w:rsidRDefault="0021557F">
      <w:pPr>
        <w:pStyle w:val="Jin0"/>
        <w:pBdr>
          <w:bottom w:val="single" w:sz="4" w:space="0" w:color="auto"/>
        </w:pBdr>
        <w:shd w:val="clear" w:color="auto" w:fill="auto"/>
        <w:spacing w:line="240" w:lineRule="auto"/>
        <w:ind w:right="1200"/>
        <w:jc w:val="right"/>
        <w:rPr>
          <w:sz w:val="15"/>
          <w:szCs w:val="15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sz w:val="15"/>
          <w:szCs w:val="15"/>
        </w:rPr>
        <w:t>IČ:29286719 DIČ: CZ29286719</w:t>
      </w:r>
    </w:p>
    <w:sectPr w:rsidR="004A3228">
      <w:type w:val="continuous"/>
      <w:pgSz w:w="12443" w:h="17107"/>
      <w:pgMar w:top="509" w:right="5677" w:bottom="336" w:left="3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7F" w:rsidRDefault="0021557F">
      <w:r>
        <w:separator/>
      </w:r>
    </w:p>
  </w:endnote>
  <w:endnote w:type="continuationSeparator" w:id="0">
    <w:p w:rsidR="0021557F" w:rsidRDefault="0021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21557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304165</wp:posOffset>
              </wp:positionH>
              <wp:positionV relativeFrom="page">
                <wp:posOffset>10752455</wp:posOffset>
              </wp:positionV>
              <wp:extent cx="33655" cy="488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228" w:rsidRDefault="0021557F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3.949999999999999pt;margin-top:846.64999999999998pt;width:2.6499999999999999pt;height:3.850000000000000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4A322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21557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44450</wp:posOffset>
              </wp:positionH>
              <wp:positionV relativeFrom="page">
                <wp:posOffset>10628630</wp:posOffset>
              </wp:positionV>
              <wp:extent cx="24130" cy="457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228" w:rsidRDefault="0021557F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.5pt;margin-top:836.89999999999998pt;width:1.8999999999999999pt;height:3.600000000000000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7F" w:rsidRDefault="0021557F"/>
  </w:footnote>
  <w:footnote w:type="continuationSeparator" w:id="0">
    <w:p w:rsidR="0021557F" w:rsidRDefault="002155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21557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5991860</wp:posOffset>
              </wp:positionH>
              <wp:positionV relativeFrom="page">
                <wp:posOffset>172720</wp:posOffset>
              </wp:positionV>
              <wp:extent cx="673735" cy="6096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228" w:rsidRDefault="0021557F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strt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71.80000000000001pt;margin-top:13.6pt;width:53.049999999999997pt;height:4.7999999999999998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SoPP ZemFA strt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21557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5981065</wp:posOffset>
              </wp:positionH>
              <wp:positionV relativeFrom="page">
                <wp:posOffset>227330</wp:posOffset>
              </wp:positionV>
              <wp:extent cx="1005840" cy="609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228" w:rsidRDefault="0021557F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526" w:rsidRPr="008D5526">
                            <w:rPr>
                              <w:rFonts w:ascii="Tahoma" w:eastAsia="Tahoma" w:hAnsi="Tahoma" w:cs="Tahoma"/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70.95pt;margin-top:17.9pt;width:79.2pt;height:4.8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" filled="f" stroked="f">
              <v:textbox style="mso-fit-shape-to-text:t" inset="0,0,0,0">
                <w:txbxContent>
                  <w:p w:rsidR="004A3228" w:rsidRDefault="0021557F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SoPP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ZemFA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526" w:rsidRPr="008D5526">
                      <w:rPr>
                        <w:rFonts w:ascii="Tahoma" w:eastAsia="Tahoma" w:hAnsi="Tahoma" w:cs="Tahoma"/>
                        <w:noProof/>
                        <w:sz w:val="13"/>
                        <w:szCs w:val="13"/>
                      </w:rPr>
                      <w:t>3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ze</w:t>
                    </w:r>
                    <w:proofErr w:type="gram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1149985</wp:posOffset>
              </wp:positionH>
              <wp:positionV relativeFrom="page">
                <wp:posOffset>316865</wp:posOffset>
              </wp:positionV>
              <wp:extent cx="62484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0.549999999999997pt;margin-top:24.949999999999999pt;width:49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8" w:rsidRDefault="0021557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194945</wp:posOffset>
              </wp:positionV>
              <wp:extent cx="1002665" cy="577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228" w:rsidRDefault="0021557F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SoPP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ZemFA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526" w:rsidRPr="008D5526">
                            <w:rPr>
                              <w:rFonts w:ascii="Arial" w:eastAsia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ze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469.1pt;margin-top:15.35pt;width:78.95pt;height:4.5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" filled="f" stroked="f">
              <v:textbox style="mso-fit-shape-to-text:t" inset="0,0,0,0">
                <w:txbxContent>
                  <w:p w:rsidR="004A3228" w:rsidRDefault="0021557F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SoPP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ZemFA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526" w:rsidRPr="008D5526">
                      <w:rPr>
                        <w:rFonts w:ascii="Arial" w:eastAsia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ze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7B3"/>
    <w:multiLevelType w:val="multilevel"/>
    <w:tmpl w:val="9FA4DCBC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B0467"/>
    <w:multiLevelType w:val="multilevel"/>
    <w:tmpl w:val="023C09C2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55C6A"/>
    <w:multiLevelType w:val="multilevel"/>
    <w:tmpl w:val="23365988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47607"/>
    <w:multiLevelType w:val="multilevel"/>
    <w:tmpl w:val="8E94507A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27F5F"/>
    <w:multiLevelType w:val="multilevel"/>
    <w:tmpl w:val="7A86C55E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47A06"/>
    <w:multiLevelType w:val="multilevel"/>
    <w:tmpl w:val="33A8184A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94C72"/>
    <w:multiLevelType w:val="multilevel"/>
    <w:tmpl w:val="F83CE19C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95B3B"/>
    <w:multiLevelType w:val="multilevel"/>
    <w:tmpl w:val="65F62AE8"/>
    <w:lvl w:ilvl="0">
      <w:start w:val="1"/>
      <w:numFmt w:val="decimal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A3228"/>
    <w:rsid w:val="0021557F"/>
    <w:rsid w:val="004A3228"/>
    <w:rsid w:val="008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458"/>
      <w:sz w:val="28"/>
      <w:szCs w:val="28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orbel" w:eastAsia="Corbel" w:hAnsi="Corbel" w:cs="Corbe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right="600"/>
      <w:outlineLvl w:val="3"/>
    </w:pPr>
    <w:rPr>
      <w:rFonts w:ascii="Times New Roman" w:eastAsia="Times New Roman" w:hAnsi="Times New Roman" w:cs="Times New Roman"/>
      <w:b/>
      <w:bCs/>
      <w:strike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  <w:jc w:val="both"/>
    </w:pPr>
    <w:rPr>
      <w:rFonts w:ascii="Corbel" w:eastAsia="Corbel" w:hAnsi="Corbel" w:cs="Corbe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  <w:jc w:val="both"/>
    </w:pPr>
    <w:rPr>
      <w:rFonts w:ascii="Corbel" w:eastAsia="Corbel" w:hAnsi="Corbel" w:cs="Corbel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"/>
      <w:jc w:val="center"/>
      <w:outlineLvl w:val="5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i/>
      <w:iCs/>
      <w:color w:val="171458"/>
      <w:sz w:val="28"/>
      <w:szCs w:val="28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rbel" w:eastAsia="Corbel" w:hAnsi="Corbel" w:cs="Corbel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458"/>
      <w:sz w:val="28"/>
      <w:szCs w:val="28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orbel" w:eastAsia="Corbel" w:hAnsi="Corbel" w:cs="Corbe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right="600"/>
      <w:outlineLvl w:val="3"/>
    </w:pPr>
    <w:rPr>
      <w:rFonts w:ascii="Times New Roman" w:eastAsia="Times New Roman" w:hAnsi="Times New Roman" w:cs="Times New Roman"/>
      <w:b/>
      <w:bCs/>
      <w:strike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  <w:jc w:val="both"/>
    </w:pPr>
    <w:rPr>
      <w:rFonts w:ascii="Corbel" w:eastAsia="Corbel" w:hAnsi="Corbel" w:cs="Corbe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  <w:jc w:val="both"/>
    </w:pPr>
    <w:rPr>
      <w:rFonts w:ascii="Corbel" w:eastAsia="Corbel" w:hAnsi="Corbel" w:cs="Corbel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"/>
      <w:jc w:val="center"/>
      <w:outlineLvl w:val="5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i/>
      <w:iCs/>
      <w:color w:val="171458"/>
      <w:sz w:val="28"/>
      <w:szCs w:val="28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rbel" w:eastAsia="Corbel" w:hAnsi="Corbel" w:cs="Corbel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grokop.cz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obchod.agrokop.c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agrokop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urv.ivanovice@infos.cz" TargetMode="External"/><Relationship Id="rId19" Type="http://schemas.openxmlformats.org/officeDocument/2006/relationships/hyperlink" Target="http://www.agrokop.cz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hod.agrokop.cz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2555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2024-06-11T14:03:00Z</dcterms:created>
  <dcterms:modified xsi:type="dcterms:W3CDTF">2024-06-11T14:06:00Z</dcterms:modified>
</cp:coreProperties>
</file>