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0" w:line="259" w:lineRule="auto"/>
        <w:ind w:left="0" w:right="0" w:firstLine="0"/>
        <w:jc w:val="left"/>
        <w:rPr>
          <w:sz w:val="19"/>
          <w:szCs w:val="19"/>
        </w:rPr>
      </w:pPr>
      <w:r>
        <w:rPr>
          <w:rFonts w:ascii="Times New Roman" w:eastAsia="Times New Roman" w:hAnsi="Times New Roman" w:cs="Times New Roman"/>
          <w:b/>
          <w:bCs/>
          <w:color w:val="000000"/>
          <w:spacing w:val="0"/>
          <w:w w:val="100"/>
          <w:position w:val="0"/>
          <w:sz w:val="19"/>
          <w:szCs w:val="19"/>
          <w:shd w:val="clear" w:color="auto" w:fill="auto"/>
          <w:lang w:val="cs-CZ" w:eastAsia="cs-CZ" w:bidi="cs-CZ"/>
        </w:rPr>
        <w:t>STAVOPLAST KL spol. s r.o.</w:t>
      </w:r>
    </w:p>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IČO: 407 40 056 se sídlem Stachy 266, PSČ 384 73 zastoupená xxxxxxxxx, jednatelem bankovní spojení: xxxxxxxxx.</w:t>
      </w:r>
    </w:p>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číslo účtu: xxxxxxxxxxx</w:t>
      </w:r>
    </w:p>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zapsaná v obchodním rejstříku vedeném Krajským soudem v Českých Budějovicích pod sp. zn. C 443 (dále jen „</w:t>
      </w:r>
      <w:r>
        <w:rPr>
          <w:rFonts w:ascii="Times New Roman" w:eastAsia="Times New Roman" w:hAnsi="Times New Roman" w:cs="Times New Roman"/>
          <w:b/>
          <w:bCs/>
          <w:color w:val="000000"/>
          <w:spacing w:val="0"/>
          <w:w w:val="100"/>
          <w:position w:val="0"/>
          <w:sz w:val="19"/>
          <w:szCs w:val="19"/>
          <w:shd w:val="clear" w:color="auto" w:fill="auto"/>
          <w:lang w:val="cs-CZ" w:eastAsia="cs-CZ" w:bidi="cs-CZ"/>
        </w:rPr>
        <w:t>Prodávající</w:t>
      </w:r>
      <w:r>
        <w:rPr>
          <w:rFonts w:ascii="Times New Roman" w:eastAsia="Times New Roman" w:hAnsi="Times New Roman" w:cs="Times New Roman"/>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 xml:space="preserve">na straně jedné </w:t>
      </w:r>
      <w:r>
        <w:rPr>
          <w:rFonts w:ascii="Times New Roman" w:eastAsia="Times New Roman" w:hAnsi="Times New Roman" w:cs="Times New Roman"/>
          <w:color w:val="000000"/>
          <w:spacing w:val="0"/>
          <w:w w:val="100"/>
          <w:position w:val="0"/>
          <w:shd w:val="clear" w:color="auto" w:fill="auto"/>
          <w:lang w:val="cs-CZ" w:eastAsia="cs-CZ" w:bidi="cs-CZ"/>
        </w:rPr>
        <w:t>a</w:t>
      </w:r>
    </w:p>
    <w:p>
      <w:pPr>
        <w:pStyle w:val="Style2"/>
        <w:keepNext w:val="0"/>
        <w:keepLines w:val="0"/>
        <w:widowControl w:val="0"/>
        <w:shd w:val="clear" w:color="auto" w:fill="auto"/>
        <w:bidi w:val="0"/>
        <w:spacing w:before="0" w:after="0" w:line="257" w:lineRule="auto"/>
        <w:ind w:left="0" w:right="0" w:firstLine="0"/>
        <w:jc w:val="left"/>
        <w:rPr>
          <w:sz w:val="19"/>
          <w:szCs w:val="19"/>
        </w:rPr>
      </w:pPr>
      <w:r>
        <w:rPr>
          <w:rFonts w:ascii="Times New Roman" w:eastAsia="Times New Roman" w:hAnsi="Times New Roman" w:cs="Times New Roman"/>
          <w:b/>
          <w:bCs/>
          <w:color w:val="000000"/>
          <w:spacing w:val="0"/>
          <w:w w:val="100"/>
          <w:position w:val="0"/>
          <w:sz w:val="19"/>
          <w:szCs w:val="19"/>
          <w:shd w:val="clear" w:color="auto" w:fill="auto"/>
          <w:lang w:val="cs-CZ" w:eastAsia="cs-CZ" w:bidi="cs-CZ"/>
        </w:rPr>
        <w:t>Povodí Ohře, státní podnik</w:t>
      </w:r>
    </w:p>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IČO: 708 89 988</w:t>
      </w:r>
    </w:p>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se sídlem Bezručova 4219, 430 03 Chomutov zastoupená xxxxxxxxxx, ekonomickým ředitelem bankovní spojení: xxxxxxxxxxxxxx.</w:t>
      </w:r>
    </w:p>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číslo účtu: xxxxxxxxxxx</w:t>
      </w:r>
    </w:p>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zapsaný v obchodním rejstříku vedeném Krajským soudem v Ústí nad Labem pod sp. zn. A 13052</w:t>
      </w:r>
    </w:p>
    <w:p>
      <w:pPr>
        <w:pStyle w:val="Style2"/>
        <w:keepNext w:val="0"/>
        <w:keepLines w:val="0"/>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(dále jen „</w:t>
      </w:r>
      <w:r>
        <w:rPr>
          <w:rFonts w:ascii="Times New Roman" w:eastAsia="Times New Roman" w:hAnsi="Times New Roman" w:cs="Times New Roman"/>
          <w:b/>
          <w:bCs/>
          <w:color w:val="000000"/>
          <w:spacing w:val="0"/>
          <w:w w:val="100"/>
          <w:position w:val="0"/>
          <w:sz w:val="19"/>
          <w:szCs w:val="19"/>
          <w:shd w:val="clear" w:color="auto" w:fill="auto"/>
          <w:lang w:val="cs-CZ" w:eastAsia="cs-CZ" w:bidi="cs-CZ"/>
        </w:rPr>
        <w:t>Kupující</w:t>
      </w:r>
      <w:r>
        <w:rPr>
          <w:rFonts w:ascii="Times New Roman" w:eastAsia="Times New Roman" w:hAnsi="Times New Roman" w:cs="Times New Roman"/>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line="286"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(Prodávající a Kupující společně dále jen jako „</w:t>
      </w:r>
      <w:r>
        <w:rPr>
          <w:rFonts w:ascii="Times New Roman" w:eastAsia="Times New Roman" w:hAnsi="Times New Roman" w:cs="Times New Roman"/>
          <w:b/>
          <w:bCs/>
          <w:color w:val="000000"/>
          <w:spacing w:val="0"/>
          <w:w w:val="100"/>
          <w:position w:val="0"/>
          <w:sz w:val="19"/>
          <w:szCs w:val="19"/>
          <w:shd w:val="clear" w:color="auto" w:fill="auto"/>
          <w:lang w:val="cs-CZ" w:eastAsia="cs-CZ" w:bidi="cs-CZ"/>
        </w:rPr>
        <w:t>smluvní strany</w:t>
      </w:r>
      <w:r>
        <w:rPr>
          <w:rFonts w:ascii="Times New Roman" w:eastAsia="Times New Roman" w:hAnsi="Times New Roman" w:cs="Times New Roman"/>
          <w:color w:val="000000"/>
          <w:spacing w:val="0"/>
          <w:w w:val="100"/>
          <w:position w:val="0"/>
          <w:shd w:val="clear" w:color="auto" w:fill="auto"/>
          <w:lang w:val="cs-CZ" w:eastAsia="cs-CZ" w:bidi="cs-CZ"/>
        </w:rPr>
        <w:t>“, případně každý samostatně dále také jako „</w:t>
      </w:r>
      <w:r>
        <w:rPr>
          <w:rFonts w:ascii="Times New Roman" w:eastAsia="Times New Roman" w:hAnsi="Times New Roman" w:cs="Times New Roman"/>
          <w:b/>
          <w:bCs/>
          <w:color w:val="000000"/>
          <w:spacing w:val="0"/>
          <w:w w:val="100"/>
          <w:position w:val="0"/>
          <w:sz w:val="19"/>
          <w:szCs w:val="19"/>
          <w:shd w:val="clear" w:color="auto" w:fill="auto"/>
          <w:lang w:val="cs-CZ" w:eastAsia="cs-CZ" w:bidi="cs-CZ"/>
        </w:rPr>
        <w:t>smluvní strana</w:t>
      </w:r>
      <w:r>
        <w:rPr>
          <w:rFonts w:ascii="Times New Roman" w:eastAsia="Times New Roman" w:hAnsi="Times New Roman" w:cs="Times New Roman"/>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uzavírají níže uvedeného dne, měsíce a roku tuto</w:t>
      </w:r>
    </w:p>
    <w:p>
      <w:pPr>
        <w:pStyle w:val="Style5"/>
        <w:keepNext/>
        <w:keepLines/>
        <w:widowControl w:val="0"/>
        <w:shd w:val="clear" w:color="auto" w:fill="auto"/>
        <w:bidi w:val="0"/>
        <w:spacing w:before="0" w:line="240" w:lineRule="auto"/>
        <w:ind w:left="0" w:right="0" w:firstLine="0"/>
        <w:jc w:val="center"/>
      </w:pPr>
      <w:bookmarkStart w:id="0" w:name="bookmark0"/>
      <w:bookmarkStart w:id="1" w:name="bookmark1"/>
      <w:bookmarkStart w:id="2" w:name="bookmark2"/>
      <w:r>
        <w:rPr>
          <w:rFonts w:ascii="Times New Roman" w:eastAsia="Times New Roman" w:hAnsi="Times New Roman" w:cs="Times New Roman"/>
          <w:color w:val="000000"/>
          <w:spacing w:val="0"/>
          <w:w w:val="100"/>
          <w:position w:val="0"/>
          <w:sz w:val="24"/>
          <w:szCs w:val="24"/>
          <w:shd w:val="clear" w:color="auto" w:fill="auto"/>
          <w:lang w:val="cs-CZ" w:eastAsia="cs-CZ" w:bidi="cs-CZ"/>
        </w:rPr>
        <w:t>DOHODU O NAROVNÁNÍ</w:t>
      </w:r>
      <w:bookmarkEnd w:id="0"/>
      <w:bookmarkEnd w:id="1"/>
      <w:bookmarkEnd w:id="2"/>
    </w:p>
    <w:p>
      <w:pPr>
        <w:pStyle w:val="Style7"/>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cs-CZ" w:eastAsia="cs-CZ" w:bidi="cs-CZ"/>
        </w:rPr>
        <w:t>podle ustanovení § 1903 a násl. zákona č. 89/2012 Sb., občanský zákoník, ve znění pozdějších předpisů</w:t>
      </w:r>
    </w:p>
    <w:p>
      <w:pPr>
        <w:pStyle w:val="Style7"/>
        <w:keepNext w:val="0"/>
        <w:keepLines w:val="0"/>
        <w:widowControl w:val="0"/>
        <w:shd w:val="clear" w:color="auto" w:fill="auto"/>
        <w:bidi w:val="0"/>
        <w:spacing w:before="0" w:after="200"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cs-CZ" w:eastAsia="cs-CZ" w:bidi="cs-CZ"/>
        </w:rPr>
        <w:t>(dále jen „občanský zákoník“).</w:t>
      </w:r>
    </w:p>
    <w:p>
      <w:pPr>
        <w:pStyle w:val="Style7"/>
        <w:keepNext w:val="0"/>
        <w:keepLines w:val="0"/>
        <w:widowControl w:val="0"/>
        <w:shd w:val="clear" w:color="auto" w:fill="auto"/>
        <w:bidi w:val="0"/>
        <w:spacing w:before="0" w:after="0" w:line="257" w:lineRule="auto"/>
        <w:ind w:left="0" w:right="0" w:firstLine="0"/>
        <w:jc w:val="center"/>
        <w:rPr>
          <w:sz w:val="19"/>
          <w:szCs w:val="19"/>
        </w:rPr>
      </w:pPr>
      <w:r>
        <w:rPr>
          <w:rFonts w:ascii="Times New Roman" w:eastAsia="Times New Roman" w:hAnsi="Times New Roman" w:cs="Times New Roman"/>
          <w:b/>
          <w:bCs/>
          <w:color w:val="000000"/>
          <w:spacing w:val="0"/>
          <w:w w:val="100"/>
          <w:position w:val="0"/>
          <w:sz w:val="19"/>
          <w:szCs w:val="19"/>
          <w:shd w:val="clear" w:color="auto" w:fill="auto"/>
          <w:lang w:val="cs-CZ" w:eastAsia="cs-CZ" w:bidi="cs-CZ"/>
        </w:rPr>
        <w:t>Čl. I.</w:t>
      </w:r>
    </w:p>
    <w:p>
      <w:pPr>
        <w:pStyle w:val="Style7"/>
        <w:keepNext w:val="0"/>
        <w:keepLines w:val="0"/>
        <w:widowControl w:val="0"/>
        <w:shd w:val="clear" w:color="auto" w:fill="auto"/>
        <w:bidi w:val="0"/>
        <w:spacing w:before="0" w:after="200" w:line="257" w:lineRule="auto"/>
        <w:ind w:left="0" w:right="0" w:firstLine="0"/>
        <w:jc w:val="center"/>
        <w:rPr>
          <w:sz w:val="19"/>
          <w:szCs w:val="19"/>
        </w:rPr>
      </w:pPr>
      <w:r>
        <w:rPr>
          <w:rFonts w:ascii="Times New Roman" w:eastAsia="Times New Roman" w:hAnsi="Times New Roman" w:cs="Times New Roman"/>
          <w:b/>
          <w:bCs/>
          <w:color w:val="000000"/>
          <w:spacing w:val="0"/>
          <w:w w:val="100"/>
          <w:position w:val="0"/>
          <w:sz w:val="19"/>
          <w:szCs w:val="19"/>
          <w:shd w:val="clear" w:color="auto" w:fill="auto"/>
          <w:lang w:val="cs-CZ" w:eastAsia="cs-CZ" w:bidi="cs-CZ"/>
        </w:rPr>
        <w:t>Preambule</w:t>
      </w:r>
    </w:p>
    <w:p>
      <w:pPr>
        <w:pStyle w:val="Style2"/>
        <w:keepNext w:val="0"/>
        <w:keepLines w:val="0"/>
        <w:widowControl w:val="0"/>
        <w:numPr>
          <w:ilvl w:val="0"/>
          <w:numId w:val="1"/>
        </w:numPr>
        <w:shd w:val="clear" w:color="auto" w:fill="auto"/>
        <w:tabs>
          <w:tab w:pos="566" w:val="left"/>
        </w:tabs>
        <w:bidi w:val="0"/>
        <w:spacing w:before="0" w:line="240" w:lineRule="auto"/>
        <w:ind w:left="580" w:right="0" w:hanging="580"/>
        <w:jc w:val="both"/>
      </w:pPr>
      <w:bookmarkStart w:id="3" w:name="bookmark3"/>
      <w:bookmarkEnd w:id="3"/>
      <w:r>
        <w:rPr>
          <w:rFonts w:ascii="Times New Roman" w:eastAsia="Times New Roman" w:hAnsi="Times New Roman" w:cs="Times New Roman"/>
          <w:color w:val="000000"/>
          <w:spacing w:val="0"/>
          <w:w w:val="100"/>
          <w:position w:val="0"/>
          <w:shd w:val="clear" w:color="auto" w:fill="auto"/>
          <w:lang w:val="cs-CZ" w:eastAsia="cs-CZ" w:bidi="cs-CZ"/>
        </w:rPr>
        <w:t>Prodávající a Kupující spolu uzavřeli dne 27. 7. 2021 Kupní smlouvu č. 765/2021 (444009601 a 4440096602/2021), na základě které Prodávající dodal dne 25. 4. 2022 Kupujícímu za sjednanou kupní cenu ve výši 13 980 000,- Kč bez DPH (16 915 800,- Kč včetně DPH) 2 ks kráčejících rypadel Menzi Muck M320, tj. za kupní cenu ve výši 6 990 000,- Kč bez DPH (8 457 900,- Kč včetně DPH) za 1 ks kráčejícího rypadla Menzi Muck M320 (dále jen „</w:t>
      </w:r>
      <w:r>
        <w:rPr>
          <w:rFonts w:ascii="Times New Roman" w:eastAsia="Times New Roman" w:hAnsi="Times New Roman" w:cs="Times New Roman"/>
          <w:b/>
          <w:bCs/>
          <w:color w:val="000000"/>
          <w:spacing w:val="0"/>
          <w:w w:val="100"/>
          <w:position w:val="0"/>
          <w:sz w:val="19"/>
          <w:szCs w:val="19"/>
          <w:shd w:val="clear" w:color="auto" w:fill="auto"/>
          <w:lang w:val="cs-CZ" w:eastAsia="cs-CZ" w:bidi="cs-CZ"/>
        </w:rPr>
        <w:t>Kupní smlouva</w:t>
      </w:r>
      <w:r>
        <w:rPr>
          <w:rFonts w:ascii="Times New Roman" w:eastAsia="Times New Roman" w:hAnsi="Times New Roman" w:cs="Times New Roman"/>
          <w:color w:val="000000"/>
          <w:spacing w:val="0"/>
          <w:w w:val="100"/>
          <w:position w:val="0"/>
          <w:shd w:val="clear" w:color="auto" w:fill="auto"/>
          <w:lang w:val="cs-CZ" w:eastAsia="cs-CZ" w:bidi="cs-CZ"/>
        </w:rPr>
        <w:t>“).</w:t>
      </w:r>
    </w:p>
    <w:p>
      <w:pPr>
        <w:pStyle w:val="Style2"/>
        <w:keepNext w:val="0"/>
        <w:keepLines w:val="0"/>
        <w:widowControl w:val="0"/>
        <w:numPr>
          <w:ilvl w:val="0"/>
          <w:numId w:val="1"/>
        </w:numPr>
        <w:shd w:val="clear" w:color="auto" w:fill="auto"/>
        <w:tabs>
          <w:tab w:pos="566" w:val="left"/>
        </w:tabs>
        <w:bidi w:val="0"/>
        <w:spacing w:before="0" w:line="271" w:lineRule="auto"/>
        <w:ind w:left="580" w:right="0" w:hanging="580"/>
        <w:jc w:val="both"/>
      </w:pPr>
      <w:bookmarkStart w:id="4" w:name="bookmark4"/>
      <w:bookmarkEnd w:id="4"/>
      <w:r>
        <w:rPr>
          <w:rFonts w:ascii="Times New Roman" w:eastAsia="Times New Roman" w:hAnsi="Times New Roman" w:cs="Times New Roman"/>
          <w:color w:val="000000"/>
          <w:spacing w:val="0"/>
          <w:w w:val="100"/>
          <w:position w:val="0"/>
          <w:shd w:val="clear" w:color="auto" w:fill="auto"/>
          <w:lang w:val="cs-CZ" w:eastAsia="cs-CZ" w:bidi="cs-CZ"/>
        </w:rPr>
        <w:t>Z důvodů opakovaných vad jednoho z těchto kráčejících rypadel Menzi Muck M320, a to konkrétně stroje s výrobním číslem M3C 0122 6781 (dále také jen „</w:t>
      </w:r>
      <w:r>
        <w:rPr>
          <w:rFonts w:ascii="Times New Roman" w:eastAsia="Times New Roman" w:hAnsi="Times New Roman" w:cs="Times New Roman"/>
          <w:b/>
          <w:bCs/>
          <w:color w:val="000000"/>
          <w:spacing w:val="0"/>
          <w:w w:val="100"/>
          <w:position w:val="0"/>
          <w:sz w:val="19"/>
          <w:szCs w:val="19"/>
          <w:shd w:val="clear" w:color="auto" w:fill="auto"/>
          <w:lang w:val="cs-CZ" w:eastAsia="cs-CZ" w:bidi="cs-CZ"/>
        </w:rPr>
        <w:t>Vadný stroj</w:t>
      </w:r>
      <w:r>
        <w:rPr>
          <w:rFonts w:ascii="Times New Roman" w:eastAsia="Times New Roman" w:hAnsi="Times New Roman" w:cs="Times New Roman"/>
          <w:color w:val="000000"/>
          <w:spacing w:val="0"/>
          <w:w w:val="100"/>
          <w:position w:val="0"/>
          <w:shd w:val="clear" w:color="auto" w:fill="auto"/>
          <w:lang w:val="cs-CZ" w:eastAsia="cs-CZ" w:bidi="cs-CZ"/>
        </w:rPr>
        <w:t>“), Kupující oznámil Prodávajícímu dopisem ze dne 8. 4. 2024 odstoupení od Kupní smlouvy (dále jen „</w:t>
      </w:r>
      <w:r>
        <w:rPr>
          <w:rFonts w:ascii="Times New Roman" w:eastAsia="Times New Roman" w:hAnsi="Times New Roman" w:cs="Times New Roman"/>
          <w:b/>
          <w:bCs/>
          <w:color w:val="000000"/>
          <w:spacing w:val="0"/>
          <w:w w:val="100"/>
          <w:position w:val="0"/>
          <w:sz w:val="19"/>
          <w:szCs w:val="19"/>
          <w:shd w:val="clear" w:color="auto" w:fill="auto"/>
          <w:lang w:val="cs-CZ" w:eastAsia="cs-CZ" w:bidi="cs-CZ"/>
        </w:rPr>
        <w:t>Odstoupení</w:t>
      </w:r>
      <w:r>
        <w:rPr>
          <w:rFonts w:ascii="Times New Roman" w:eastAsia="Times New Roman" w:hAnsi="Times New Roman" w:cs="Times New Roman"/>
          <w:color w:val="000000"/>
          <w:spacing w:val="0"/>
          <w:w w:val="100"/>
          <w:position w:val="0"/>
          <w:shd w:val="clear" w:color="auto" w:fill="auto"/>
          <w:lang w:val="cs-CZ" w:eastAsia="cs-CZ" w:bidi="cs-CZ"/>
        </w:rPr>
        <w:t>“) a požadoval vrácení kupní ceny.</w:t>
      </w:r>
    </w:p>
    <w:p>
      <w:pPr>
        <w:pStyle w:val="Style2"/>
        <w:keepNext w:val="0"/>
        <w:keepLines w:val="0"/>
        <w:widowControl w:val="0"/>
        <w:numPr>
          <w:ilvl w:val="0"/>
          <w:numId w:val="1"/>
        </w:numPr>
        <w:shd w:val="clear" w:color="auto" w:fill="auto"/>
        <w:tabs>
          <w:tab w:pos="566" w:val="left"/>
        </w:tabs>
        <w:bidi w:val="0"/>
        <w:spacing w:before="0" w:line="240" w:lineRule="auto"/>
        <w:ind w:left="580" w:right="0" w:hanging="580"/>
        <w:jc w:val="both"/>
      </w:pPr>
      <w:bookmarkStart w:id="5" w:name="bookmark5"/>
      <w:bookmarkEnd w:id="5"/>
      <w:r>
        <w:rPr>
          <w:rFonts w:ascii="Times New Roman" w:eastAsia="Times New Roman" w:hAnsi="Times New Roman" w:cs="Times New Roman"/>
          <w:color w:val="000000"/>
          <w:spacing w:val="0"/>
          <w:w w:val="100"/>
          <w:position w:val="0"/>
          <w:shd w:val="clear" w:color="auto" w:fill="auto"/>
          <w:lang w:val="cs-CZ" w:eastAsia="cs-CZ" w:bidi="cs-CZ"/>
        </w:rPr>
        <w:t>Mezi Prodávajícím a Kupujícím je sporné, zda se Odstoupení vztahuje na Kupní smlouvu jako celek, tedy na obě dodaná kráčející rypadla Menzi Muck M320 nebo pouze na Vadný stroj, a s ohledem na to též, jakou část kupní ceny má Prodávající v důsledku Odstoupení vrátit Kupujícímu.</w:t>
      </w:r>
    </w:p>
    <w:p>
      <w:pPr>
        <w:pStyle w:val="Style2"/>
        <w:keepNext w:val="0"/>
        <w:keepLines w:val="0"/>
        <w:widowControl w:val="0"/>
        <w:numPr>
          <w:ilvl w:val="0"/>
          <w:numId w:val="1"/>
        </w:numPr>
        <w:shd w:val="clear" w:color="auto" w:fill="auto"/>
        <w:tabs>
          <w:tab w:pos="566" w:val="left"/>
        </w:tabs>
        <w:bidi w:val="0"/>
        <w:spacing w:before="0" w:line="240" w:lineRule="auto"/>
        <w:ind w:left="580" w:right="0" w:hanging="580"/>
        <w:jc w:val="both"/>
      </w:pPr>
      <w:bookmarkStart w:id="6" w:name="bookmark6"/>
      <w:bookmarkEnd w:id="6"/>
      <w:r>
        <w:rPr>
          <w:rFonts w:ascii="Times New Roman" w:eastAsia="Times New Roman" w:hAnsi="Times New Roman" w:cs="Times New Roman"/>
          <w:color w:val="000000"/>
          <w:spacing w:val="0"/>
          <w:w w:val="100"/>
          <w:position w:val="0"/>
          <w:shd w:val="clear" w:color="auto" w:fill="auto"/>
          <w:lang w:val="cs-CZ" w:eastAsia="cs-CZ" w:bidi="cs-CZ"/>
        </w:rPr>
        <w:t>S ohledem na uvedené je předmětem této dohody úplné narovnání vzájemných práv a povinností vyplývajících z Kupní smlouvy a oznámení o odstoupení od smlouvy.</w:t>
      </w:r>
    </w:p>
    <w:p>
      <w:pPr>
        <w:pStyle w:val="Style2"/>
        <w:keepNext w:val="0"/>
        <w:keepLines w:val="0"/>
        <w:widowControl w:val="0"/>
        <w:shd w:val="clear" w:color="auto" w:fill="auto"/>
        <w:bidi w:val="0"/>
        <w:spacing w:before="0" w:after="0" w:line="257" w:lineRule="auto"/>
        <w:ind w:left="0" w:right="0" w:firstLine="0"/>
        <w:jc w:val="center"/>
        <w:rPr>
          <w:sz w:val="19"/>
          <w:szCs w:val="19"/>
        </w:rPr>
      </w:pPr>
      <w:r>
        <w:rPr>
          <w:rFonts w:ascii="Times New Roman" w:eastAsia="Times New Roman" w:hAnsi="Times New Roman" w:cs="Times New Roman"/>
          <w:b/>
          <w:bCs/>
          <w:color w:val="000000"/>
          <w:spacing w:val="0"/>
          <w:w w:val="100"/>
          <w:position w:val="0"/>
          <w:sz w:val="19"/>
          <w:szCs w:val="19"/>
          <w:shd w:val="clear" w:color="auto" w:fill="auto"/>
          <w:lang w:val="cs-CZ" w:eastAsia="cs-CZ" w:bidi="cs-CZ"/>
        </w:rPr>
        <w:t>Čl. II</w:t>
      </w:r>
    </w:p>
    <w:p>
      <w:pPr>
        <w:pStyle w:val="Style2"/>
        <w:keepNext w:val="0"/>
        <w:keepLines w:val="0"/>
        <w:widowControl w:val="0"/>
        <w:shd w:val="clear" w:color="auto" w:fill="auto"/>
        <w:bidi w:val="0"/>
        <w:spacing w:before="0" w:line="257" w:lineRule="auto"/>
        <w:ind w:left="0" w:right="0" w:firstLine="0"/>
        <w:jc w:val="center"/>
        <w:rPr>
          <w:sz w:val="19"/>
          <w:szCs w:val="19"/>
        </w:rPr>
      </w:pPr>
      <w:r>
        <w:rPr>
          <w:rFonts w:ascii="Times New Roman" w:eastAsia="Times New Roman" w:hAnsi="Times New Roman" w:cs="Times New Roman"/>
          <w:b/>
          <w:bCs/>
          <w:color w:val="000000"/>
          <w:spacing w:val="0"/>
          <w:w w:val="100"/>
          <w:position w:val="0"/>
          <w:sz w:val="19"/>
          <w:szCs w:val="19"/>
          <w:shd w:val="clear" w:color="auto" w:fill="auto"/>
          <w:lang w:val="cs-CZ" w:eastAsia="cs-CZ" w:bidi="cs-CZ"/>
        </w:rPr>
        <w:t>Narovnání vzájemných práv a povinností</w:t>
      </w:r>
    </w:p>
    <w:p>
      <w:pPr>
        <w:pStyle w:val="Style2"/>
        <w:keepNext w:val="0"/>
        <w:keepLines w:val="0"/>
        <w:widowControl w:val="0"/>
        <w:numPr>
          <w:ilvl w:val="0"/>
          <w:numId w:val="3"/>
        </w:numPr>
        <w:shd w:val="clear" w:color="auto" w:fill="auto"/>
        <w:tabs>
          <w:tab w:pos="566" w:val="left"/>
        </w:tabs>
        <w:bidi w:val="0"/>
        <w:spacing w:before="0" w:line="240" w:lineRule="auto"/>
        <w:ind w:left="580" w:right="0" w:hanging="580"/>
        <w:jc w:val="both"/>
      </w:pPr>
      <w:bookmarkStart w:id="7" w:name="bookmark7"/>
      <w:bookmarkEnd w:id="7"/>
      <w:r>
        <w:rPr>
          <w:rFonts w:ascii="Times New Roman" w:eastAsia="Times New Roman" w:hAnsi="Times New Roman" w:cs="Times New Roman"/>
          <w:color w:val="000000"/>
          <w:spacing w:val="0"/>
          <w:w w:val="100"/>
          <w:position w:val="0"/>
          <w:shd w:val="clear" w:color="auto" w:fill="auto"/>
          <w:lang w:val="cs-CZ" w:eastAsia="cs-CZ" w:bidi="cs-CZ"/>
        </w:rPr>
        <w:t xml:space="preserve">Smluvní strany se dohodly na narovnání vzájemných práv a povinností, jenž spočívá v tom, že touto dohodou se nahrazuje Odstoupení tak, že Kupující odstupuje od Kupní smlouvy pouze ve vztahu k </w:t>
      </w:r>
      <w:r>
        <w:rPr>
          <w:rFonts w:ascii="Times New Roman" w:eastAsia="Times New Roman" w:hAnsi="Times New Roman" w:cs="Times New Roman"/>
          <w:color w:val="000000"/>
          <w:spacing w:val="0"/>
          <w:w w:val="100"/>
          <w:position w:val="0"/>
          <w:shd w:val="clear" w:color="auto" w:fill="auto"/>
          <w:lang w:val="cs-CZ" w:eastAsia="cs-CZ" w:bidi="cs-CZ"/>
        </w:rPr>
        <w:t>Vadnému stroji a ve vztahu k druhému kráčejícímu rypadlu Kupující od Kupní smlouvy neodstupuje a Kupní smlouva a práva a povinnosti z ní vyplývající v tomto rozsahu platí a jsou účinné i nadále.</w:t>
      </w:r>
    </w:p>
    <w:p>
      <w:pPr>
        <w:pStyle w:val="Style2"/>
        <w:keepNext w:val="0"/>
        <w:keepLines w:val="0"/>
        <w:widowControl w:val="0"/>
        <w:numPr>
          <w:ilvl w:val="0"/>
          <w:numId w:val="3"/>
        </w:numPr>
        <w:shd w:val="clear" w:color="auto" w:fill="auto"/>
        <w:tabs>
          <w:tab w:pos="566" w:val="left"/>
        </w:tabs>
        <w:bidi w:val="0"/>
        <w:spacing w:before="0" w:line="240" w:lineRule="auto"/>
        <w:ind w:left="580" w:right="0" w:hanging="580"/>
        <w:jc w:val="both"/>
      </w:pPr>
      <w:bookmarkStart w:id="8" w:name="bookmark8"/>
      <w:bookmarkEnd w:id="8"/>
      <w:r>
        <w:rPr>
          <w:rFonts w:ascii="Times New Roman" w:eastAsia="Times New Roman" w:hAnsi="Times New Roman" w:cs="Times New Roman"/>
          <w:color w:val="000000"/>
          <w:spacing w:val="0"/>
          <w:w w:val="100"/>
          <w:position w:val="0"/>
          <w:shd w:val="clear" w:color="auto" w:fill="auto"/>
          <w:lang w:val="cs-CZ" w:eastAsia="cs-CZ" w:bidi="cs-CZ"/>
        </w:rPr>
        <w:t>Prodávající vrátí Kupujícímu část kupní ceny dle Kupní smlouvy odpovídající kupní ceně Vadného stroje, tj. částku ve výši 6 990 000,- Kč bez DPH (8 457 900,- Kč včetně DPH) do 30 dnů od nabytí účinnosti této dohody, nikoli však dříve než do 7 dnů ode dne splnění povinností Kupujícího podle odstavce 3. Uvedená částka bude Prodávajícím uhrazena Kupujícímu na účet Kupujícího č. účtu 9137441/0100, vedený u Komerční banky, a.s., pod variabilním symbolem 40740056 (IČO Prodávajícího). Prodávající na uvedenou částku vystaví opravný daňový doklad a doručí jej Kupujícímu v souladu se zákonem č. 235/2004 Sb., o dani z přidané hodnoty, ve znění pozdějších předpisů.</w:t>
      </w:r>
    </w:p>
    <w:p>
      <w:pPr>
        <w:pStyle w:val="Style2"/>
        <w:keepNext w:val="0"/>
        <w:keepLines w:val="0"/>
        <w:widowControl w:val="0"/>
        <w:numPr>
          <w:ilvl w:val="0"/>
          <w:numId w:val="3"/>
        </w:numPr>
        <w:shd w:val="clear" w:color="auto" w:fill="auto"/>
        <w:tabs>
          <w:tab w:pos="566" w:val="left"/>
        </w:tabs>
        <w:bidi w:val="0"/>
        <w:spacing w:before="0" w:line="240" w:lineRule="auto"/>
        <w:ind w:left="580" w:right="0" w:hanging="580"/>
        <w:jc w:val="both"/>
      </w:pPr>
      <w:bookmarkStart w:id="9" w:name="bookmark9"/>
      <w:bookmarkEnd w:id="9"/>
      <w:r>
        <w:rPr>
          <w:rFonts w:ascii="Times New Roman" w:eastAsia="Times New Roman" w:hAnsi="Times New Roman" w:cs="Times New Roman"/>
          <w:color w:val="000000"/>
          <w:spacing w:val="0"/>
          <w:w w:val="100"/>
          <w:position w:val="0"/>
          <w:shd w:val="clear" w:color="auto" w:fill="auto"/>
          <w:lang w:val="cs-CZ" w:eastAsia="cs-CZ" w:bidi="cs-CZ"/>
        </w:rPr>
        <w:t>Kupující vrátí Prodávajícímu Vadný stroj do 30 dnů od nabytí účinnosti této dohody. Místem předání Vadného stroje bude Povodí Ohře, státní podnik, provoz Česká Lípa, Litoměřická 91, 470 01 Česká Lípa. O předání Vadného stroje Kupujícím Prodávajícímu bude smluvními stranami sepsán písemný protokol. Do okamžiku předání Vadného stroje nese Kupující nebezpečí škody na Vadném stroji a současně nesmí Vadný stroj jakýmkoli způsobem užívat; to neplatí pro účely a v rozsahu nezbytných pro provedení platné evidenční kontroly Vadného stroje, kterou je Kupující před předáním Vadného stroje Prodávajícímu povinen zajistit pro účely přepisu Vadného stroje z Kupujícího na Prodávajícího v registru vozidel, a pro provedení demontáže hlídání Vadného stroje, které do Vadného stroje Kupující namontoval po jeho dodání Prodávajícím a které je Kupující před předáním Vadného stroje Prodávajícímu povinen demontovat. Pro účely přepisu Vadného stroje z Kupujícího na Prodávajícího v registru vozidel je Kupující povinen v zákonné lhůtě poskytnout Prodávajícímu veškerou potřebnou součinnost nebo řádně a včas udělit Prodávajícímu plnou moc k přepisu Vadného stroje z Kupujícího na Prodávajícího v registru vozidel.</w:t>
      </w:r>
    </w:p>
    <w:p>
      <w:pPr>
        <w:pStyle w:val="Style2"/>
        <w:keepNext w:val="0"/>
        <w:keepLines w:val="0"/>
        <w:widowControl w:val="0"/>
        <w:shd w:val="clear" w:color="auto" w:fill="auto"/>
        <w:bidi w:val="0"/>
        <w:spacing w:before="0" w:after="0" w:line="254" w:lineRule="auto"/>
        <w:ind w:left="0" w:right="0" w:firstLine="0"/>
        <w:jc w:val="center"/>
        <w:rPr>
          <w:sz w:val="19"/>
          <w:szCs w:val="19"/>
        </w:rPr>
      </w:pPr>
      <w:r>
        <w:rPr>
          <w:rFonts w:ascii="Times New Roman" w:eastAsia="Times New Roman" w:hAnsi="Times New Roman" w:cs="Times New Roman"/>
          <w:b/>
          <w:bCs/>
          <w:color w:val="000000"/>
          <w:spacing w:val="0"/>
          <w:w w:val="100"/>
          <w:position w:val="0"/>
          <w:sz w:val="19"/>
          <w:szCs w:val="19"/>
          <w:shd w:val="clear" w:color="auto" w:fill="auto"/>
          <w:lang w:val="cs-CZ" w:eastAsia="cs-CZ" w:bidi="cs-CZ"/>
        </w:rPr>
        <w:t>Čl. III.</w:t>
      </w:r>
    </w:p>
    <w:p>
      <w:pPr>
        <w:pStyle w:val="Style2"/>
        <w:keepNext w:val="0"/>
        <w:keepLines w:val="0"/>
        <w:widowControl w:val="0"/>
        <w:shd w:val="clear" w:color="auto" w:fill="auto"/>
        <w:bidi w:val="0"/>
        <w:spacing w:before="0" w:line="254" w:lineRule="auto"/>
        <w:ind w:left="0" w:right="0" w:firstLine="0"/>
        <w:jc w:val="center"/>
        <w:rPr>
          <w:sz w:val="19"/>
          <w:szCs w:val="19"/>
        </w:rPr>
      </w:pPr>
      <w:r>
        <w:rPr>
          <w:rFonts w:ascii="Times New Roman" w:eastAsia="Times New Roman" w:hAnsi="Times New Roman" w:cs="Times New Roman"/>
          <w:b/>
          <w:bCs/>
          <w:color w:val="000000"/>
          <w:spacing w:val="0"/>
          <w:w w:val="100"/>
          <w:position w:val="0"/>
          <w:sz w:val="19"/>
          <w:szCs w:val="19"/>
          <w:shd w:val="clear" w:color="auto" w:fill="auto"/>
          <w:lang w:val="cs-CZ" w:eastAsia="cs-CZ" w:bidi="cs-CZ"/>
        </w:rPr>
        <w:t>Závěrečná ustanovení</w:t>
      </w:r>
    </w:p>
    <w:p>
      <w:pPr>
        <w:pStyle w:val="Style2"/>
        <w:keepNext w:val="0"/>
        <w:keepLines w:val="0"/>
        <w:widowControl w:val="0"/>
        <w:numPr>
          <w:ilvl w:val="0"/>
          <w:numId w:val="5"/>
        </w:numPr>
        <w:shd w:val="clear" w:color="auto" w:fill="auto"/>
        <w:tabs>
          <w:tab w:pos="566" w:val="left"/>
        </w:tabs>
        <w:bidi w:val="0"/>
        <w:spacing w:before="0" w:line="240" w:lineRule="auto"/>
        <w:ind w:left="580" w:right="0" w:hanging="580"/>
        <w:jc w:val="both"/>
      </w:pPr>
      <w:bookmarkStart w:id="10" w:name="bookmark10"/>
      <w:bookmarkEnd w:id="10"/>
      <w:r>
        <w:rPr>
          <w:rFonts w:ascii="Times New Roman" w:eastAsia="Times New Roman" w:hAnsi="Times New Roman" w:cs="Times New Roman"/>
          <w:color w:val="000000"/>
          <w:spacing w:val="0"/>
          <w:w w:val="100"/>
          <w:position w:val="0"/>
          <w:shd w:val="clear" w:color="auto" w:fill="auto"/>
          <w:lang w:val="cs-CZ" w:eastAsia="cs-CZ" w:bidi="cs-CZ"/>
        </w:rPr>
        <w:t>Tato dohoda nabývá platnosti dnem jejího podpisu poslední ze smluvních stran a účinnosti dnem zveřejnění v Registru smluv.</w:t>
      </w:r>
    </w:p>
    <w:p>
      <w:pPr>
        <w:pStyle w:val="Style2"/>
        <w:keepNext w:val="0"/>
        <w:keepLines w:val="0"/>
        <w:widowControl w:val="0"/>
        <w:numPr>
          <w:ilvl w:val="0"/>
          <w:numId w:val="5"/>
        </w:numPr>
        <w:shd w:val="clear" w:color="auto" w:fill="auto"/>
        <w:tabs>
          <w:tab w:pos="566" w:val="left"/>
        </w:tabs>
        <w:bidi w:val="0"/>
        <w:spacing w:before="0" w:line="240" w:lineRule="auto"/>
        <w:ind w:left="580" w:right="0" w:hanging="580"/>
        <w:jc w:val="both"/>
      </w:pPr>
      <w:bookmarkStart w:id="11" w:name="bookmark11"/>
      <w:bookmarkEnd w:id="11"/>
      <w:r>
        <w:rPr>
          <w:rFonts w:ascii="Times New Roman" w:eastAsia="Times New Roman" w:hAnsi="Times New Roman" w:cs="Times New Roman"/>
          <w:color w:val="000000"/>
          <w:spacing w:val="0"/>
          <w:w w:val="100"/>
          <w:position w:val="0"/>
          <w:shd w:val="clear" w:color="auto" w:fill="auto"/>
          <w:lang w:val="cs-CZ" w:eastAsia="cs-CZ" w:bidi="cs-CZ"/>
        </w:rPr>
        <w:t>Tato dohoda a vztahy z ní vyplývající se řídí českým právním řádem. Práva a povinnosti výslovně neupravené touto smlouvou se řídí zejména ustanoveními občanského zákoníku.</w:t>
      </w:r>
    </w:p>
    <w:p>
      <w:pPr>
        <w:pStyle w:val="Style2"/>
        <w:keepNext w:val="0"/>
        <w:keepLines w:val="0"/>
        <w:widowControl w:val="0"/>
        <w:numPr>
          <w:ilvl w:val="0"/>
          <w:numId w:val="5"/>
        </w:numPr>
        <w:shd w:val="clear" w:color="auto" w:fill="auto"/>
        <w:tabs>
          <w:tab w:pos="566" w:val="left"/>
        </w:tabs>
        <w:bidi w:val="0"/>
        <w:spacing w:before="0" w:line="240" w:lineRule="auto"/>
        <w:ind w:left="580" w:right="0" w:hanging="580"/>
        <w:jc w:val="both"/>
      </w:pPr>
      <w:bookmarkStart w:id="12" w:name="bookmark12"/>
      <w:bookmarkEnd w:id="12"/>
      <w:r>
        <w:rPr>
          <w:rFonts w:ascii="Times New Roman" w:eastAsia="Times New Roman" w:hAnsi="Times New Roman" w:cs="Times New Roman"/>
          <w:color w:val="000000"/>
          <w:spacing w:val="0"/>
          <w:w w:val="100"/>
          <w:position w:val="0"/>
          <w:shd w:val="clear" w:color="auto" w:fill="auto"/>
          <w:lang w:val="cs-CZ" w:eastAsia="cs-CZ" w:bidi="cs-CZ"/>
        </w:rPr>
        <w:t>Tato dohoda je vyhotovena ve 2 stejnopisech s platností originálu, přičemž každý účastník smlouvy obdrží po jednom vyhotovení.</w:t>
      </w:r>
    </w:p>
    <w:p>
      <w:pPr>
        <w:pStyle w:val="Style2"/>
        <w:keepNext w:val="0"/>
        <w:keepLines w:val="0"/>
        <w:widowControl w:val="0"/>
        <w:numPr>
          <w:ilvl w:val="0"/>
          <w:numId w:val="5"/>
        </w:numPr>
        <w:shd w:val="clear" w:color="auto" w:fill="auto"/>
        <w:tabs>
          <w:tab w:pos="566" w:val="left"/>
        </w:tabs>
        <w:bidi w:val="0"/>
        <w:spacing w:before="0" w:line="240" w:lineRule="auto"/>
        <w:ind w:left="580" w:right="0" w:hanging="580"/>
        <w:jc w:val="both"/>
      </w:pPr>
      <w:bookmarkStart w:id="13" w:name="bookmark13"/>
      <w:bookmarkEnd w:id="13"/>
      <w:r>
        <w:rPr>
          <w:rFonts w:ascii="Times New Roman" w:eastAsia="Times New Roman" w:hAnsi="Times New Roman" w:cs="Times New Roman"/>
          <w:color w:val="000000"/>
          <w:spacing w:val="0"/>
          <w:w w:val="100"/>
          <w:position w:val="0"/>
          <w:shd w:val="clear" w:color="auto" w:fill="auto"/>
          <w:lang w:val="cs-CZ" w:eastAsia="cs-CZ" w:bidi="cs-CZ"/>
        </w:rPr>
        <w:t>Tato dohoda může být měněna pouze ve formě písemných dodatků podepsaných oběma smluvními stranami.</w:t>
      </w:r>
    </w:p>
    <w:p>
      <w:pPr>
        <w:pStyle w:val="Style2"/>
        <w:keepNext w:val="0"/>
        <w:keepLines w:val="0"/>
        <w:widowControl w:val="0"/>
        <w:numPr>
          <w:ilvl w:val="0"/>
          <w:numId w:val="5"/>
        </w:numPr>
        <w:shd w:val="clear" w:color="auto" w:fill="auto"/>
        <w:tabs>
          <w:tab w:pos="566" w:val="left"/>
        </w:tabs>
        <w:bidi w:val="0"/>
        <w:spacing w:before="0" w:after="0" w:line="240" w:lineRule="auto"/>
        <w:ind w:left="580" w:right="0" w:hanging="580"/>
        <w:jc w:val="both"/>
        <w:sectPr>
          <w:footerReference w:type="default" r:id="rId5"/>
          <w:footerReference w:type="even" r:id="rId6"/>
          <w:footnotePr>
            <w:pos w:val="pageBottom"/>
            <w:numFmt w:val="decimal"/>
            <w:numRestart w:val="continuous"/>
          </w:footnotePr>
          <w:pgSz w:w="11909" w:h="16838"/>
          <w:pgMar w:top="1382" w:left="1394" w:right="1384" w:bottom="1172" w:header="0" w:footer="3" w:gutter="0"/>
          <w:pgNumType w:start="1"/>
          <w:cols w:space="720"/>
          <w:noEndnote/>
          <w:rtlGutter w:val="0"/>
          <w:docGrid w:linePitch="360"/>
        </w:sectPr>
      </w:pPr>
      <w:bookmarkStart w:id="14" w:name="bookmark14"/>
      <w:bookmarkEnd w:id="14"/>
      <w:r>
        <w:rPr>
          <w:rFonts w:ascii="Times New Roman" w:eastAsia="Times New Roman" w:hAnsi="Times New Roman" w:cs="Times New Roman"/>
          <w:color w:val="000000"/>
          <w:spacing w:val="0"/>
          <w:w w:val="100"/>
          <w:position w:val="0"/>
          <w:shd w:val="clear" w:color="auto" w:fill="auto"/>
          <w:lang w:val="cs-CZ" w:eastAsia="cs-CZ" w:bidi="cs-CZ"/>
        </w:rPr>
        <w:t>Smluvní strany prohlašují, že si tuto dohodu řádně přečetly, jejímu obsahu porozuměly a že je projevem jejich pravé, svobodné a vážné vůle prosté omylu a dále že tato dohoda nebyla ujednána v tísni, ani za jinak nápadně nevýhodných podmínek a veškerá prohlášení v dohodě odpovídají skutečnosti, což níže stvrzují svými podpisy.</w:t>
      </w:r>
    </w:p>
    <w:p>
      <w:pPr>
        <w:widowControl w:val="0"/>
        <w:spacing w:before="32" w:after="32"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377" w:left="0" w:right="0" w:bottom="2511"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Ve Stachách dne 10.6.2024</w:t>
      </w:r>
    </w:p>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377" w:left="2594" w:right="2426" w:bottom="2511" w:header="0" w:footer="3" w:gutter="0"/>
          <w:cols w:num="2" w:space="2242"/>
          <w:noEndnote/>
          <w:rtlGutter w:val="0"/>
          <w:docGrid w:linePitch="360"/>
        </w:sectPr>
      </w:pPr>
      <w:r>
        <w:rPr>
          <w:rFonts w:ascii="Times New Roman" w:eastAsia="Times New Roman" w:hAnsi="Times New Roman" w:cs="Times New Roman"/>
          <w:color w:val="000000"/>
          <w:spacing w:val="0"/>
          <w:w w:val="100"/>
          <w:position w:val="0"/>
          <w:shd w:val="clear" w:color="auto" w:fill="auto"/>
          <w:lang w:val="cs-CZ" w:eastAsia="cs-CZ" w:bidi="cs-CZ"/>
        </w:rPr>
        <w:t>V Chomutově dne12.6.2024</w:t>
      </w:r>
    </w:p>
    <w:p>
      <w:pPr>
        <w:widowControl w:val="0"/>
        <w:spacing w:line="240" w:lineRule="exact"/>
        <w:rPr>
          <w:sz w:val="19"/>
          <w:szCs w:val="19"/>
        </w:rPr>
      </w:pPr>
    </w:p>
    <w:p>
      <w:pPr>
        <w:widowControl w:val="0"/>
        <w:spacing w:line="240" w:lineRule="exact"/>
        <w:rPr>
          <w:sz w:val="19"/>
          <w:szCs w:val="19"/>
        </w:rPr>
      </w:pPr>
    </w:p>
    <w:p>
      <w:pPr>
        <w:widowControl w:val="0"/>
        <w:spacing w:before="67" w:after="67"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377" w:left="0" w:right="0" w:bottom="1377" w:header="0" w:footer="3" w:gutter="0"/>
          <w:cols w:space="720"/>
          <w:noEndnote/>
          <w:rtlGutter w:val="0"/>
          <w:docGrid w:linePitch="360"/>
        </w:sectPr>
      </w:pPr>
    </w:p>
    <w:p>
      <w:pPr>
        <w:pStyle w:val="Style2"/>
        <w:keepNext w:val="0"/>
        <w:keepLines w:val="0"/>
        <w:widowControl w:val="0"/>
        <w:shd w:val="clear" w:color="auto" w:fill="auto"/>
        <w:tabs>
          <w:tab w:leader="underscore" w:pos="2203" w:val="left"/>
        </w:tabs>
        <w:bidi w:val="0"/>
        <w:spacing w:before="0" w:after="0" w:line="286" w:lineRule="auto"/>
        <w:ind w:left="0" w:right="0" w:firstLine="0"/>
        <w:jc w:val="center"/>
      </w:pPr>
      <w:r>
        <w:rPr>
          <w:rFonts w:ascii="Times New Roman" w:eastAsia="Times New Roman" w:hAnsi="Times New Roman" w:cs="Times New Roman"/>
          <w:color w:val="000000"/>
          <w:spacing w:val="0"/>
          <w:w w:val="100"/>
          <w:position w:val="0"/>
          <w:shd w:val="clear" w:color="auto" w:fill="auto"/>
          <w:lang w:val="cs-CZ" w:eastAsia="cs-CZ" w:bidi="cs-CZ"/>
        </w:rPr>
        <w:tab/>
      </w:r>
    </w:p>
    <w:p>
      <w:pPr>
        <w:pStyle w:val="Style2"/>
        <w:keepNext w:val="0"/>
        <w:keepLines w:val="0"/>
        <w:widowControl w:val="0"/>
        <w:shd w:val="clear" w:color="auto" w:fill="auto"/>
        <w:bidi w:val="0"/>
        <w:spacing w:before="0" w:after="0" w:line="300" w:lineRule="auto"/>
        <w:ind w:left="0" w:right="0" w:firstLine="0"/>
        <w:jc w:val="center"/>
        <w:rPr>
          <w:sz w:val="19"/>
          <w:szCs w:val="19"/>
        </w:rPr>
      </w:pPr>
      <w:r>
        <w:rPr>
          <w:rFonts w:ascii="Times New Roman" w:eastAsia="Times New Roman" w:hAnsi="Times New Roman" w:cs="Times New Roman"/>
          <w:b/>
          <w:bCs/>
          <w:color w:val="000000"/>
          <w:spacing w:val="0"/>
          <w:w w:val="100"/>
          <w:position w:val="0"/>
          <w:sz w:val="19"/>
          <w:szCs w:val="19"/>
          <w:shd w:val="clear" w:color="auto" w:fill="auto"/>
          <w:lang w:val="cs-CZ" w:eastAsia="cs-CZ" w:bidi="cs-CZ"/>
        </w:rPr>
        <w:t>STAVOPLAST KL spol. s r.o.</w:t>
        <w:br/>
        <w:t>Prodávající</w:t>
      </w:r>
    </w:p>
    <w:p>
      <w:pPr>
        <w:pStyle w:val="Style2"/>
        <w:keepNext w:val="0"/>
        <w:keepLines w:val="0"/>
        <w:widowControl w:val="0"/>
        <w:shd w:val="clear" w:color="auto" w:fill="auto"/>
        <w:tabs>
          <w:tab w:leader="underscore" w:pos="2203" w:val="left"/>
        </w:tabs>
        <w:bidi w:val="0"/>
        <w:spacing w:before="0" w:after="0" w:line="286" w:lineRule="auto"/>
        <w:ind w:left="0" w:right="0" w:firstLine="0"/>
        <w:jc w:val="center"/>
      </w:pPr>
      <w:r>
        <w:rPr>
          <w:rFonts w:ascii="Times New Roman" w:eastAsia="Times New Roman" w:hAnsi="Times New Roman" w:cs="Times New Roman"/>
          <w:color w:val="000000"/>
          <w:spacing w:val="0"/>
          <w:w w:val="100"/>
          <w:position w:val="0"/>
          <w:shd w:val="clear" w:color="auto" w:fill="auto"/>
          <w:lang w:val="cs-CZ" w:eastAsia="cs-CZ" w:bidi="cs-CZ"/>
        </w:rPr>
        <w:tab/>
      </w:r>
    </w:p>
    <w:p>
      <w:pPr>
        <w:pStyle w:val="Style2"/>
        <w:keepNext w:val="0"/>
        <w:keepLines w:val="0"/>
        <w:widowControl w:val="0"/>
        <w:shd w:val="clear" w:color="auto" w:fill="auto"/>
        <w:bidi w:val="0"/>
        <w:spacing w:before="0" w:after="0" w:line="300" w:lineRule="auto"/>
        <w:ind w:left="0" w:right="0" w:firstLine="0"/>
        <w:jc w:val="center"/>
        <w:rPr>
          <w:sz w:val="19"/>
          <w:szCs w:val="19"/>
        </w:rPr>
        <w:sectPr>
          <w:footnotePr>
            <w:pos w:val="pageBottom"/>
            <w:numFmt w:val="decimal"/>
            <w:numRestart w:val="continuous"/>
          </w:footnotePr>
          <w:type w:val="continuous"/>
          <w:pgSz w:w="11909" w:h="16838"/>
          <w:pgMar w:top="1377" w:left="2412" w:right="2311" w:bottom="1377" w:header="0" w:footer="3" w:gutter="0"/>
          <w:cols w:num="2" w:space="1989"/>
          <w:noEndnote/>
          <w:rtlGutter w:val="0"/>
          <w:docGrid w:linePitch="360"/>
        </w:sectPr>
      </w:pPr>
      <w:r>
        <w:rPr>
          <w:rFonts w:ascii="Times New Roman" w:eastAsia="Times New Roman" w:hAnsi="Times New Roman" w:cs="Times New Roman"/>
          <w:b/>
          <w:bCs/>
          <w:color w:val="000000"/>
          <w:spacing w:val="0"/>
          <w:w w:val="100"/>
          <w:position w:val="0"/>
          <w:sz w:val="19"/>
          <w:szCs w:val="19"/>
          <w:shd w:val="clear" w:color="auto" w:fill="auto"/>
          <w:lang w:val="cs-CZ" w:eastAsia="cs-CZ" w:bidi="cs-CZ"/>
        </w:rPr>
        <w:t>Povodí Ohře, státní podnik</w:t>
        <w:br/>
        <w:t>Kupující</w:t>
      </w:r>
    </w:p>
    <w:sectPr>
      <w:footnotePr>
        <w:pos w:val="pageBottom"/>
        <w:numFmt w:val="decimal"/>
        <w:numRestart w:val="continuous"/>
      </w:footnotePr>
      <w:type w:val="continuous"/>
      <w:pgSz w:w="11909" w:h="16838"/>
      <w:pgMar w:top="1377" w:left="2412" w:right="2311" w:bottom="1377" w:header="0" w:footer="3" w:gutter="0"/>
      <w:cols w:num="2" w:space="1989"/>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6051550</wp:posOffset>
              </wp:positionH>
              <wp:positionV relativeFrom="page">
                <wp:posOffset>10180320</wp:posOffset>
              </wp:positionV>
              <wp:extent cx="612775" cy="152400"/>
              <wp:wrapNone/>
              <wp:docPr id="1" name="Shape 1"/>
              <a:graphic xmlns:a="http://schemas.openxmlformats.org/drawingml/2006/main">
                <a:graphicData uri="http://schemas.microsoft.com/office/word/2010/wordprocessingShape">
                  <wps:wsp>
                    <wps:cNvSpPr txBox="1"/>
                    <wps:spPr>
                      <a:xfrm>
                        <a:ext cx="612775" cy="15240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 xml:space="preserve">Stránka </w:t>
                          </w: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 xml:space="preserve">2 </w:t>
                          </w:r>
                          <w:r>
                            <w:rPr>
                              <w:rFonts w:ascii="Times New Roman" w:eastAsia="Times New Roman" w:hAnsi="Times New Roman" w:cs="Times New Roman"/>
                              <w:color w:val="000000"/>
                              <w:spacing w:val="0"/>
                              <w:w w:val="100"/>
                              <w:position w:val="0"/>
                              <w:sz w:val="18"/>
                              <w:szCs w:val="18"/>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76.5pt;margin-top:801.60000000000002pt;width:48.25pt;height:12.pt;z-index:-18874406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 xml:space="preserve">Stránka </w:t>
                    </w: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 xml:space="preserve">2 </w:t>
                    </w:r>
                    <w:r>
                      <w:rPr>
                        <w:rFonts w:ascii="Times New Roman" w:eastAsia="Times New Roman" w:hAnsi="Times New Roman" w:cs="Times New Roman"/>
                        <w:color w:val="000000"/>
                        <w:spacing w:val="0"/>
                        <w:w w:val="100"/>
                        <w:position w:val="0"/>
                        <w:sz w:val="18"/>
                        <w:szCs w:val="18"/>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b w:val="0"/>
      <w:bCs w:val="0"/>
      <w:i w:val="0"/>
      <w:iCs w:val="0"/>
      <w:smallCaps w:val="0"/>
      <w:strike w:val="0"/>
      <w:sz w:val="20"/>
      <w:szCs w:val="20"/>
      <w:u w:val="none"/>
    </w:rPr>
  </w:style>
  <w:style w:type="character" w:customStyle="1" w:styleId="CharStyle6">
    <w:name w:val="Char Style 6"/>
    <w:basedOn w:val="DefaultParagraphFont"/>
    <w:link w:val="Style5"/>
    <w:rPr>
      <w:b/>
      <w:bCs/>
      <w:i w:val="0"/>
      <w:iCs w:val="0"/>
      <w:smallCaps w:val="0"/>
      <w:strike w:val="0"/>
      <w:u w:val="none"/>
    </w:rPr>
  </w:style>
  <w:style w:type="character" w:customStyle="1" w:styleId="CharStyle8">
    <w:name w:val="Char Style 8"/>
    <w:basedOn w:val="DefaultParagraphFont"/>
    <w:link w:val="Style7"/>
    <w:rPr>
      <w:b w:val="0"/>
      <w:bCs w:val="0"/>
      <w:i w:val="0"/>
      <w:iCs w:val="0"/>
      <w:smallCaps w:val="0"/>
      <w:strike w:val="0"/>
      <w:sz w:val="18"/>
      <w:szCs w:val="18"/>
      <w:u w:val="none"/>
    </w:rPr>
  </w:style>
  <w:style w:type="character" w:customStyle="1" w:styleId="CharStyle11">
    <w:name w:val="Char Style 11"/>
    <w:basedOn w:val="DefaultParagraphFont"/>
    <w:link w:val="Style10"/>
    <w:rPr>
      <w:b w:val="0"/>
      <w:bCs w:val="0"/>
      <w:i w:val="0"/>
      <w:iCs w:val="0"/>
      <w:smallCaps w:val="0"/>
      <w:strike w:val="0"/>
      <w:sz w:val="20"/>
      <w:szCs w:val="20"/>
      <w:u w:val="none"/>
    </w:rPr>
  </w:style>
  <w:style w:type="paragraph" w:customStyle="1" w:styleId="Style2">
    <w:name w:val="Style 2"/>
    <w:basedOn w:val="Normal"/>
    <w:link w:val="CharStyle3"/>
    <w:pPr>
      <w:widowControl w:val="0"/>
      <w:shd w:val="clear" w:color="auto" w:fill="FFFFFF"/>
      <w:spacing w:after="200"/>
    </w:pPr>
    <w:rPr>
      <w:b w:val="0"/>
      <w:bCs w:val="0"/>
      <w:i w:val="0"/>
      <w:iCs w:val="0"/>
      <w:smallCaps w:val="0"/>
      <w:strike w:val="0"/>
      <w:sz w:val="20"/>
      <w:szCs w:val="20"/>
      <w:u w:val="none"/>
    </w:rPr>
  </w:style>
  <w:style w:type="paragraph" w:customStyle="1" w:styleId="Style5">
    <w:name w:val="Style 5"/>
    <w:basedOn w:val="Normal"/>
    <w:link w:val="CharStyle6"/>
    <w:pPr>
      <w:widowControl w:val="0"/>
      <w:shd w:val="clear" w:color="auto" w:fill="FFFFFF"/>
      <w:spacing w:after="200"/>
      <w:jc w:val="center"/>
      <w:outlineLvl w:val="0"/>
    </w:pPr>
    <w:rPr>
      <w:b/>
      <w:bCs/>
      <w:i w:val="0"/>
      <w:iCs w:val="0"/>
      <w:smallCaps w:val="0"/>
      <w:strike w:val="0"/>
      <w:u w:val="none"/>
    </w:rPr>
  </w:style>
  <w:style w:type="paragraph" w:customStyle="1" w:styleId="Style7">
    <w:name w:val="Style 7"/>
    <w:basedOn w:val="Normal"/>
    <w:link w:val="CharStyle8"/>
    <w:pPr>
      <w:widowControl w:val="0"/>
      <w:shd w:val="clear" w:color="auto" w:fill="FFFFFF"/>
      <w:spacing w:after="100" w:line="247" w:lineRule="auto"/>
      <w:jc w:val="center"/>
    </w:pPr>
    <w:rPr>
      <w:b w:val="0"/>
      <w:bCs w:val="0"/>
      <w:i w:val="0"/>
      <w:iCs w:val="0"/>
      <w:smallCaps w:val="0"/>
      <w:strike w:val="0"/>
      <w:sz w:val="18"/>
      <w:szCs w:val="18"/>
      <w:u w:val="none"/>
    </w:rPr>
  </w:style>
  <w:style w:type="paragraph" w:customStyle="1" w:styleId="Style10">
    <w:name w:val="Style 10"/>
    <w:basedOn w:val="Normal"/>
    <w:link w:val="CharStyle11"/>
    <w:pPr>
      <w:widowControl w:val="0"/>
      <w:shd w:val="clear" w:color="auto" w:fill="FFFFFF"/>
    </w:pPr>
    <w:rPr>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
  <dc:subject/>
  <dc:creator>Radim Cichra</dc:creator>
  <cp:keywords/>
</cp:coreProperties>
</file>