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9A3D47B" w14:textId="77777777" w:rsidR="00823743" w:rsidRDefault="00823743">
      <w:pPr>
        <w:jc w:val="center"/>
      </w:pPr>
      <w:bookmarkStart w:id="0" w:name="_GoBack"/>
      <w:bookmarkEnd w:id="0"/>
      <w:r>
        <w:rPr>
          <w:rFonts w:cs="Calibri"/>
          <w:b/>
          <w:bCs/>
          <w:color w:val="000000"/>
          <w:sz w:val="28"/>
          <w:szCs w:val="28"/>
        </w:rPr>
        <w:t>SMLOUVA O VÝPŮJČCE</w:t>
      </w:r>
    </w:p>
    <w:p w14:paraId="7D1B4D6B" w14:textId="77777777" w:rsidR="00823743" w:rsidRDefault="00823743">
      <w:pPr>
        <w:pStyle w:val="Zkladntext"/>
        <w:spacing w:after="0"/>
        <w:rPr>
          <w:rFonts w:cs="Calibri"/>
          <w:b/>
          <w:bCs/>
          <w:color w:val="000000"/>
          <w:sz w:val="24"/>
          <w:szCs w:val="24"/>
        </w:rPr>
      </w:pPr>
    </w:p>
    <w:p w14:paraId="1B7600CD" w14:textId="77777777" w:rsidR="00BE67F9" w:rsidRDefault="00BE67F9" w:rsidP="00BE67F9">
      <w:pPr>
        <w:spacing w:after="0"/>
      </w:pPr>
      <w:r>
        <w:rPr>
          <w:rFonts w:cs="Calibri"/>
          <w:b/>
          <w:bCs/>
          <w:color w:val="000000"/>
          <w:sz w:val="24"/>
          <w:szCs w:val="24"/>
        </w:rPr>
        <w:t>Město Hořice</w:t>
      </w:r>
    </w:p>
    <w:p w14:paraId="190986ED" w14:textId="77777777" w:rsidR="00BE67F9" w:rsidRDefault="00BE67F9" w:rsidP="00BE67F9">
      <w:pPr>
        <w:pStyle w:val="ListParagraph"/>
        <w:spacing w:after="0" w:line="100" w:lineRule="atLeast"/>
        <w:ind w:left="0"/>
      </w:pPr>
      <w:proofErr w:type="gramStart"/>
      <w:r>
        <w:rPr>
          <w:rFonts w:cs="Calibri"/>
          <w:color w:val="000000"/>
          <w:sz w:val="24"/>
          <w:szCs w:val="24"/>
        </w:rPr>
        <w:t>IČO:  00271560</w:t>
      </w:r>
      <w:proofErr w:type="gramEnd"/>
    </w:p>
    <w:p w14:paraId="1D89EC65" w14:textId="77777777" w:rsidR="00BE67F9" w:rsidRDefault="00BE67F9" w:rsidP="00BE67F9">
      <w:pPr>
        <w:pStyle w:val="ListParagraph"/>
        <w:spacing w:after="0" w:line="100" w:lineRule="atLeast"/>
        <w:ind w:left="0"/>
      </w:pPr>
      <w:r>
        <w:rPr>
          <w:rFonts w:cs="Calibri"/>
          <w:color w:val="000000"/>
          <w:sz w:val="24"/>
          <w:szCs w:val="24"/>
        </w:rPr>
        <w:t>se sídlem: nám. Jiřího z Poděbrad 342, 508 01 Hořice</w:t>
      </w:r>
    </w:p>
    <w:p w14:paraId="4F3E9E4E" w14:textId="77777777" w:rsidR="00BE67F9" w:rsidRDefault="00BE67F9" w:rsidP="00BE67F9">
      <w:pPr>
        <w:pStyle w:val="ListParagraph"/>
        <w:spacing w:after="0" w:line="100" w:lineRule="atLeast"/>
        <w:ind w:left="0"/>
      </w:pPr>
      <w:r>
        <w:rPr>
          <w:rFonts w:cs="Calibri"/>
          <w:color w:val="000000"/>
          <w:sz w:val="24"/>
          <w:szCs w:val="24"/>
        </w:rPr>
        <w:t>zastoupené Ing. arch. Martinem Pourem, starostou</w:t>
      </w:r>
    </w:p>
    <w:p w14:paraId="304BF858" w14:textId="77777777" w:rsidR="00BE67F9" w:rsidRDefault="00BE67F9" w:rsidP="00BE67F9">
      <w:pPr>
        <w:spacing w:after="0" w:line="100" w:lineRule="atLeast"/>
        <w:rPr>
          <w:rFonts w:cs="Calibri"/>
          <w:color w:val="000000"/>
          <w:sz w:val="24"/>
          <w:szCs w:val="24"/>
        </w:rPr>
      </w:pPr>
      <w:r>
        <w:rPr>
          <w:rFonts w:cs="Calibri"/>
          <w:color w:val="000000"/>
          <w:sz w:val="24"/>
          <w:szCs w:val="24"/>
        </w:rPr>
        <w:t>(dále jen „půjčitel“)</w:t>
      </w:r>
    </w:p>
    <w:p w14:paraId="6D8311EC" w14:textId="77777777" w:rsidR="00BE67F9" w:rsidRDefault="00BE67F9" w:rsidP="00BE67F9">
      <w:pPr>
        <w:spacing w:after="0" w:line="100" w:lineRule="atLeast"/>
        <w:rPr>
          <w:rFonts w:cs="Calibri"/>
          <w:color w:val="000000"/>
          <w:sz w:val="24"/>
          <w:szCs w:val="24"/>
        </w:rPr>
      </w:pPr>
    </w:p>
    <w:p w14:paraId="58536F49" w14:textId="77777777" w:rsidR="00BE67F9" w:rsidRDefault="00BE67F9" w:rsidP="00BE67F9">
      <w:pPr>
        <w:spacing w:after="0" w:line="100" w:lineRule="atLeast"/>
        <w:rPr>
          <w:rFonts w:cs="Calibri"/>
          <w:color w:val="000000"/>
          <w:sz w:val="24"/>
          <w:szCs w:val="24"/>
        </w:rPr>
      </w:pPr>
      <w:r>
        <w:rPr>
          <w:rFonts w:cs="Calibri"/>
          <w:color w:val="000000"/>
          <w:sz w:val="24"/>
          <w:szCs w:val="24"/>
        </w:rPr>
        <w:t xml:space="preserve">a </w:t>
      </w:r>
    </w:p>
    <w:p w14:paraId="13E13ABC" w14:textId="77777777" w:rsidR="00BE67F9" w:rsidRDefault="00BE67F9" w:rsidP="00BE67F9">
      <w:pPr>
        <w:spacing w:after="0" w:line="100" w:lineRule="atLeast"/>
      </w:pPr>
    </w:p>
    <w:p w14:paraId="4296F166" w14:textId="77777777" w:rsidR="00823743" w:rsidRDefault="0099281F">
      <w:pPr>
        <w:spacing w:after="0"/>
        <w:rPr>
          <w:rFonts w:cs="Calibri"/>
          <w:b/>
          <w:color w:val="000000"/>
          <w:sz w:val="24"/>
          <w:szCs w:val="24"/>
        </w:rPr>
      </w:pPr>
      <w:r>
        <w:rPr>
          <w:rFonts w:cs="Calibri"/>
          <w:b/>
          <w:color w:val="000000"/>
          <w:sz w:val="24"/>
          <w:szCs w:val="24"/>
        </w:rPr>
        <w:t xml:space="preserve">Krkonošské muzeum v Jilemnici, </w:t>
      </w:r>
      <w:r w:rsidR="00992FF7">
        <w:rPr>
          <w:rFonts w:cs="Calibri"/>
          <w:b/>
          <w:color w:val="000000"/>
          <w:sz w:val="24"/>
          <w:szCs w:val="24"/>
        </w:rPr>
        <w:t xml:space="preserve">Správa </w:t>
      </w:r>
      <w:r w:rsidR="00823743">
        <w:rPr>
          <w:rFonts w:cs="Calibri"/>
          <w:b/>
          <w:color w:val="000000"/>
          <w:sz w:val="24"/>
          <w:szCs w:val="24"/>
        </w:rPr>
        <w:t>Krkonošské</w:t>
      </w:r>
      <w:r w:rsidR="00992FF7">
        <w:rPr>
          <w:rFonts w:cs="Calibri"/>
          <w:b/>
          <w:color w:val="000000"/>
          <w:sz w:val="24"/>
          <w:szCs w:val="24"/>
        </w:rPr>
        <w:t>ho národního parku</w:t>
      </w:r>
    </w:p>
    <w:p w14:paraId="33B7AB40" w14:textId="77777777" w:rsidR="00992FF7" w:rsidRDefault="00992FF7" w:rsidP="00992FF7">
      <w:pPr>
        <w:spacing w:after="0"/>
      </w:pPr>
      <w:r>
        <w:rPr>
          <w:rFonts w:cs="Calibri"/>
          <w:color w:val="000000"/>
          <w:sz w:val="24"/>
          <w:szCs w:val="24"/>
        </w:rPr>
        <w:t>IČ: 00088455</w:t>
      </w:r>
    </w:p>
    <w:p w14:paraId="28317DE2" w14:textId="77777777" w:rsidR="00992FF7" w:rsidRDefault="00992FF7">
      <w:pPr>
        <w:spacing w:after="0"/>
        <w:rPr>
          <w:rFonts w:cs="Calibri"/>
          <w:bCs/>
          <w:color w:val="000000"/>
          <w:sz w:val="24"/>
          <w:szCs w:val="24"/>
        </w:rPr>
      </w:pPr>
      <w:r>
        <w:rPr>
          <w:rFonts w:cs="Calibri"/>
          <w:bCs/>
          <w:color w:val="000000"/>
          <w:sz w:val="24"/>
          <w:szCs w:val="24"/>
        </w:rPr>
        <w:t xml:space="preserve">se sídlem: </w:t>
      </w:r>
      <w:r w:rsidR="0099281F">
        <w:rPr>
          <w:rFonts w:cs="Calibri"/>
          <w:bCs/>
          <w:color w:val="000000"/>
          <w:sz w:val="24"/>
          <w:szCs w:val="24"/>
        </w:rPr>
        <w:t>Kostelní 75, 514 01 Jilemnice</w:t>
      </w:r>
    </w:p>
    <w:p w14:paraId="0DB71375" w14:textId="77777777" w:rsidR="00992FF7" w:rsidRPr="00992FF7" w:rsidRDefault="00992FF7">
      <w:pPr>
        <w:spacing w:after="0"/>
        <w:rPr>
          <w:bCs/>
        </w:rPr>
      </w:pPr>
      <w:r>
        <w:rPr>
          <w:rFonts w:cs="Calibri"/>
          <w:bCs/>
          <w:color w:val="000000"/>
          <w:sz w:val="24"/>
          <w:szCs w:val="24"/>
        </w:rPr>
        <w:t>zastoupen</w:t>
      </w:r>
      <w:r w:rsidR="0099281F">
        <w:rPr>
          <w:rFonts w:cs="Calibri"/>
          <w:bCs/>
          <w:color w:val="000000"/>
          <w:sz w:val="24"/>
          <w:szCs w:val="24"/>
        </w:rPr>
        <w:t>é: vedoucím Bc. Davidem Ulrychem</w:t>
      </w:r>
    </w:p>
    <w:p w14:paraId="43722680" w14:textId="77777777" w:rsidR="00823743" w:rsidRDefault="00823743">
      <w:pPr>
        <w:spacing w:after="0"/>
      </w:pPr>
      <w:r>
        <w:rPr>
          <w:rFonts w:cs="Calibri"/>
          <w:color w:val="000000"/>
          <w:sz w:val="24"/>
          <w:szCs w:val="24"/>
        </w:rPr>
        <w:t>(dále jen „</w:t>
      </w:r>
      <w:r w:rsidR="00BE67F9">
        <w:rPr>
          <w:rFonts w:cs="Calibri"/>
          <w:color w:val="000000"/>
          <w:sz w:val="24"/>
          <w:szCs w:val="24"/>
        </w:rPr>
        <w:t>vy</w:t>
      </w:r>
      <w:r>
        <w:rPr>
          <w:rFonts w:cs="Calibri"/>
          <w:color w:val="000000"/>
          <w:sz w:val="24"/>
          <w:szCs w:val="24"/>
        </w:rPr>
        <w:t>půjčitel“)</w:t>
      </w:r>
    </w:p>
    <w:p w14:paraId="0D3BE2C8" w14:textId="77777777" w:rsidR="00823743" w:rsidRDefault="00823743">
      <w:pPr>
        <w:spacing w:after="0" w:line="100" w:lineRule="atLeast"/>
        <w:rPr>
          <w:rFonts w:cs="Calibri"/>
          <w:color w:val="000000"/>
          <w:sz w:val="24"/>
          <w:szCs w:val="24"/>
        </w:rPr>
      </w:pPr>
    </w:p>
    <w:p w14:paraId="4D77C3CF" w14:textId="77777777" w:rsidR="00823743" w:rsidRDefault="00823743">
      <w:pPr>
        <w:jc w:val="both"/>
      </w:pPr>
      <w:r>
        <w:rPr>
          <w:rFonts w:cs="Calibri"/>
          <w:color w:val="000000"/>
          <w:sz w:val="24"/>
          <w:szCs w:val="24"/>
        </w:rPr>
        <w:t xml:space="preserve">uzavírají níže uvedeného data v souladu s § 2193 a násl. zákona č. 89/2012 Sb., občanský zákoník, v platném znění (dále jen „občanský zákoník“), tuto </w:t>
      </w:r>
      <w:r>
        <w:rPr>
          <w:rFonts w:cs="Calibri"/>
          <w:b/>
          <w:bCs/>
          <w:color w:val="000000"/>
          <w:sz w:val="24"/>
          <w:szCs w:val="24"/>
        </w:rPr>
        <w:t>Smlouvu o výpůjčce (dále jen „smlouva“):</w:t>
      </w:r>
    </w:p>
    <w:p w14:paraId="069FBC09" w14:textId="77777777" w:rsidR="00823743" w:rsidRDefault="00823743">
      <w:pPr>
        <w:jc w:val="center"/>
        <w:rPr>
          <w:rFonts w:cs="Calibri"/>
          <w:b/>
          <w:bCs/>
          <w:color w:val="000000"/>
          <w:sz w:val="24"/>
          <w:szCs w:val="24"/>
        </w:rPr>
      </w:pPr>
    </w:p>
    <w:p w14:paraId="38FD64F6" w14:textId="77777777" w:rsidR="00823743" w:rsidRDefault="00823743">
      <w:pPr>
        <w:jc w:val="center"/>
      </w:pPr>
      <w:r>
        <w:rPr>
          <w:rFonts w:cs="Calibri"/>
          <w:b/>
          <w:bCs/>
          <w:color w:val="000000"/>
          <w:sz w:val="24"/>
          <w:szCs w:val="24"/>
        </w:rPr>
        <w:t>Čl. I</w:t>
      </w:r>
    </w:p>
    <w:p w14:paraId="6C16F3FA" w14:textId="77777777" w:rsidR="00823743" w:rsidRDefault="00823743">
      <w:pPr>
        <w:jc w:val="center"/>
      </w:pPr>
      <w:r>
        <w:rPr>
          <w:rFonts w:cs="Calibri"/>
          <w:b/>
          <w:bCs/>
          <w:color w:val="000000"/>
          <w:sz w:val="24"/>
          <w:szCs w:val="24"/>
        </w:rPr>
        <w:t>Předmět a účel výpůjčky</w:t>
      </w:r>
    </w:p>
    <w:p w14:paraId="479AAA04" w14:textId="77777777" w:rsidR="00823743" w:rsidRDefault="00823743">
      <w:pPr>
        <w:pStyle w:val="ListParagraph"/>
        <w:numPr>
          <w:ilvl w:val="0"/>
          <w:numId w:val="4"/>
        </w:numPr>
        <w:jc w:val="both"/>
      </w:pPr>
      <w:r>
        <w:rPr>
          <w:rFonts w:cs="Calibri"/>
          <w:color w:val="000000"/>
          <w:sz w:val="24"/>
          <w:szCs w:val="24"/>
        </w:rPr>
        <w:t>Půjčitel tímto prohlašuje, že má ve svém výlučném vlastnictví sbírkové předměty (dále jen „předmět výpůjčky“).</w:t>
      </w:r>
    </w:p>
    <w:p w14:paraId="13794062" w14:textId="77777777" w:rsidR="00823743" w:rsidRDefault="00823743">
      <w:pPr>
        <w:numPr>
          <w:ilvl w:val="0"/>
          <w:numId w:val="4"/>
        </w:numPr>
        <w:jc w:val="both"/>
      </w:pPr>
      <w:r>
        <w:rPr>
          <w:rStyle w:val="Standardnpsmoodstavce1"/>
          <w:rFonts w:ascii="Arial" w:hAnsi="Arial" w:cs="Arial"/>
          <w:color w:val="000000"/>
        </w:rPr>
        <w:t>Půjčitel i vypůjčitel shodně konstatují, že předměty jsou ve stavu způsobilém k řádnému užívání k účelu výstavy</w:t>
      </w:r>
      <w:r>
        <w:rPr>
          <w:rStyle w:val="Standardnpsmoodstavce1"/>
          <w:rFonts w:ascii="Arial" w:hAnsi="Arial" w:cs="Arial"/>
          <w:b/>
          <w:bCs/>
          <w:color w:val="000000"/>
        </w:rPr>
        <w:t xml:space="preserve"> „Karel Vik – Výběr z tvorby“, konané od 31. 5. 2024 do 29. 9. 2024</w:t>
      </w:r>
      <w:r w:rsidR="00BE67F9">
        <w:rPr>
          <w:rStyle w:val="Standardnpsmoodstavce1"/>
          <w:rFonts w:ascii="Arial" w:hAnsi="Arial" w:cs="Arial"/>
          <w:b/>
          <w:bCs/>
          <w:color w:val="000000"/>
        </w:rPr>
        <w:t xml:space="preserve"> v Krkonošském muzeu v Jilemnici</w:t>
      </w:r>
      <w:r>
        <w:rPr>
          <w:rStyle w:val="Standardnpsmoodstavce1"/>
          <w:rFonts w:ascii="Arial" w:hAnsi="Arial" w:cs="Arial"/>
          <w:bCs/>
          <w:color w:val="000000"/>
        </w:rPr>
        <w:t xml:space="preserve"> </w:t>
      </w:r>
      <w:r w:rsidR="00BE67F9">
        <w:rPr>
          <w:rStyle w:val="Standardnpsmoodstavce1"/>
          <w:rFonts w:ascii="Arial" w:hAnsi="Arial" w:cs="Arial"/>
          <w:bCs/>
          <w:color w:val="000000"/>
        </w:rPr>
        <w:t>(</w:t>
      </w:r>
      <w:r>
        <w:rPr>
          <w:rStyle w:val="Standardnpsmoodstavce1"/>
          <w:rFonts w:ascii="Arial" w:hAnsi="Arial" w:cs="Arial"/>
          <w:bCs/>
          <w:color w:val="000000"/>
        </w:rPr>
        <w:t>d</w:t>
      </w:r>
      <w:r>
        <w:rPr>
          <w:rStyle w:val="Standardnpsmoodstavce1"/>
          <w:rFonts w:ascii="Arial" w:hAnsi="Arial" w:cs="Arial"/>
          <w:color w:val="000000"/>
        </w:rPr>
        <w:t>ále jen „výstava“).</w:t>
      </w:r>
    </w:p>
    <w:p w14:paraId="2DA7BCC7" w14:textId="77777777" w:rsidR="00823743" w:rsidRDefault="00823743">
      <w:pPr>
        <w:pStyle w:val="ListParagraph"/>
        <w:numPr>
          <w:ilvl w:val="0"/>
          <w:numId w:val="4"/>
        </w:numPr>
        <w:jc w:val="both"/>
      </w:pPr>
      <w:r>
        <w:rPr>
          <w:rFonts w:cs="Calibri"/>
          <w:color w:val="000000"/>
          <w:sz w:val="24"/>
          <w:szCs w:val="24"/>
        </w:rPr>
        <w:t>Půjčitel přenechává na základě této smlouvy bezplatně vypůjčiteli předmět výpůjčky výhradně pro účely uvedené výstavy.</w:t>
      </w:r>
    </w:p>
    <w:p w14:paraId="1701FB95" w14:textId="77777777" w:rsidR="00823743" w:rsidRDefault="00823743">
      <w:pPr>
        <w:jc w:val="both"/>
        <w:rPr>
          <w:rFonts w:cs="Calibri"/>
          <w:b/>
          <w:bCs/>
          <w:color w:val="000000"/>
          <w:sz w:val="24"/>
          <w:szCs w:val="24"/>
        </w:rPr>
      </w:pPr>
    </w:p>
    <w:p w14:paraId="421D3C13" w14:textId="77777777" w:rsidR="00823743" w:rsidRDefault="00823743">
      <w:pPr>
        <w:jc w:val="center"/>
      </w:pPr>
      <w:r>
        <w:rPr>
          <w:rFonts w:cs="Calibri"/>
          <w:b/>
          <w:bCs/>
          <w:color w:val="000000"/>
          <w:sz w:val="24"/>
          <w:szCs w:val="24"/>
        </w:rPr>
        <w:t>Čl. II</w:t>
      </w:r>
    </w:p>
    <w:p w14:paraId="76968089" w14:textId="77777777" w:rsidR="00823743" w:rsidRDefault="00823743">
      <w:pPr>
        <w:jc w:val="center"/>
      </w:pPr>
      <w:r>
        <w:rPr>
          <w:rFonts w:cs="Calibri"/>
          <w:b/>
          <w:bCs/>
          <w:color w:val="000000"/>
          <w:sz w:val="24"/>
          <w:szCs w:val="24"/>
        </w:rPr>
        <w:t>Doba výpůjčky</w:t>
      </w:r>
    </w:p>
    <w:p w14:paraId="06CE0D98" w14:textId="77777777" w:rsidR="00823743" w:rsidRDefault="00823743">
      <w:pPr>
        <w:pStyle w:val="ListParagraph"/>
        <w:numPr>
          <w:ilvl w:val="0"/>
          <w:numId w:val="3"/>
        </w:numPr>
        <w:jc w:val="both"/>
      </w:pPr>
      <w:r>
        <w:rPr>
          <w:rFonts w:cs="Calibri"/>
          <w:color w:val="000000"/>
          <w:sz w:val="24"/>
          <w:szCs w:val="24"/>
        </w:rPr>
        <w:t>Výpůjčka se sjednává na dobu určitou, a sice od</w:t>
      </w:r>
      <w:r>
        <w:rPr>
          <w:rFonts w:cs="Calibri"/>
          <w:b/>
          <w:bCs/>
          <w:color w:val="000000"/>
          <w:sz w:val="24"/>
          <w:szCs w:val="24"/>
        </w:rPr>
        <w:t xml:space="preserve"> 1. 5</w:t>
      </w:r>
      <w:r>
        <w:rPr>
          <w:rFonts w:cs="Calibri"/>
          <w:b/>
          <w:color w:val="000000"/>
          <w:sz w:val="24"/>
          <w:szCs w:val="24"/>
        </w:rPr>
        <w:t>. 2024 do 31. 10. 2024</w:t>
      </w:r>
      <w:r>
        <w:rPr>
          <w:rFonts w:cs="Calibri"/>
          <w:color w:val="000000"/>
          <w:sz w:val="24"/>
          <w:szCs w:val="24"/>
        </w:rPr>
        <w:t>.</w:t>
      </w:r>
    </w:p>
    <w:p w14:paraId="29EC4395" w14:textId="77777777" w:rsidR="00823743" w:rsidRDefault="00823743">
      <w:pPr>
        <w:pStyle w:val="ListParagraph"/>
        <w:numPr>
          <w:ilvl w:val="0"/>
          <w:numId w:val="3"/>
        </w:numPr>
        <w:jc w:val="both"/>
      </w:pPr>
      <w:r>
        <w:rPr>
          <w:rFonts w:cs="Calibri"/>
          <w:color w:val="000000"/>
          <w:sz w:val="24"/>
          <w:szCs w:val="24"/>
        </w:rPr>
        <w:t>Půjčitel je oprávněn žádat předčasné vrácení předmětu výpůjčky, pokud jej vypůjčitel nepoužívá řádně nebo používá v rozporu s účelem výpůjčky.</w:t>
      </w:r>
    </w:p>
    <w:p w14:paraId="67E969EB" w14:textId="77777777" w:rsidR="00823743" w:rsidRDefault="00823743">
      <w:pPr>
        <w:pStyle w:val="ListParagraph"/>
        <w:ind w:left="360"/>
        <w:jc w:val="both"/>
        <w:rPr>
          <w:rFonts w:cs="Calibri"/>
          <w:color w:val="000000"/>
          <w:sz w:val="24"/>
          <w:szCs w:val="24"/>
        </w:rPr>
      </w:pPr>
    </w:p>
    <w:p w14:paraId="00913E75" w14:textId="77777777" w:rsidR="006031F1" w:rsidRDefault="006031F1">
      <w:pPr>
        <w:pStyle w:val="ListParagraph"/>
        <w:ind w:left="360"/>
        <w:jc w:val="both"/>
        <w:rPr>
          <w:rFonts w:cs="Calibri"/>
          <w:color w:val="000000"/>
          <w:sz w:val="24"/>
          <w:szCs w:val="24"/>
        </w:rPr>
      </w:pPr>
    </w:p>
    <w:p w14:paraId="5F15B910" w14:textId="77777777" w:rsidR="006031F1" w:rsidRDefault="006031F1">
      <w:pPr>
        <w:pStyle w:val="ListParagraph"/>
        <w:ind w:left="360"/>
        <w:jc w:val="both"/>
        <w:rPr>
          <w:rFonts w:cs="Calibri"/>
          <w:color w:val="000000"/>
          <w:sz w:val="24"/>
          <w:szCs w:val="24"/>
        </w:rPr>
      </w:pPr>
    </w:p>
    <w:p w14:paraId="5F697B3F" w14:textId="77777777" w:rsidR="00823743" w:rsidRDefault="00823743">
      <w:pPr>
        <w:pStyle w:val="ListParagraph"/>
        <w:ind w:left="360"/>
        <w:jc w:val="center"/>
      </w:pPr>
      <w:r>
        <w:rPr>
          <w:rFonts w:cs="Calibri"/>
          <w:b/>
          <w:bCs/>
          <w:color w:val="000000"/>
          <w:sz w:val="24"/>
          <w:szCs w:val="24"/>
        </w:rPr>
        <w:lastRenderedPageBreak/>
        <w:t>Čl. III</w:t>
      </w:r>
    </w:p>
    <w:p w14:paraId="6CA9FC6C" w14:textId="77777777" w:rsidR="00823743" w:rsidRDefault="00823743">
      <w:pPr>
        <w:pStyle w:val="ListParagraph"/>
        <w:ind w:left="360"/>
        <w:jc w:val="center"/>
      </w:pPr>
      <w:r>
        <w:rPr>
          <w:rFonts w:cs="Calibri"/>
          <w:b/>
          <w:bCs/>
          <w:color w:val="000000"/>
          <w:sz w:val="24"/>
          <w:szCs w:val="24"/>
        </w:rPr>
        <w:t>Předání předmětu výpůjčky</w:t>
      </w:r>
    </w:p>
    <w:p w14:paraId="5045A196" w14:textId="77777777" w:rsidR="00823743" w:rsidRDefault="00823743">
      <w:pPr>
        <w:pStyle w:val="ListParagraph"/>
        <w:numPr>
          <w:ilvl w:val="0"/>
          <w:numId w:val="2"/>
        </w:numPr>
        <w:jc w:val="both"/>
      </w:pPr>
      <w:r>
        <w:rPr>
          <w:rFonts w:cs="Calibri"/>
          <w:color w:val="000000"/>
          <w:sz w:val="24"/>
          <w:szCs w:val="24"/>
        </w:rPr>
        <w:t>Předmět výpůjčky bude předán půjčitelem vypůjčiteli na základě vzájemně podepsaného protokolu o předání v příloze č. 1 této smlouvy.</w:t>
      </w:r>
    </w:p>
    <w:p w14:paraId="1A54D621" w14:textId="77777777" w:rsidR="00823743" w:rsidRDefault="00823743">
      <w:pPr>
        <w:pStyle w:val="ListParagraph"/>
        <w:numPr>
          <w:ilvl w:val="0"/>
          <w:numId w:val="2"/>
        </w:numPr>
        <w:jc w:val="both"/>
      </w:pPr>
      <w:r>
        <w:rPr>
          <w:rFonts w:cs="Calibri"/>
          <w:color w:val="000000"/>
          <w:sz w:val="24"/>
          <w:szCs w:val="24"/>
        </w:rPr>
        <w:t>Smluvní strany potvrzují, že si předmět výpůjčky před jeho předáním prohlédly a že je přenechán vypůjčiteli ve stavu způsobilém k užívání, tj. na předmětu výpůjčky nejsou žádné nedostatky. O předání předmětu výpůjčky sepíší smluvní strany písemný protokol, v němž zaznamenají stav předávané věci, včetně případných nedostatků či vad a následně jej obě smluvní strany podepíší.</w:t>
      </w:r>
    </w:p>
    <w:p w14:paraId="43A77346" w14:textId="77777777" w:rsidR="00823743" w:rsidRDefault="00BE67F9">
      <w:pPr>
        <w:pStyle w:val="ListParagraph"/>
        <w:numPr>
          <w:ilvl w:val="0"/>
          <w:numId w:val="2"/>
        </w:numPr>
        <w:spacing w:line="240" w:lineRule="auto"/>
        <w:jc w:val="both"/>
      </w:pPr>
      <w:r>
        <w:rPr>
          <w:rFonts w:cs="Calibri"/>
          <w:color w:val="000000"/>
          <w:sz w:val="24"/>
          <w:szCs w:val="24"/>
        </w:rPr>
        <w:t>Vyp</w:t>
      </w:r>
      <w:r w:rsidR="00823743">
        <w:rPr>
          <w:rFonts w:cs="Calibri"/>
          <w:color w:val="000000"/>
          <w:sz w:val="24"/>
          <w:szCs w:val="24"/>
        </w:rPr>
        <w:t xml:space="preserve">ůjčitel se zavazuje, že instalaci provede řádně a s ohledem na zabezpečení samotného předmětu výpůjčky i navazujícího okolí, přičemž bude odpovídat účelu výpůjčky a zejména exteriérovým podmínkám, ve kterých bude předmět výpůjčky během výstavy umístěn. </w:t>
      </w:r>
      <w:r>
        <w:rPr>
          <w:rFonts w:cs="Calibri"/>
          <w:color w:val="000000"/>
          <w:sz w:val="24"/>
          <w:szCs w:val="24"/>
        </w:rPr>
        <w:t>Vyp</w:t>
      </w:r>
      <w:r w:rsidR="00823743">
        <w:rPr>
          <w:rFonts w:cs="Calibri"/>
          <w:color w:val="000000"/>
          <w:sz w:val="24"/>
          <w:szCs w:val="24"/>
        </w:rPr>
        <w:t xml:space="preserve">ůjčitel se zavazuje při provádění instalace použít materiály a způsob práce, které jsou technicky bezchybné, a je dále povinen zajistit, aby byla prováděna vyškolenými, spolehlivými a plně profesionálními kvalifikovanými pracovníky, kteří zajistí provedení díla bezchybně. </w:t>
      </w:r>
    </w:p>
    <w:p w14:paraId="09FE229E" w14:textId="77777777" w:rsidR="00823743" w:rsidRDefault="00823743">
      <w:pPr>
        <w:pStyle w:val="ListParagraph"/>
        <w:spacing w:line="240" w:lineRule="auto"/>
        <w:ind w:left="1080"/>
        <w:jc w:val="both"/>
        <w:rPr>
          <w:rFonts w:cs="Calibri"/>
          <w:color w:val="000000"/>
          <w:sz w:val="24"/>
          <w:szCs w:val="24"/>
        </w:rPr>
      </w:pPr>
    </w:p>
    <w:p w14:paraId="7582C73C" w14:textId="77777777" w:rsidR="00823743" w:rsidRDefault="00823743">
      <w:pPr>
        <w:jc w:val="center"/>
      </w:pPr>
      <w:r>
        <w:rPr>
          <w:rFonts w:cs="Calibri"/>
          <w:b/>
          <w:bCs/>
          <w:color w:val="000000"/>
          <w:sz w:val="24"/>
          <w:szCs w:val="24"/>
        </w:rPr>
        <w:t>Čl. IV</w:t>
      </w:r>
    </w:p>
    <w:p w14:paraId="35223FB6" w14:textId="77777777" w:rsidR="00823743" w:rsidRDefault="00823743">
      <w:pPr>
        <w:jc w:val="center"/>
      </w:pPr>
      <w:r>
        <w:rPr>
          <w:rFonts w:cs="Calibri"/>
          <w:b/>
          <w:bCs/>
          <w:color w:val="000000"/>
          <w:sz w:val="24"/>
          <w:szCs w:val="24"/>
        </w:rPr>
        <w:t>Práva a povinnosti smluvních stran</w:t>
      </w:r>
    </w:p>
    <w:p w14:paraId="7DF2E6C8" w14:textId="77777777" w:rsidR="00823743" w:rsidRDefault="00823743">
      <w:pPr>
        <w:pStyle w:val="ListParagraph"/>
        <w:numPr>
          <w:ilvl w:val="0"/>
          <w:numId w:val="6"/>
        </w:numPr>
        <w:jc w:val="both"/>
      </w:pPr>
      <w:r>
        <w:rPr>
          <w:rFonts w:cs="Calibri"/>
          <w:color w:val="000000"/>
          <w:sz w:val="24"/>
          <w:szCs w:val="24"/>
        </w:rPr>
        <w:t>Vypůjčitel se zavazuje, že bude předmět výpůjčky užívat řádně a s náležitou péčí po celou dobu výpůjčky včetně jeho přepravy, a v souladu s účelem, pro který byla výpůjčka sjednána. Vypůjčitel je povinen chránit předmět výpůjčky po celou dobu výpůjčky včetně přepravy před zničením, ztrátou, poškozením a odcizením.  Povinnost k náhradě škody se řídí příslušnými ustanoveními občanského zákoníku.</w:t>
      </w:r>
    </w:p>
    <w:p w14:paraId="6A8C734D" w14:textId="77777777" w:rsidR="00823743" w:rsidRDefault="00823743">
      <w:pPr>
        <w:pStyle w:val="ListParagraph"/>
        <w:numPr>
          <w:ilvl w:val="0"/>
          <w:numId w:val="6"/>
        </w:numPr>
        <w:jc w:val="both"/>
      </w:pPr>
      <w:r>
        <w:rPr>
          <w:rFonts w:cs="Calibri"/>
          <w:color w:val="000000"/>
          <w:sz w:val="24"/>
          <w:szCs w:val="24"/>
        </w:rPr>
        <w:t>Vypůjčitel je oprávněn užívat předmět výpůjčky výlučně sám a není oprávněn přenechávat předmět výpůjčky do užívání jiné osobě bez souhlasu půjčitele.</w:t>
      </w:r>
    </w:p>
    <w:p w14:paraId="29303980" w14:textId="77777777" w:rsidR="00823743" w:rsidRDefault="00823743">
      <w:pPr>
        <w:pStyle w:val="ListParagraph"/>
        <w:numPr>
          <w:ilvl w:val="0"/>
          <w:numId w:val="6"/>
        </w:numPr>
        <w:jc w:val="both"/>
      </w:pPr>
      <w:r>
        <w:rPr>
          <w:rFonts w:cs="Calibri"/>
          <w:color w:val="000000"/>
          <w:sz w:val="24"/>
          <w:szCs w:val="24"/>
        </w:rPr>
        <w:t>Vypůjčitel se zavazuje, že předmět výpůjčky bude po dobu výpůjčky řádně pojištěn, a to s ohledem na jeho hodnotu, a to minimálně v rozsahu pojistné hodnoty uvedené v čl. I. odst. 1 smlouvy proti zničení, poškození a krádeži (loupeži).</w:t>
      </w:r>
    </w:p>
    <w:p w14:paraId="3A1AA5E3" w14:textId="77777777" w:rsidR="00823743" w:rsidRDefault="00823743">
      <w:pPr>
        <w:pStyle w:val="ListParagraph"/>
        <w:numPr>
          <w:ilvl w:val="0"/>
          <w:numId w:val="6"/>
        </w:numPr>
        <w:jc w:val="both"/>
      </w:pPr>
      <w:r>
        <w:rPr>
          <w:rFonts w:cs="Calibri"/>
          <w:color w:val="000000"/>
          <w:sz w:val="24"/>
          <w:szCs w:val="24"/>
        </w:rPr>
        <w:t>Za škodu způsobenou užíváním předmětu výpůjčky třetími osobami po dobu trvání smlouvy odpovídá vypůjčitel. Stejně tak vypůjčitel nese odpovědnost za škodu způsobenou na předmětu výpůjčky jednáním třetích osob po dobu trvání smlouvy.</w:t>
      </w:r>
    </w:p>
    <w:p w14:paraId="2B5ACCC2" w14:textId="77777777" w:rsidR="00823743" w:rsidRDefault="00823743">
      <w:pPr>
        <w:pStyle w:val="ListParagraph"/>
        <w:numPr>
          <w:ilvl w:val="0"/>
          <w:numId w:val="6"/>
        </w:numPr>
        <w:jc w:val="both"/>
      </w:pPr>
      <w:r>
        <w:rPr>
          <w:rFonts w:cs="Calibri"/>
          <w:color w:val="000000"/>
          <w:sz w:val="24"/>
          <w:szCs w:val="24"/>
        </w:rPr>
        <w:t xml:space="preserve">Vypůjčitel je povinen chránit předmět výpůjčky po celou dobu výpůjčky včetně doby jeho přeprav před poškozením, ztrátou, zničením či odcizením. V případě poškození je vypůjčitel povinen uvést na svůj náklad předmět výpůjčky do stavu, v jakém se nacházel při předání.  Po celou dobu trvání výpůjčky odpovídá vypůjčitel za všechna poškození, znehodnocení, ztrátu, ať škody vznikly jakýmkoliv způsobem. </w:t>
      </w:r>
    </w:p>
    <w:p w14:paraId="556DF967" w14:textId="77777777" w:rsidR="00823743" w:rsidRDefault="00823743">
      <w:pPr>
        <w:pStyle w:val="ListParagraph"/>
        <w:numPr>
          <w:ilvl w:val="0"/>
          <w:numId w:val="6"/>
        </w:numPr>
        <w:jc w:val="both"/>
      </w:pPr>
      <w:r>
        <w:rPr>
          <w:rFonts w:cs="Calibri"/>
          <w:color w:val="000000"/>
          <w:sz w:val="24"/>
          <w:szCs w:val="24"/>
        </w:rPr>
        <w:t>Stane-li se předmět výpůjčky nezpůsobilý k užívání dle této smlouvy, je vypůjčitel povinen o této skutečnosti půjčitele bez zbytečného odkladu informovat.</w:t>
      </w:r>
    </w:p>
    <w:p w14:paraId="7705D6D5" w14:textId="77777777" w:rsidR="00823743" w:rsidRDefault="00823743">
      <w:pPr>
        <w:pStyle w:val="ListParagraph"/>
        <w:numPr>
          <w:ilvl w:val="0"/>
          <w:numId w:val="6"/>
        </w:numPr>
        <w:jc w:val="both"/>
      </w:pPr>
      <w:r>
        <w:rPr>
          <w:rFonts w:cs="Calibri"/>
          <w:color w:val="000000"/>
          <w:sz w:val="24"/>
          <w:szCs w:val="24"/>
        </w:rPr>
        <w:lastRenderedPageBreak/>
        <w:t>V případě, že vypůjčitel poruší své závazky vyplývající z této smlouvy, je povinen na žádost půjčitele předmět výpůjčky okamžitě vrátit.</w:t>
      </w:r>
    </w:p>
    <w:p w14:paraId="360F913B" w14:textId="77777777" w:rsidR="00823743" w:rsidRDefault="00823743">
      <w:pPr>
        <w:pStyle w:val="ListParagraph"/>
        <w:numPr>
          <w:ilvl w:val="0"/>
          <w:numId w:val="6"/>
        </w:numPr>
        <w:jc w:val="both"/>
      </w:pPr>
      <w:r>
        <w:rPr>
          <w:rFonts w:cs="Calibri"/>
          <w:color w:val="000000"/>
          <w:sz w:val="24"/>
          <w:szCs w:val="24"/>
        </w:rPr>
        <w:t>Po uplynutí sjednané doby dle této smlouvy, či v případě předčasného vrácení předmětu výpůjčky, je vypůjčitel povinen vrátit předmět výpůjčky půjčiteli bez zbytečného odkladu. O vrácení předmětu výpůjčky sepíší smluvní strany písemný protokol podepsaný oběma smluvními stranami, v němž zaznamenají stav předávané věci, včetně případných nedostatků či vad.</w:t>
      </w:r>
    </w:p>
    <w:p w14:paraId="0E4354FC" w14:textId="77777777" w:rsidR="00823743" w:rsidRDefault="00823743">
      <w:pPr>
        <w:pStyle w:val="ListParagraph"/>
        <w:ind w:left="1080"/>
        <w:jc w:val="both"/>
        <w:rPr>
          <w:rFonts w:cs="Calibri"/>
          <w:color w:val="000000"/>
          <w:sz w:val="24"/>
          <w:szCs w:val="24"/>
        </w:rPr>
      </w:pPr>
    </w:p>
    <w:p w14:paraId="48200523" w14:textId="77777777" w:rsidR="00823743" w:rsidRDefault="00823743">
      <w:pPr>
        <w:jc w:val="center"/>
      </w:pPr>
      <w:r>
        <w:rPr>
          <w:rFonts w:cs="Calibri"/>
          <w:b/>
          <w:bCs/>
          <w:color w:val="000000"/>
          <w:sz w:val="24"/>
          <w:szCs w:val="24"/>
        </w:rPr>
        <w:t>Čl. V</w:t>
      </w:r>
    </w:p>
    <w:p w14:paraId="0F71F565" w14:textId="77777777" w:rsidR="00823743" w:rsidRDefault="00823743">
      <w:pPr>
        <w:jc w:val="center"/>
      </w:pPr>
      <w:r>
        <w:rPr>
          <w:rFonts w:cs="Calibri"/>
          <w:b/>
          <w:bCs/>
          <w:color w:val="000000"/>
          <w:sz w:val="24"/>
          <w:szCs w:val="24"/>
        </w:rPr>
        <w:t>Platnost a účinnost smlouvy</w:t>
      </w:r>
    </w:p>
    <w:p w14:paraId="21DFE9D4" w14:textId="77777777" w:rsidR="00823743" w:rsidRDefault="00823743">
      <w:pPr>
        <w:pStyle w:val="ListParagraph"/>
        <w:numPr>
          <w:ilvl w:val="0"/>
          <w:numId w:val="7"/>
        </w:numPr>
        <w:jc w:val="both"/>
      </w:pPr>
      <w:r>
        <w:rPr>
          <w:rFonts w:cs="Calibri"/>
          <w:color w:val="000000"/>
          <w:sz w:val="24"/>
          <w:szCs w:val="24"/>
        </w:rPr>
        <w:t>Tato smlouva nabývá platnosti a účinnosti dnem jejího podpisu oběma smluvními stranami</w:t>
      </w:r>
      <w:r w:rsidR="00FD7FF4">
        <w:rPr>
          <w:rFonts w:cs="Calibri"/>
          <w:color w:val="000000"/>
          <w:sz w:val="24"/>
          <w:szCs w:val="24"/>
        </w:rPr>
        <w:t xml:space="preserve"> s výjimkou případu, kdy se povinně zveřejňuje v registru smluv v souladu se zákonem č. 340/2015 </w:t>
      </w:r>
      <w:proofErr w:type="gramStart"/>
      <w:r w:rsidR="00FD7FF4">
        <w:rPr>
          <w:rFonts w:cs="Calibri"/>
          <w:color w:val="000000"/>
          <w:sz w:val="24"/>
          <w:szCs w:val="24"/>
        </w:rPr>
        <w:t>Sb..</w:t>
      </w:r>
      <w:proofErr w:type="gramEnd"/>
      <w:r w:rsidR="00FD7FF4">
        <w:rPr>
          <w:rFonts w:cs="Calibri"/>
          <w:color w:val="000000"/>
          <w:sz w:val="24"/>
          <w:szCs w:val="24"/>
        </w:rPr>
        <w:t xml:space="preserve"> V takovém případě smlouva nabývá účinnosti dnem zveřejnění v registru smluv</w:t>
      </w:r>
      <w:r>
        <w:rPr>
          <w:rFonts w:cs="Calibri"/>
          <w:color w:val="000000"/>
          <w:sz w:val="24"/>
          <w:szCs w:val="24"/>
        </w:rPr>
        <w:t xml:space="preserve">. </w:t>
      </w:r>
    </w:p>
    <w:p w14:paraId="261A1E18" w14:textId="77777777" w:rsidR="00823743" w:rsidRDefault="00BE67F9">
      <w:pPr>
        <w:pStyle w:val="ListParagraph"/>
        <w:numPr>
          <w:ilvl w:val="0"/>
          <w:numId w:val="7"/>
        </w:numPr>
        <w:jc w:val="both"/>
      </w:pPr>
      <w:r>
        <w:rPr>
          <w:rFonts w:cs="Calibri"/>
          <w:color w:val="000000"/>
          <w:sz w:val="24"/>
          <w:szCs w:val="24"/>
        </w:rPr>
        <w:t>P</w:t>
      </w:r>
      <w:r w:rsidR="00823743">
        <w:rPr>
          <w:rFonts w:cs="Calibri"/>
          <w:color w:val="000000"/>
          <w:sz w:val="24"/>
          <w:szCs w:val="24"/>
        </w:rPr>
        <w:t xml:space="preserve">ůjčitel prohlašuje, že </w:t>
      </w:r>
      <w:r w:rsidR="006031F1">
        <w:rPr>
          <w:rFonts w:cs="Calibri"/>
          <w:color w:val="000000"/>
          <w:sz w:val="24"/>
          <w:szCs w:val="24"/>
        </w:rPr>
        <w:t xml:space="preserve">uzavření této smlouvy bylo schváleno usnesením Rady města Hořice č. </w:t>
      </w:r>
      <w:r w:rsidR="0099281F">
        <w:rPr>
          <w:rFonts w:cs="Calibri"/>
          <w:color w:val="000000"/>
          <w:sz w:val="24"/>
          <w:szCs w:val="24"/>
        </w:rPr>
        <w:t>RM11/9/2024</w:t>
      </w:r>
      <w:r w:rsidR="006031F1">
        <w:rPr>
          <w:rFonts w:cs="Calibri"/>
          <w:color w:val="000000"/>
          <w:sz w:val="24"/>
          <w:szCs w:val="24"/>
        </w:rPr>
        <w:t xml:space="preserve"> dne </w:t>
      </w:r>
      <w:r w:rsidR="0099281F">
        <w:rPr>
          <w:rFonts w:cs="Calibri"/>
          <w:color w:val="000000"/>
          <w:sz w:val="24"/>
          <w:szCs w:val="24"/>
        </w:rPr>
        <w:t>29. 4. 2024.</w:t>
      </w:r>
    </w:p>
    <w:p w14:paraId="53013B69" w14:textId="77777777" w:rsidR="00823743" w:rsidRDefault="00823743">
      <w:pPr>
        <w:tabs>
          <w:tab w:val="left" w:pos="0"/>
        </w:tabs>
        <w:jc w:val="center"/>
        <w:rPr>
          <w:rFonts w:cs="Calibri"/>
          <w:color w:val="000000"/>
          <w:sz w:val="24"/>
          <w:szCs w:val="24"/>
        </w:rPr>
      </w:pPr>
    </w:p>
    <w:p w14:paraId="715109ED" w14:textId="77777777" w:rsidR="00823743" w:rsidRDefault="00823743">
      <w:pPr>
        <w:tabs>
          <w:tab w:val="left" w:pos="0"/>
        </w:tabs>
        <w:jc w:val="center"/>
        <w:rPr>
          <w:rFonts w:cs="Calibri"/>
          <w:color w:val="000000"/>
          <w:sz w:val="24"/>
          <w:szCs w:val="24"/>
        </w:rPr>
      </w:pPr>
    </w:p>
    <w:p w14:paraId="4CF6C0AF" w14:textId="77777777" w:rsidR="00823743" w:rsidRDefault="00823743">
      <w:pPr>
        <w:jc w:val="center"/>
      </w:pPr>
      <w:r>
        <w:rPr>
          <w:rFonts w:cs="Calibri"/>
          <w:b/>
          <w:bCs/>
          <w:color w:val="000000"/>
          <w:sz w:val="24"/>
          <w:szCs w:val="24"/>
        </w:rPr>
        <w:t>Čl. VI</w:t>
      </w:r>
    </w:p>
    <w:p w14:paraId="314ACF85" w14:textId="77777777" w:rsidR="00823743" w:rsidRDefault="00823743">
      <w:pPr>
        <w:tabs>
          <w:tab w:val="left" w:pos="0"/>
        </w:tabs>
        <w:jc w:val="center"/>
      </w:pPr>
      <w:r>
        <w:rPr>
          <w:rFonts w:cs="Calibri"/>
          <w:b/>
          <w:bCs/>
          <w:color w:val="000000"/>
          <w:sz w:val="24"/>
          <w:szCs w:val="24"/>
        </w:rPr>
        <w:t>Závěrečná ustanovení</w:t>
      </w:r>
    </w:p>
    <w:p w14:paraId="1E07E1E8" w14:textId="77777777" w:rsidR="00823743" w:rsidRDefault="00823743">
      <w:pPr>
        <w:pStyle w:val="ListParagraph"/>
        <w:numPr>
          <w:ilvl w:val="0"/>
          <w:numId w:val="5"/>
        </w:numPr>
        <w:jc w:val="both"/>
      </w:pPr>
      <w:r>
        <w:rPr>
          <w:rFonts w:cs="Calibri"/>
          <w:color w:val="000000"/>
          <w:sz w:val="24"/>
          <w:szCs w:val="24"/>
        </w:rPr>
        <w:t>Změny této smlouvy lze činit pouze po dohodě obou smluvních stran písemnou formou.</w:t>
      </w:r>
    </w:p>
    <w:p w14:paraId="2F724ACA" w14:textId="77777777" w:rsidR="00823743" w:rsidRDefault="00823743">
      <w:pPr>
        <w:pStyle w:val="ListParagraph"/>
        <w:numPr>
          <w:ilvl w:val="0"/>
          <w:numId w:val="5"/>
        </w:numPr>
        <w:jc w:val="both"/>
      </w:pPr>
      <w:r>
        <w:rPr>
          <w:rFonts w:cs="Calibri"/>
          <w:color w:val="000000"/>
          <w:sz w:val="24"/>
          <w:szCs w:val="24"/>
        </w:rPr>
        <w:t xml:space="preserve">Tato smlouva, jakož i práva a povinnosti vzniklé na základě této smlouvy nebo v souvislosti s ní, se řídí občanským zákoníkem a ostatními právními předpisy České republiky. </w:t>
      </w:r>
    </w:p>
    <w:p w14:paraId="4EABE220" w14:textId="77777777" w:rsidR="00823743" w:rsidRDefault="00823743">
      <w:pPr>
        <w:pStyle w:val="ListParagraph"/>
        <w:numPr>
          <w:ilvl w:val="0"/>
          <w:numId w:val="5"/>
        </w:numPr>
        <w:jc w:val="both"/>
      </w:pPr>
      <w:r>
        <w:rPr>
          <w:rFonts w:cs="Calibri"/>
          <w:color w:val="000000"/>
          <w:sz w:val="24"/>
          <w:szCs w:val="24"/>
        </w:rPr>
        <w:t>Smluvní strany po přečtení této smlouvy prohlašují, že souhlasí s jejím obsahem, a na důkaz této svobodné vůle připojují níže své podpisy.</w:t>
      </w:r>
    </w:p>
    <w:p w14:paraId="330ECF0D" w14:textId="77777777" w:rsidR="00823743" w:rsidRDefault="00823743">
      <w:pPr>
        <w:pStyle w:val="ListParagraph"/>
        <w:numPr>
          <w:ilvl w:val="0"/>
          <w:numId w:val="5"/>
        </w:numPr>
        <w:jc w:val="both"/>
      </w:pPr>
      <w:r>
        <w:rPr>
          <w:rFonts w:cs="Calibri"/>
          <w:color w:val="000000"/>
          <w:sz w:val="24"/>
          <w:szCs w:val="24"/>
        </w:rPr>
        <w:t>Tato smlouva je vyhotovena a podepsána ve dvou stejnopisech, z nichž jeden obdrží půjčitel a druhý vypůjčitel.</w:t>
      </w:r>
    </w:p>
    <w:p w14:paraId="5A29EF00" w14:textId="77777777" w:rsidR="00823743" w:rsidRDefault="00823743">
      <w:pPr>
        <w:jc w:val="both"/>
        <w:rPr>
          <w:rFonts w:cs="Calibri"/>
          <w:color w:val="000000"/>
          <w:sz w:val="16"/>
          <w:szCs w:val="16"/>
        </w:rPr>
      </w:pPr>
    </w:p>
    <w:p w14:paraId="15C2C591" w14:textId="5DDE8952" w:rsidR="00823743" w:rsidRDefault="00823743">
      <w:pPr>
        <w:jc w:val="both"/>
      </w:pPr>
      <w:r>
        <w:rPr>
          <w:rFonts w:cs="Calibri"/>
          <w:color w:val="000000"/>
          <w:sz w:val="24"/>
          <w:szCs w:val="24"/>
        </w:rPr>
        <w:t xml:space="preserve">V Hořicích dne </w:t>
      </w:r>
      <w:r w:rsidR="0099281F">
        <w:rPr>
          <w:rFonts w:cs="Calibri"/>
          <w:color w:val="000000"/>
          <w:sz w:val="24"/>
          <w:szCs w:val="24"/>
        </w:rPr>
        <w:t>30. 4. 2024</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V</w:t>
      </w:r>
      <w:r w:rsidR="00A91548">
        <w:rPr>
          <w:rFonts w:cs="Calibri"/>
          <w:color w:val="000000"/>
          <w:sz w:val="24"/>
          <w:szCs w:val="24"/>
        </w:rPr>
        <w:t xml:space="preserve"> Jilemnici </w:t>
      </w:r>
      <w:r>
        <w:rPr>
          <w:rFonts w:cs="Calibri"/>
          <w:color w:val="000000"/>
          <w:sz w:val="24"/>
          <w:szCs w:val="24"/>
        </w:rPr>
        <w:t xml:space="preserve">dne </w:t>
      </w:r>
      <w:r w:rsidR="00A91548">
        <w:rPr>
          <w:rFonts w:cs="Calibri"/>
          <w:color w:val="000000"/>
          <w:sz w:val="24"/>
          <w:szCs w:val="24"/>
        </w:rPr>
        <w:t>20. 5. 2024</w:t>
      </w:r>
    </w:p>
    <w:p w14:paraId="6C221B19" w14:textId="77777777" w:rsidR="00823743" w:rsidRDefault="00823743">
      <w:pPr>
        <w:jc w:val="both"/>
      </w:pPr>
      <w:r>
        <w:rPr>
          <w:rFonts w:cs="Calibri"/>
          <w:color w:val="000000"/>
          <w:sz w:val="24"/>
          <w:szCs w:val="24"/>
        </w:rPr>
        <w:tab/>
      </w:r>
      <w:r>
        <w:rPr>
          <w:rFonts w:cs="Calibri"/>
          <w:color w:val="000000"/>
          <w:sz w:val="24"/>
          <w:szCs w:val="24"/>
        </w:rPr>
        <w:tab/>
      </w:r>
    </w:p>
    <w:p w14:paraId="73767C99" w14:textId="77777777" w:rsidR="00823743" w:rsidRDefault="00823743">
      <w:pPr>
        <w:jc w:val="both"/>
      </w:pPr>
      <w:r>
        <w:rPr>
          <w:rFonts w:cs="Calibri"/>
          <w:color w:val="000000"/>
          <w:sz w:val="24"/>
          <w:szCs w:val="24"/>
        </w:rPr>
        <w:t>……………………………………</w:t>
      </w:r>
      <w:r>
        <w:rPr>
          <w:rFonts w:cs="Calibri"/>
          <w:color w:val="000000"/>
          <w:sz w:val="24"/>
          <w:szCs w:val="24"/>
        </w:rPr>
        <w:tab/>
      </w:r>
      <w:r>
        <w:rPr>
          <w:rFonts w:cs="Calibri"/>
          <w:color w:val="000000"/>
          <w:sz w:val="24"/>
          <w:szCs w:val="24"/>
        </w:rPr>
        <w:tab/>
        <w:t xml:space="preserve">              </w:t>
      </w:r>
      <w:r>
        <w:rPr>
          <w:rFonts w:cs="Calibri"/>
          <w:color w:val="000000"/>
          <w:sz w:val="24"/>
          <w:szCs w:val="24"/>
        </w:rPr>
        <w:tab/>
        <w:t xml:space="preserve"> </w:t>
      </w:r>
      <w:r>
        <w:rPr>
          <w:rFonts w:cs="Calibri"/>
          <w:color w:val="000000"/>
          <w:sz w:val="24"/>
          <w:szCs w:val="24"/>
        </w:rPr>
        <w:tab/>
        <w:t xml:space="preserve">   …………………………………….</w:t>
      </w:r>
    </w:p>
    <w:p w14:paraId="2396F6CA" w14:textId="77777777" w:rsidR="00823743" w:rsidRDefault="00823743">
      <w:pPr>
        <w:ind w:firstLine="708"/>
        <w:jc w:val="both"/>
      </w:pPr>
      <w:r>
        <w:rPr>
          <w:rFonts w:cs="Calibri"/>
          <w:color w:val="000000"/>
          <w:sz w:val="24"/>
          <w:szCs w:val="24"/>
        </w:rPr>
        <w:t xml:space="preserve">Půjčitel </w:t>
      </w:r>
      <w:r>
        <w:rPr>
          <w:rFonts w:cs="Calibri"/>
          <w:color w:val="000000"/>
          <w:sz w:val="24"/>
          <w:szCs w:val="24"/>
        </w:rPr>
        <w:tab/>
      </w:r>
      <w:r>
        <w:rPr>
          <w:rFonts w:cs="Calibri"/>
          <w:color w:val="000000"/>
          <w:sz w:val="24"/>
          <w:szCs w:val="24"/>
        </w:rPr>
        <w:tab/>
        <w:t xml:space="preserve">         </w:t>
      </w:r>
      <w:r>
        <w:rPr>
          <w:rFonts w:cs="Calibri"/>
          <w:color w:val="000000"/>
          <w:sz w:val="24"/>
          <w:szCs w:val="24"/>
        </w:rPr>
        <w:tab/>
        <w:t xml:space="preserve">     </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Vypůjčitel</w:t>
      </w:r>
    </w:p>
    <w:sectPr w:rsidR="00823743">
      <w:pgSz w:w="11906" w:h="16838"/>
      <w:pgMar w:top="1418" w:right="1418" w:bottom="1418" w:left="1418" w:header="708" w:footer="708" w:gutter="0"/>
      <w:cols w:space="708"/>
      <w:docGrid w:linePitch="299"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cs="Calibri"/>
        <w:color w:val="000000"/>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Calibri"/>
        <w:color w:val="00000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Arial" w:hAnsi="Arial" w:cs="Calibri"/>
        <w:color w:val="000000"/>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Calibri"/>
        <w:color w:val="000000"/>
        <w:sz w:val="24"/>
        <w:szCs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cs="Calibri"/>
        <w:color w:val="000000"/>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Calibri"/>
        <w:color w:val="000000"/>
        <w:sz w:val="24"/>
        <w:szCs w:val="24"/>
      </w:rPr>
    </w:lvl>
  </w:abstractNum>
  <w:num w:numId="1" w16cid:durableId="200477092">
    <w:abstractNumId w:val="0"/>
  </w:num>
  <w:num w:numId="2" w16cid:durableId="160774604">
    <w:abstractNumId w:val="1"/>
  </w:num>
  <w:num w:numId="3" w16cid:durableId="314341998">
    <w:abstractNumId w:val="2"/>
  </w:num>
  <w:num w:numId="4" w16cid:durableId="748694074">
    <w:abstractNumId w:val="3"/>
  </w:num>
  <w:num w:numId="5" w16cid:durableId="708721734">
    <w:abstractNumId w:val="4"/>
  </w:num>
  <w:num w:numId="6" w16cid:durableId="95759157">
    <w:abstractNumId w:val="5"/>
  </w:num>
  <w:num w:numId="7" w16cid:durableId="1536582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F7"/>
    <w:rsid w:val="006031F1"/>
    <w:rsid w:val="00740D77"/>
    <w:rsid w:val="0077794D"/>
    <w:rsid w:val="00823743"/>
    <w:rsid w:val="0099281F"/>
    <w:rsid w:val="00992FF7"/>
    <w:rsid w:val="00A91548"/>
    <w:rsid w:val="00BE67F9"/>
    <w:rsid w:val="00FD7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24A0675"/>
  <w15:chartTrackingRefBased/>
  <w15:docId w15:val="{7517CB98-738B-44B3-9E7C-970DE33E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60" w:line="242" w:lineRule="auto"/>
    </w:pPr>
    <w:rPr>
      <w:rFonts w:ascii="Calibri" w:eastAsia="Calibri" w:hAnsi="Calibri" w:cs="Tahoma"/>
      <w:kern w:val="2"/>
      <w:sz w:val="22"/>
      <w:szCs w:val="22"/>
      <w:lang w:eastAsia="zh-CN"/>
    </w:rPr>
  </w:style>
  <w:style w:type="paragraph" w:styleId="Nadpis1">
    <w:name w:val="heading 1"/>
    <w:basedOn w:val="Nadpis"/>
    <w:next w:val="Zkladntext"/>
    <w:qFormat/>
    <w:pPr>
      <w:numPr>
        <w:numId w:val="1"/>
      </w:numPr>
      <w:outlineLvl w:val="0"/>
    </w:pPr>
    <w:rPr>
      <w:b/>
      <w:bCs/>
    </w:rPr>
  </w:style>
  <w:style w:type="paragraph" w:styleId="Nadpis2">
    <w:name w:val="heading 2"/>
    <w:basedOn w:val="Nadpis"/>
    <w:next w:val="Zkladntext"/>
    <w:qFormat/>
    <w:pPr>
      <w:numPr>
        <w:ilvl w:val="1"/>
        <w:numId w:val="1"/>
      </w:numPr>
      <w:spacing w:before="200"/>
      <w:outlineLvl w:val="1"/>
    </w:pPr>
    <w:rPr>
      <w:b/>
      <w:bCs/>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color w:val="000000"/>
      <w:sz w:val="24"/>
      <w:szCs w:val="24"/>
    </w:rPr>
  </w:style>
  <w:style w:type="character" w:customStyle="1" w:styleId="WW8Num3z0">
    <w:name w:val="WW8Num3z0"/>
    <w:rPr>
      <w:rFonts w:cs="Calibri"/>
      <w:color w:val="000000"/>
      <w:sz w:val="24"/>
      <w:szCs w:val="24"/>
    </w:rPr>
  </w:style>
  <w:style w:type="character" w:customStyle="1" w:styleId="WW8Num4z0">
    <w:name w:val="WW8Num4z0"/>
    <w:rPr>
      <w:rFonts w:ascii="Arial" w:hAnsi="Arial" w:cs="Calibri"/>
      <w:color w:val="000000"/>
      <w:sz w:val="24"/>
      <w:szCs w:val="24"/>
    </w:rPr>
  </w:style>
  <w:style w:type="character" w:customStyle="1" w:styleId="WW8Num5z0">
    <w:name w:val="WW8Num5z0"/>
    <w:rPr>
      <w:rFonts w:cs="Calibri"/>
      <w:color w:val="000000"/>
      <w:sz w:val="24"/>
      <w:szCs w:val="24"/>
    </w:rPr>
  </w:style>
  <w:style w:type="character" w:customStyle="1" w:styleId="WW8Num6z0">
    <w:name w:val="WW8Num6z0"/>
    <w:rPr>
      <w:rFonts w:cs="Calibri"/>
      <w:color w:val="000000"/>
      <w:sz w:val="24"/>
      <w:szCs w:val="24"/>
    </w:rPr>
  </w:style>
  <w:style w:type="character" w:customStyle="1" w:styleId="WW8Num7z0">
    <w:name w:val="WW8Num7z0"/>
    <w:rPr>
      <w:rFonts w:cs="Calibri"/>
      <w:color w:val="000000"/>
      <w:sz w:val="24"/>
      <w:szCs w:val="24"/>
    </w:rPr>
  </w:style>
  <w:style w:type="character" w:customStyle="1" w:styleId="Standardnpsmoodstavce2">
    <w:name w:val="Standardní písmo odstavce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Calibri"/>
      <w:color w:val="000000"/>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Calibri"/>
      <w:color w:val="000000"/>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Calibri"/>
      <w:color w:val="000000"/>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Calibri"/>
      <w:color w:val="000000"/>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color w:val="000000"/>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color w:val="00000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Standardnpsmoodstavce1">
    <w:name w:val="Standardní písmo odstavce1"/>
  </w:style>
  <w:style w:type="character" w:customStyle="1" w:styleId="DefaultParagraphFont">
    <w:name w:val="Default Paragraph Font"/>
  </w:style>
  <w:style w:type="character" w:styleId="Siln">
    <w:name w:val="Strong"/>
    <w:qFormat/>
    <w:rPr>
      <w:b/>
      <w:bCs/>
    </w:rPr>
  </w:style>
  <w:style w:type="character" w:styleId="Zdraznn">
    <w:name w:val="Emphasis"/>
    <w:qFormat/>
    <w:rPr>
      <w:i/>
      <w:iCs/>
    </w:rPr>
  </w:style>
  <w:style w:type="character" w:customStyle="1" w:styleId="annotationreference">
    <w:name w:val="annotation reference"/>
    <w:rPr>
      <w:sz w:val="16"/>
      <w:szCs w:val="16"/>
    </w:rPr>
  </w:style>
  <w:style w:type="character" w:customStyle="1" w:styleId="TextkomenteChar">
    <w:name w:val="Text komentáře Char"/>
    <w:rPr>
      <w:szCs w:val="20"/>
    </w:rPr>
  </w:style>
  <w:style w:type="character" w:customStyle="1" w:styleId="PedmtkomenteChar">
    <w:name w:val="Předmět komentáře Char"/>
    <w:rPr>
      <w:b/>
      <w:bCs/>
      <w:szCs w:val="20"/>
    </w:rPr>
  </w:style>
  <w:style w:type="character" w:customStyle="1" w:styleId="TextbublinyChar">
    <w:name w:val="Text bubliny Char"/>
    <w:rPr>
      <w:rFonts w:ascii="Segoe UI" w:eastAsia="Segoe UI" w:hAnsi="Segoe UI" w:cs="Segoe UI"/>
      <w:sz w:val="18"/>
      <w:szCs w:val="18"/>
    </w:rPr>
  </w:style>
  <w:style w:type="character" w:customStyle="1" w:styleId="ListLabel1">
    <w:name w:val="ListLabel 1"/>
    <w:rPr>
      <w:rFonts w:eastAsia="Calibri" w:cs="Calibri"/>
    </w:rPr>
  </w:style>
  <w:style w:type="character" w:customStyle="1" w:styleId="TextbublinyChar1">
    <w:name w:val="Text bubliny Char1"/>
    <w:rPr>
      <w:rFonts w:ascii="Tahoma" w:eastAsia="Calibri" w:hAnsi="Tahoma" w:cs="Tahoma"/>
      <w:kern w:val="2"/>
      <w:sz w:val="16"/>
      <w:szCs w:val="16"/>
    </w:rPr>
  </w:style>
  <w:style w:type="character" w:customStyle="1" w:styleId="Odkaznakoment1">
    <w:name w:val="Odkaz na komentář1"/>
    <w:rPr>
      <w:sz w:val="16"/>
      <w:szCs w:val="16"/>
    </w:rPr>
  </w:style>
  <w:style w:type="character" w:customStyle="1" w:styleId="TextkomenteChar1">
    <w:name w:val="Text komentáře Char1"/>
    <w:rPr>
      <w:rFonts w:ascii="Calibri" w:eastAsia="Calibri" w:hAnsi="Calibri" w:cs="Tahoma"/>
      <w:kern w:val="2"/>
    </w:rPr>
  </w:style>
  <w:style w:type="character" w:customStyle="1" w:styleId="PedmtkomenteChar1">
    <w:name w:val="Předmět komentáře Char1"/>
    <w:rPr>
      <w:rFonts w:ascii="Calibri" w:eastAsia="Calibri" w:hAnsi="Calibri" w:cs="Tahoma"/>
      <w:b/>
      <w:bCs/>
      <w:kern w:val="2"/>
    </w:rPr>
  </w:style>
  <w:style w:type="character" w:customStyle="1" w:styleId="WWCharLFO4LVL1">
    <w:name w:val="WW_CharLFO4LVL1"/>
    <w:rPr>
      <w:rFonts w:ascii="Arial" w:hAnsi="Arial" w:cs="Arial"/>
      <w:sz w:val="22"/>
      <w:szCs w:val="22"/>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Titulek1">
    <w:name w:val="Titulek1"/>
    <w:basedOn w:val="Normln"/>
    <w:pPr>
      <w:suppressLineNumbers/>
      <w:spacing w:before="120" w:after="120"/>
    </w:pPr>
    <w:rPr>
      <w:rFonts w:cs="Lucida Sans"/>
      <w:i/>
      <w:iCs/>
      <w:sz w:val="24"/>
      <w:szCs w:val="24"/>
    </w:rPr>
  </w:style>
  <w:style w:type="paragraph" w:customStyle="1" w:styleId="caption">
    <w:name w:val="caption"/>
    <w:basedOn w:val="Normln"/>
    <w:pPr>
      <w:suppressLineNumbers/>
      <w:spacing w:before="120" w:after="120"/>
    </w:pPr>
    <w:rPr>
      <w:rFonts w:cs="Arial"/>
      <w:i/>
      <w:iCs/>
      <w:sz w:val="24"/>
      <w:szCs w:val="24"/>
    </w:rPr>
  </w:style>
  <w:style w:type="paragraph" w:customStyle="1" w:styleId="ListParagraph">
    <w:name w:val="List Paragraph"/>
    <w:basedOn w:val="Normln"/>
    <w:pPr>
      <w:ind w:left="720"/>
    </w:pPr>
  </w:style>
  <w:style w:type="paragraph" w:customStyle="1" w:styleId="NormalWeb">
    <w:name w:val="Normal (Web)"/>
    <w:basedOn w:val="Normln"/>
    <w:pPr>
      <w:spacing w:before="280" w:after="280" w:line="100" w:lineRule="atLeast"/>
    </w:pPr>
    <w:rPr>
      <w:rFonts w:ascii="Times New Roman" w:eastAsia="Times New Roman" w:hAnsi="Times New Roman" w:cs="Times New Roman"/>
      <w:sz w:val="24"/>
      <w:szCs w:val="24"/>
    </w:rPr>
  </w:style>
  <w:style w:type="paragraph" w:customStyle="1" w:styleId="annotationtext">
    <w:name w:val="annotation text"/>
    <w:basedOn w:val="Normln"/>
    <w:pPr>
      <w:spacing w:line="100" w:lineRule="atLeast"/>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Normln"/>
    <w:pPr>
      <w:spacing w:after="0" w:line="100" w:lineRule="atLeast"/>
    </w:pPr>
    <w:rPr>
      <w:rFonts w:ascii="Segoe UI" w:eastAsia="Segoe UI" w:hAnsi="Segoe UI" w:cs="Segoe UI"/>
      <w:sz w:val="18"/>
      <w:szCs w:val="18"/>
    </w:rPr>
  </w:style>
  <w:style w:type="paragraph" w:customStyle="1" w:styleId="Citace">
    <w:name w:val="Citace"/>
    <w:basedOn w:val="Normln"/>
    <w:pPr>
      <w:spacing w:after="283"/>
      <w:ind w:left="567" w:right="567"/>
    </w:pPr>
  </w:style>
  <w:style w:type="paragraph" w:styleId="Nzev">
    <w:name w:val="Title"/>
    <w:basedOn w:val="Nadpis"/>
    <w:next w:val="Podnadpis"/>
    <w:qFormat/>
    <w:pPr>
      <w:jc w:val="center"/>
    </w:pPr>
    <w:rPr>
      <w:b/>
      <w:bCs/>
      <w:sz w:val="56"/>
      <w:szCs w:val="56"/>
    </w:rPr>
  </w:style>
  <w:style w:type="paragraph" w:styleId="Podnadpis">
    <w:name w:val="Subtitle"/>
    <w:basedOn w:val="Nadpis"/>
    <w:next w:val="Zkladntext"/>
    <w:qFormat/>
    <w:pPr>
      <w:spacing w:before="60"/>
      <w:jc w:val="center"/>
    </w:pPr>
    <w:rPr>
      <w:i/>
      <w:iCs/>
      <w:sz w:val="36"/>
      <w:szCs w:val="36"/>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Textbubliny">
    <w:name w:val="Balloon Text"/>
    <w:basedOn w:val="Normln"/>
    <w:pPr>
      <w:spacing w:after="0" w:line="240" w:lineRule="auto"/>
    </w:pPr>
    <w:rPr>
      <w:rFonts w:ascii="Tahoma" w:hAnsi="Tahoma"/>
      <w:sz w:val="16"/>
      <w:szCs w:val="16"/>
    </w:rPr>
  </w:style>
  <w:style w:type="paragraph" w:styleId="Odstavecseseznamem">
    <w:name w:val="List Paragraph"/>
    <w:basedOn w:val="Normln"/>
    <w:qFormat/>
    <w:pPr>
      <w:ind w:left="708"/>
    </w:p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Revize">
    <w:name w:val="Revision"/>
    <w:pPr>
      <w:suppressAutoHyphens/>
    </w:pPr>
    <w:rPr>
      <w:rFonts w:ascii="Calibri" w:eastAsia="Calibri" w:hAnsi="Calibri" w:cs="Tahoma"/>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810</Words>
  <Characters>4783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SOLICH Robert</dc:creator>
  <cp:keywords/>
  <cp:lastModifiedBy>Adéla Solichová</cp:lastModifiedBy>
  <cp:revision>3</cp:revision>
  <cp:lastPrinted>2024-04-24T07:37:00Z</cp:lastPrinted>
  <dcterms:created xsi:type="dcterms:W3CDTF">2024-06-12T20:39:00Z</dcterms:created>
  <dcterms:modified xsi:type="dcterms:W3CDTF">2024-06-12T20:42:00Z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