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EA37E1" w14:textId="77777777" w:rsidR="003F4C6B" w:rsidRDefault="003F4C6B" w:rsidP="003F4C6B">
      <w:pPr>
        <w:pStyle w:val="Default"/>
        <w:jc w:val="center"/>
        <w:rPr>
          <w:rFonts w:asciiTheme="minorHAnsi" w:hAnsiTheme="minorHAnsi"/>
          <w:b/>
          <w:bCs/>
          <w:color w:val="auto"/>
          <w:sz w:val="32"/>
          <w:szCs w:val="32"/>
        </w:rPr>
      </w:pPr>
      <w:r w:rsidRPr="003C4C2D">
        <w:rPr>
          <w:rFonts w:asciiTheme="minorHAnsi" w:hAnsiTheme="minorHAnsi"/>
          <w:b/>
          <w:bCs/>
          <w:color w:val="auto"/>
          <w:sz w:val="32"/>
          <w:szCs w:val="32"/>
        </w:rPr>
        <w:t>SMĚNNÁ SMLOUVA</w:t>
      </w:r>
    </w:p>
    <w:p w14:paraId="466E7367" w14:textId="26C529A1" w:rsidR="003F4C6B" w:rsidRPr="005A07B7" w:rsidRDefault="003F4C6B" w:rsidP="003F4C6B">
      <w:pPr>
        <w:pStyle w:val="Default"/>
        <w:jc w:val="center"/>
        <w:rPr>
          <w:rFonts w:asciiTheme="minorHAnsi" w:hAnsiTheme="minorHAnsi"/>
          <w:b/>
          <w:bCs/>
          <w:color w:val="auto"/>
        </w:rPr>
      </w:pPr>
      <w:r w:rsidRPr="005A07B7">
        <w:rPr>
          <w:rFonts w:asciiTheme="minorHAnsi" w:hAnsiTheme="minorHAnsi"/>
          <w:b/>
          <w:bCs/>
          <w:color w:val="auto"/>
        </w:rPr>
        <w:t xml:space="preserve">č. </w:t>
      </w:r>
      <w:r w:rsidR="005A07B7" w:rsidRPr="005A07B7">
        <w:rPr>
          <w:rFonts w:asciiTheme="minorHAnsi" w:hAnsiTheme="minorHAnsi"/>
          <w:b/>
          <w:bCs/>
          <w:color w:val="auto"/>
        </w:rPr>
        <w:t>SML</w:t>
      </w:r>
      <w:r w:rsidRPr="005A07B7">
        <w:rPr>
          <w:rFonts w:asciiTheme="minorHAnsi" w:hAnsiTheme="minorHAnsi"/>
          <w:b/>
          <w:bCs/>
          <w:color w:val="auto"/>
        </w:rPr>
        <w:t>/</w:t>
      </w:r>
      <w:r w:rsidR="005A07B7" w:rsidRPr="005A07B7">
        <w:rPr>
          <w:rFonts w:asciiTheme="minorHAnsi" w:hAnsiTheme="minorHAnsi"/>
          <w:b/>
          <w:bCs/>
          <w:color w:val="auto"/>
        </w:rPr>
        <w:t>55</w:t>
      </w:r>
      <w:r w:rsidRPr="005A07B7">
        <w:rPr>
          <w:rFonts w:asciiTheme="minorHAnsi" w:hAnsiTheme="minorHAnsi"/>
          <w:b/>
          <w:bCs/>
          <w:color w:val="auto"/>
        </w:rPr>
        <w:t>/</w:t>
      </w:r>
      <w:r w:rsidR="005A07B7" w:rsidRPr="005A07B7">
        <w:rPr>
          <w:rFonts w:asciiTheme="minorHAnsi" w:hAnsiTheme="minorHAnsi"/>
          <w:b/>
          <w:bCs/>
          <w:color w:val="auto"/>
        </w:rPr>
        <w:t>1140</w:t>
      </w:r>
      <w:r w:rsidRPr="005A07B7">
        <w:rPr>
          <w:rFonts w:asciiTheme="minorHAnsi" w:hAnsiTheme="minorHAnsi"/>
          <w:b/>
          <w:bCs/>
          <w:color w:val="auto"/>
        </w:rPr>
        <w:t>/</w:t>
      </w:r>
      <w:r w:rsidR="005A07B7" w:rsidRPr="005A07B7">
        <w:rPr>
          <w:rFonts w:asciiTheme="minorHAnsi" w:hAnsiTheme="minorHAnsi"/>
          <w:b/>
          <w:bCs/>
          <w:color w:val="auto"/>
        </w:rPr>
        <w:t>0181/2024</w:t>
      </w:r>
    </w:p>
    <w:p w14:paraId="164E06E5" w14:textId="77777777" w:rsidR="003F4C6B" w:rsidRPr="003C4C2D" w:rsidRDefault="003F4C6B" w:rsidP="003F4C6B">
      <w:pPr>
        <w:rPr>
          <w:rFonts w:ascii="Calibri" w:eastAsia="Calibri" w:hAnsi="Calibri"/>
          <w:sz w:val="22"/>
          <w:szCs w:val="22"/>
          <w:lang w:eastAsia="en-US"/>
        </w:rPr>
      </w:pPr>
    </w:p>
    <w:p w14:paraId="4A6B35D0" w14:textId="77777777" w:rsidR="003F4C6B" w:rsidRPr="000520D5" w:rsidRDefault="003F4C6B" w:rsidP="003F4C6B">
      <w:pPr>
        <w:jc w:val="both"/>
        <w:rPr>
          <w:rFonts w:ascii="Calibri" w:eastAsia="Calibri" w:hAnsi="Calibri"/>
          <w:b/>
          <w:sz w:val="22"/>
          <w:szCs w:val="22"/>
          <w:lang w:eastAsia="en-US"/>
        </w:rPr>
      </w:pPr>
      <w:r w:rsidRPr="000520D5">
        <w:rPr>
          <w:rFonts w:ascii="Calibri" w:eastAsia="Calibri" w:hAnsi="Calibri"/>
          <w:b/>
          <w:sz w:val="22"/>
          <w:szCs w:val="22"/>
          <w:lang w:eastAsia="en-US"/>
        </w:rPr>
        <w:t xml:space="preserve">Městská část Praha </w:t>
      </w:r>
      <w:r>
        <w:rPr>
          <w:rFonts w:ascii="Calibri" w:eastAsia="Calibri" w:hAnsi="Calibri"/>
          <w:b/>
          <w:sz w:val="22"/>
          <w:szCs w:val="22"/>
          <w:lang w:eastAsia="en-US"/>
        </w:rPr>
        <w:t>- Vinoř</w:t>
      </w:r>
    </w:p>
    <w:p w14:paraId="0DFC565D" w14:textId="77777777" w:rsidR="003F4C6B" w:rsidRPr="000520D5" w:rsidRDefault="003F4C6B" w:rsidP="003F4C6B">
      <w:pPr>
        <w:jc w:val="both"/>
        <w:rPr>
          <w:rFonts w:ascii="Calibri" w:eastAsia="Calibri" w:hAnsi="Calibri"/>
          <w:sz w:val="22"/>
          <w:szCs w:val="22"/>
          <w:lang w:eastAsia="en-US"/>
        </w:rPr>
      </w:pPr>
      <w:r w:rsidRPr="000520D5">
        <w:rPr>
          <w:rFonts w:ascii="Calibri" w:eastAsia="Calibri" w:hAnsi="Calibri"/>
          <w:sz w:val="22"/>
          <w:szCs w:val="22"/>
          <w:lang w:eastAsia="en-US"/>
        </w:rPr>
        <w:t xml:space="preserve">se sídlem </w:t>
      </w:r>
      <w:r w:rsidRPr="00BC75AD">
        <w:rPr>
          <w:rFonts w:ascii="Calibri" w:eastAsia="Calibri" w:hAnsi="Calibri"/>
          <w:sz w:val="22"/>
          <w:szCs w:val="22"/>
          <w:lang w:eastAsia="en-US"/>
        </w:rPr>
        <w:t>ul. Bohdanečská 97, 190 17</w:t>
      </w:r>
    </w:p>
    <w:p w14:paraId="2489F38C" w14:textId="77777777" w:rsidR="003F4C6B" w:rsidRPr="000520D5" w:rsidRDefault="003F4C6B" w:rsidP="003F4C6B">
      <w:pPr>
        <w:jc w:val="both"/>
        <w:rPr>
          <w:rFonts w:ascii="Calibri" w:eastAsia="Calibri" w:hAnsi="Calibri"/>
          <w:sz w:val="22"/>
          <w:szCs w:val="22"/>
          <w:lang w:eastAsia="en-US"/>
        </w:rPr>
      </w:pPr>
      <w:r w:rsidRPr="000520D5">
        <w:rPr>
          <w:rFonts w:ascii="Calibri" w:eastAsia="Calibri" w:hAnsi="Calibri"/>
          <w:sz w:val="22"/>
          <w:szCs w:val="22"/>
          <w:lang w:eastAsia="en-US"/>
        </w:rPr>
        <w:t xml:space="preserve">IČ </w:t>
      </w:r>
      <w:r w:rsidRPr="00BC75AD">
        <w:rPr>
          <w:rFonts w:ascii="Calibri" w:eastAsia="Calibri" w:hAnsi="Calibri"/>
          <w:sz w:val="22"/>
          <w:szCs w:val="22"/>
          <w:lang w:eastAsia="en-US"/>
        </w:rPr>
        <w:t>00240982</w:t>
      </w:r>
    </w:p>
    <w:p w14:paraId="5B50F974" w14:textId="77777777" w:rsidR="003F4C6B" w:rsidRPr="000520D5" w:rsidRDefault="003F4C6B" w:rsidP="003F4C6B">
      <w:pPr>
        <w:jc w:val="both"/>
        <w:rPr>
          <w:rFonts w:ascii="Calibri" w:eastAsia="Calibri" w:hAnsi="Calibri"/>
          <w:sz w:val="22"/>
          <w:szCs w:val="22"/>
          <w:lang w:eastAsia="en-US"/>
        </w:rPr>
      </w:pPr>
      <w:r w:rsidRPr="000520D5">
        <w:rPr>
          <w:rFonts w:ascii="Calibri" w:eastAsia="Calibri" w:hAnsi="Calibri"/>
          <w:sz w:val="22"/>
          <w:szCs w:val="22"/>
          <w:lang w:eastAsia="en-US"/>
        </w:rPr>
        <w:t xml:space="preserve">zastoupená starostou </w:t>
      </w:r>
      <w:r>
        <w:rPr>
          <w:rFonts w:ascii="Calibri" w:eastAsia="Calibri" w:hAnsi="Calibri"/>
          <w:sz w:val="22"/>
          <w:szCs w:val="22"/>
          <w:lang w:eastAsia="en-US"/>
        </w:rPr>
        <w:t>Ing. Michalem Biskupem</w:t>
      </w:r>
      <w:r w:rsidDel="00E17335">
        <w:rPr>
          <w:rFonts w:ascii="Calibri" w:eastAsia="Calibri" w:hAnsi="Calibri"/>
          <w:sz w:val="22"/>
          <w:szCs w:val="22"/>
          <w:lang w:eastAsia="en-US"/>
        </w:rPr>
        <w:t xml:space="preserve"> </w:t>
      </w:r>
    </w:p>
    <w:p w14:paraId="4C7ECECD" w14:textId="77777777" w:rsidR="003F4C6B" w:rsidRPr="003C4C2D" w:rsidRDefault="003F4C6B" w:rsidP="003F4C6B">
      <w:pPr>
        <w:jc w:val="both"/>
        <w:rPr>
          <w:rFonts w:asciiTheme="minorHAnsi" w:hAnsiTheme="minorHAnsi"/>
          <w:bCs/>
          <w:sz w:val="22"/>
          <w:szCs w:val="22"/>
        </w:rPr>
      </w:pPr>
      <w:r w:rsidRPr="003C4C2D">
        <w:rPr>
          <w:rFonts w:asciiTheme="minorHAnsi" w:hAnsiTheme="minorHAnsi"/>
          <w:bCs/>
          <w:sz w:val="22"/>
          <w:szCs w:val="22"/>
        </w:rPr>
        <w:t>dále jen „</w:t>
      </w:r>
      <w:r>
        <w:rPr>
          <w:rFonts w:asciiTheme="minorHAnsi" w:hAnsiTheme="minorHAnsi"/>
          <w:b/>
          <w:bCs/>
          <w:sz w:val="22"/>
          <w:szCs w:val="22"/>
        </w:rPr>
        <w:t>MČ Praha - Vinoř</w:t>
      </w:r>
      <w:r w:rsidRPr="003C4C2D">
        <w:rPr>
          <w:rFonts w:asciiTheme="minorHAnsi" w:hAnsiTheme="minorHAnsi"/>
          <w:bCs/>
          <w:sz w:val="22"/>
          <w:szCs w:val="22"/>
        </w:rPr>
        <w:t>“</w:t>
      </w:r>
    </w:p>
    <w:p w14:paraId="37D06B62" w14:textId="77777777" w:rsidR="003F4C6B" w:rsidRPr="003C4C2D" w:rsidRDefault="003F4C6B" w:rsidP="003F4C6B">
      <w:pPr>
        <w:jc w:val="both"/>
        <w:rPr>
          <w:rFonts w:asciiTheme="minorHAnsi" w:hAnsiTheme="minorHAnsi"/>
          <w:bCs/>
          <w:sz w:val="22"/>
          <w:szCs w:val="22"/>
        </w:rPr>
      </w:pPr>
    </w:p>
    <w:p w14:paraId="51B4716E" w14:textId="77777777" w:rsidR="003F4C6B" w:rsidRPr="003C4C2D" w:rsidRDefault="003F4C6B" w:rsidP="003F4C6B">
      <w:pPr>
        <w:jc w:val="both"/>
        <w:rPr>
          <w:rFonts w:asciiTheme="minorHAnsi" w:hAnsiTheme="minorHAnsi"/>
          <w:b/>
          <w:bCs/>
          <w:sz w:val="22"/>
          <w:szCs w:val="22"/>
        </w:rPr>
      </w:pPr>
      <w:r w:rsidRPr="003C4C2D">
        <w:rPr>
          <w:rFonts w:asciiTheme="minorHAnsi" w:hAnsiTheme="minorHAnsi"/>
          <w:b/>
          <w:bCs/>
          <w:sz w:val="22"/>
          <w:szCs w:val="22"/>
        </w:rPr>
        <w:t>a</w:t>
      </w:r>
    </w:p>
    <w:p w14:paraId="12707935" w14:textId="77777777" w:rsidR="003F4C6B" w:rsidRPr="003C4C2D" w:rsidRDefault="003F4C6B" w:rsidP="003F4C6B">
      <w:pPr>
        <w:jc w:val="both"/>
        <w:rPr>
          <w:rFonts w:asciiTheme="minorHAnsi" w:hAnsiTheme="minorHAnsi"/>
          <w:bCs/>
          <w:sz w:val="22"/>
          <w:szCs w:val="22"/>
        </w:rPr>
      </w:pPr>
    </w:p>
    <w:p w14:paraId="7FE69D79" w14:textId="77777777" w:rsidR="003F4C6B" w:rsidRDefault="003F4C6B" w:rsidP="003F4C6B">
      <w:pPr>
        <w:jc w:val="both"/>
        <w:rPr>
          <w:rFonts w:ascii="Calibri" w:eastAsia="Calibri" w:hAnsi="Calibri"/>
          <w:b/>
          <w:bCs/>
          <w:sz w:val="22"/>
          <w:szCs w:val="22"/>
          <w:lang w:eastAsia="en-US"/>
        </w:rPr>
      </w:pPr>
      <w:r w:rsidRPr="000520D5">
        <w:rPr>
          <w:rFonts w:ascii="Calibri" w:eastAsia="Calibri" w:hAnsi="Calibri"/>
          <w:b/>
          <w:bCs/>
          <w:sz w:val="22"/>
          <w:szCs w:val="22"/>
          <w:lang w:eastAsia="en-US"/>
        </w:rPr>
        <w:t>FAGUS spol. s r.o.</w:t>
      </w:r>
    </w:p>
    <w:p w14:paraId="4D342623" w14:textId="77777777" w:rsidR="003F4C6B" w:rsidRPr="003C4C2D" w:rsidRDefault="003F4C6B" w:rsidP="003F4C6B">
      <w:pPr>
        <w:jc w:val="both"/>
        <w:rPr>
          <w:rFonts w:ascii="Calibri" w:eastAsia="Calibri" w:hAnsi="Calibri"/>
          <w:sz w:val="22"/>
          <w:szCs w:val="22"/>
          <w:lang w:eastAsia="en-US"/>
        </w:rPr>
      </w:pPr>
      <w:r w:rsidRPr="003C4C2D">
        <w:rPr>
          <w:rFonts w:ascii="Calibri" w:eastAsia="Calibri" w:hAnsi="Calibri"/>
          <w:sz w:val="22"/>
          <w:szCs w:val="22"/>
          <w:lang w:eastAsia="en-US"/>
        </w:rPr>
        <w:t>se sídlem</w:t>
      </w:r>
      <w:r>
        <w:rPr>
          <w:rFonts w:ascii="Calibri" w:eastAsia="Calibri" w:hAnsi="Calibri"/>
          <w:sz w:val="22"/>
          <w:szCs w:val="22"/>
          <w:lang w:eastAsia="en-US"/>
        </w:rPr>
        <w:t xml:space="preserve"> </w:t>
      </w:r>
      <w:r w:rsidRPr="000520D5">
        <w:rPr>
          <w:rFonts w:ascii="Calibri" w:eastAsia="Calibri" w:hAnsi="Calibri"/>
          <w:sz w:val="22"/>
          <w:szCs w:val="22"/>
          <w:lang w:eastAsia="en-US"/>
        </w:rPr>
        <w:t>Praha 9 - Vinoř, Lohenická 607, PSČ 19017</w:t>
      </w:r>
    </w:p>
    <w:p w14:paraId="64A7FE3B" w14:textId="77777777" w:rsidR="003F4C6B" w:rsidRDefault="003F4C6B" w:rsidP="003F4C6B">
      <w:pPr>
        <w:jc w:val="both"/>
        <w:rPr>
          <w:rFonts w:ascii="Calibri" w:eastAsia="Calibri" w:hAnsi="Calibri"/>
          <w:sz w:val="22"/>
          <w:szCs w:val="22"/>
          <w:lang w:eastAsia="en-US"/>
        </w:rPr>
      </w:pPr>
      <w:r w:rsidRPr="003C4C2D">
        <w:rPr>
          <w:rFonts w:ascii="Calibri" w:eastAsia="Calibri" w:hAnsi="Calibri"/>
          <w:sz w:val="22"/>
          <w:szCs w:val="22"/>
          <w:lang w:eastAsia="en-US"/>
        </w:rPr>
        <w:t>IČ</w:t>
      </w:r>
      <w:r>
        <w:rPr>
          <w:rFonts w:ascii="Calibri" w:eastAsia="Calibri" w:hAnsi="Calibri"/>
          <w:sz w:val="22"/>
          <w:szCs w:val="22"/>
          <w:lang w:eastAsia="en-US"/>
        </w:rPr>
        <w:t xml:space="preserve"> </w:t>
      </w:r>
      <w:r w:rsidRPr="000520D5">
        <w:rPr>
          <w:rFonts w:ascii="Calibri" w:eastAsia="Calibri" w:hAnsi="Calibri"/>
          <w:sz w:val="22"/>
          <w:szCs w:val="22"/>
          <w:lang w:eastAsia="en-US"/>
        </w:rPr>
        <w:t>48026841</w:t>
      </w:r>
    </w:p>
    <w:p w14:paraId="1BD0FE65" w14:textId="77777777" w:rsidR="003F4C6B" w:rsidRPr="003C4C2D" w:rsidRDefault="003F4C6B" w:rsidP="003F4C6B">
      <w:pPr>
        <w:jc w:val="both"/>
        <w:rPr>
          <w:rFonts w:ascii="Calibri" w:eastAsia="Calibri" w:hAnsi="Calibri"/>
          <w:sz w:val="22"/>
          <w:szCs w:val="22"/>
          <w:lang w:eastAsia="en-US"/>
        </w:rPr>
      </w:pPr>
      <w:r w:rsidRPr="003C4C2D">
        <w:rPr>
          <w:rFonts w:ascii="Calibri" w:eastAsia="Calibri" w:hAnsi="Calibri"/>
          <w:sz w:val="22"/>
          <w:szCs w:val="22"/>
          <w:lang w:eastAsia="en-US"/>
        </w:rPr>
        <w:t>zapsaný v</w:t>
      </w:r>
      <w:r>
        <w:rPr>
          <w:rFonts w:ascii="Calibri" w:eastAsia="Calibri" w:hAnsi="Calibri"/>
          <w:sz w:val="22"/>
          <w:szCs w:val="22"/>
          <w:lang w:eastAsia="en-US"/>
        </w:rPr>
        <w:t xml:space="preserve"> obchodním </w:t>
      </w:r>
      <w:r w:rsidRPr="003C4C2D">
        <w:rPr>
          <w:rFonts w:ascii="Calibri" w:eastAsia="Calibri" w:hAnsi="Calibri"/>
          <w:sz w:val="22"/>
          <w:szCs w:val="22"/>
          <w:lang w:eastAsia="en-US"/>
        </w:rPr>
        <w:t xml:space="preserve">rejstříku vedeném </w:t>
      </w:r>
      <w:r>
        <w:rPr>
          <w:rFonts w:ascii="Calibri" w:eastAsia="Calibri" w:hAnsi="Calibri"/>
          <w:sz w:val="22"/>
          <w:szCs w:val="22"/>
          <w:lang w:eastAsia="en-US"/>
        </w:rPr>
        <w:t xml:space="preserve">Městským soudem v Praze, oddíl C, vložka </w:t>
      </w:r>
      <w:r w:rsidRPr="000520D5">
        <w:rPr>
          <w:rFonts w:ascii="Calibri" w:eastAsia="Calibri" w:hAnsi="Calibri"/>
          <w:sz w:val="22"/>
          <w:szCs w:val="22"/>
          <w:lang w:eastAsia="en-US"/>
        </w:rPr>
        <w:t>14294 </w:t>
      </w:r>
    </w:p>
    <w:p w14:paraId="3BBC1DD1" w14:textId="77777777" w:rsidR="003F4C6B" w:rsidRPr="003C4C2D" w:rsidRDefault="003F4C6B" w:rsidP="003F4C6B">
      <w:pPr>
        <w:jc w:val="both"/>
        <w:rPr>
          <w:rFonts w:ascii="Calibri" w:eastAsia="Calibri" w:hAnsi="Calibri"/>
          <w:sz w:val="22"/>
          <w:szCs w:val="22"/>
          <w:lang w:eastAsia="en-US"/>
        </w:rPr>
      </w:pPr>
      <w:r w:rsidRPr="003C4C2D">
        <w:rPr>
          <w:rFonts w:ascii="Calibri" w:eastAsia="Calibri" w:hAnsi="Calibri"/>
          <w:sz w:val="22"/>
          <w:szCs w:val="22"/>
          <w:lang w:eastAsia="en-US"/>
        </w:rPr>
        <w:t xml:space="preserve">zastoupený </w:t>
      </w:r>
      <w:r>
        <w:rPr>
          <w:rFonts w:ascii="Calibri" w:eastAsia="Calibri" w:hAnsi="Calibri"/>
          <w:sz w:val="22"/>
          <w:szCs w:val="22"/>
          <w:lang w:eastAsia="en-US"/>
        </w:rPr>
        <w:t xml:space="preserve">Ing. Jaroslavem </w:t>
      </w:r>
      <w:proofErr w:type="spellStart"/>
      <w:r>
        <w:rPr>
          <w:rFonts w:ascii="Calibri" w:eastAsia="Calibri" w:hAnsi="Calibri"/>
          <w:sz w:val="22"/>
          <w:szCs w:val="22"/>
          <w:lang w:eastAsia="en-US"/>
        </w:rPr>
        <w:t>Řimnáčem</w:t>
      </w:r>
      <w:proofErr w:type="spellEnd"/>
      <w:r>
        <w:rPr>
          <w:rFonts w:ascii="Calibri" w:eastAsia="Calibri" w:hAnsi="Calibri"/>
          <w:sz w:val="22"/>
          <w:szCs w:val="22"/>
          <w:lang w:eastAsia="en-US"/>
        </w:rPr>
        <w:t>, jednatelem</w:t>
      </w:r>
    </w:p>
    <w:p w14:paraId="3AD0AC73" w14:textId="77777777" w:rsidR="003F4C6B" w:rsidRPr="003C4C2D" w:rsidRDefault="003F4C6B" w:rsidP="003F4C6B">
      <w:pPr>
        <w:jc w:val="both"/>
        <w:rPr>
          <w:rFonts w:asciiTheme="minorHAnsi" w:hAnsiTheme="minorHAnsi"/>
          <w:bCs/>
          <w:sz w:val="22"/>
          <w:szCs w:val="22"/>
        </w:rPr>
      </w:pPr>
      <w:r w:rsidRPr="003C4C2D">
        <w:rPr>
          <w:rFonts w:asciiTheme="minorHAnsi" w:hAnsiTheme="minorHAnsi"/>
          <w:bCs/>
          <w:sz w:val="22"/>
          <w:szCs w:val="22"/>
        </w:rPr>
        <w:t>dále jen “</w:t>
      </w:r>
      <w:r>
        <w:rPr>
          <w:rFonts w:asciiTheme="minorHAnsi" w:hAnsiTheme="minorHAnsi"/>
          <w:b/>
          <w:bCs/>
          <w:sz w:val="22"/>
          <w:szCs w:val="22"/>
        </w:rPr>
        <w:t>FAGUS</w:t>
      </w:r>
      <w:r w:rsidRPr="003C4C2D">
        <w:rPr>
          <w:rFonts w:asciiTheme="minorHAnsi" w:hAnsiTheme="minorHAnsi"/>
          <w:bCs/>
          <w:sz w:val="22"/>
          <w:szCs w:val="22"/>
        </w:rPr>
        <w:t>“</w:t>
      </w:r>
    </w:p>
    <w:p w14:paraId="7274833A" w14:textId="77777777" w:rsidR="003F4C6B" w:rsidRPr="003C4C2D" w:rsidRDefault="003F4C6B" w:rsidP="003F4C6B">
      <w:pPr>
        <w:jc w:val="both"/>
        <w:rPr>
          <w:rFonts w:asciiTheme="minorHAnsi" w:hAnsiTheme="minorHAnsi"/>
          <w:sz w:val="22"/>
          <w:szCs w:val="22"/>
        </w:rPr>
      </w:pPr>
    </w:p>
    <w:p w14:paraId="7ADB44E6" w14:textId="77777777" w:rsidR="003F4C6B" w:rsidRPr="003C4C2D" w:rsidRDefault="003F4C6B" w:rsidP="003F4C6B">
      <w:pPr>
        <w:jc w:val="both"/>
        <w:rPr>
          <w:rFonts w:ascii="Calibri" w:hAnsi="Calibri"/>
          <w:sz w:val="22"/>
          <w:szCs w:val="22"/>
        </w:rPr>
      </w:pPr>
    </w:p>
    <w:p w14:paraId="48EF1D12" w14:textId="77777777" w:rsidR="003F4C6B" w:rsidRPr="003C4C2D" w:rsidRDefault="003F4C6B" w:rsidP="003F4C6B">
      <w:pPr>
        <w:pStyle w:val="Default"/>
        <w:jc w:val="center"/>
        <w:rPr>
          <w:rFonts w:asciiTheme="minorHAnsi" w:hAnsiTheme="minorHAnsi"/>
          <w:color w:val="auto"/>
          <w:sz w:val="22"/>
          <w:szCs w:val="22"/>
        </w:rPr>
      </w:pPr>
      <w:r w:rsidRPr="003C4C2D">
        <w:rPr>
          <w:rFonts w:asciiTheme="minorHAnsi" w:hAnsiTheme="minorHAnsi"/>
          <w:color w:val="auto"/>
          <w:sz w:val="22"/>
          <w:szCs w:val="22"/>
        </w:rPr>
        <w:t>se dohodli takto:</w:t>
      </w:r>
    </w:p>
    <w:p w14:paraId="183B1C93" w14:textId="77777777" w:rsidR="003F4C6B" w:rsidRPr="003C4C2D" w:rsidRDefault="003F4C6B" w:rsidP="003F4C6B">
      <w:pPr>
        <w:pStyle w:val="lnekslovn"/>
        <w:rPr>
          <w:rFonts w:asciiTheme="minorHAnsi" w:hAnsiTheme="minorHAnsi"/>
        </w:rPr>
      </w:pPr>
      <w:r w:rsidRPr="003C4C2D">
        <w:rPr>
          <w:rFonts w:asciiTheme="minorHAnsi" w:hAnsiTheme="minorHAnsi"/>
        </w:rPr>
        <w:t>Úvodní ustanovení</w:t>
      </w:r>
    </w:p>
    <w:p w14:paraId="2EC3EF7F" w14:textId="77777777" w:rsidR="003F4C6B" w:rsidRPr="00E51AF0" w:rsidRDefault="003F4C6B" w:rsidP="003F4C6B">
      <w:pPr>
        <w:pStyle w:val="slovn"/>
        <w:tabs>
          <w:tab w:val="clear" w:pos="360"/>
        </w:tabs>
        <w:ind w:left="567" w:hanging="567"/>
        <w:rPr>
          <w:rFonts w:asciiTheme="minorHAnsi" w:hAnsiTheme="minorHAnsi"/>
        </w:rPr>
      </w:pPr>
      <w:r>
        <w:t xml:space="preserve">MČ Praha </w:t>
      </w:r>
      <w:r w:rsidRPr="00BC75AD">
        <w:t>- Vinoř</w:t>
      </w:r>
      <w:r>
        <w:t xml:space="preserve"> je svěřena správa nemovitých věcí vlastněných Hlavním městem Prahou, se sídlem Mariánské nám. 2/2, Praha 1, IČ 00064581, a to:</w:t>
      </w:r>
    </w:p>
    <w:p w14:paraId="2DC7A88A" w14:textId="77777777" w:rsidR="003F4C6B" w:rsidRPr="00E51AF0" w:rsidRDefault="003F4C6B" w:rsidP="003F4C6B">
      <w:pPr>
        <w:pStyle w:val="slovn"/>
        <w:numPr>
          <w:ilvl w:val="2"/>
          <w:numId w:val="1"/>
        </w:numPr>
        <w:rPr>
          <w:rFonts w:asciiTheme="minorHAnsi" w:hAnsiTheme="minorHAnsi"/>
        </w:rPr>
      </w:pPr>
      <w:r>
        <w:t xml:space="preserve">pozemku </w:t>
      </w:r>
      <w:proofErr w:type="spellStart"/>
      <w:r>
        <w:t>parc</w:t>
      </w:r>
      <w:proofErr w:type="spellEnd"/>
      <w:r>
        <w:t xml:space="preserve">. č. 1282, ze kterého byl oddělen pozemek </w:t>
      </w:r>
      <w:proofErr w:type="spellStart"/>
      <w:r>
        <w:t>parc</w:t>
      </w:r>
      <w:proofErr w:type="spellEnd"/>
      <w:r>
        <w:t xml:space="preserve">. č. 1282/4 o výměře 27 </w:t>
      </w:r>
      <w:r w:rsidRPr="00E51AF0">
        <w:t>m²</w:t>
      </w:r>
      <w:r>
        <w:t xml:space="preserve">, a to geometrickým plánem č. 1672-184/2019 vyhotoveným dne 2. 5. 2019 a potvrzeným dne 7. 5. 2019 Katastrálním úřadem pro hlavní město Praha, katastrální pracoviště Praha, </w:t>
      </w:r>
    </w:p>
    <w:p w14:paraId="5F9981F5" w14:textId="77777777" w:rsidR="003F4C6B" w:rsidRPr="00E51AF0" w:rsidRDefault="003F4C6B" w:rsidP="003F4C6B">
      <w:pPr>
        <w:pStyle w:val="slovn"/>
        <w:numPr>
          <w:ilvl w:val="2"/>
          <w:numId w:val="1"/>
        </w:numPr>
        <w:rPr>
          <w:rFonts w:asciiTheme="minorHAnsi" w:hAnsiTheme="minorHAnsi"/>
        </w:rPr>
      </w:pPr>
      <w:r>
        <w:t xml:space="preserve">pozemku </w:t>
      </w:r>
      <w:proofErr w:type="spellStart"/>
      <w:r>
        <w:t>parc</w:t>
      </w:r>
      <w:proofErr w:type="spellEnd"/>
      <w:r>
        <w:t xml:space="preserve">. č. 1333, ze kterého byl oddělen pozemek </w:t>
      </w:r>
      <w:proofErr w:type="spellStart"/>
      <w:r>
        <w:t>parc</w:t>
      </w:r>
      <w:proofErr w:type="spellEnd"/>
      <w:r>
        <w:t xml:space="preserve">. č. 1333/6 o výměře 30 </w:t>
      </w:r>
      <w:r w:rsidRPr="00E51AF0">
        <w:t>m²</w:t>
      </w:r>
      <w:r>
        <w:t>, a to geometrickým plánem č. 1672-184/2019 vyhotoveným dne 2. 5. 2019 a potvrzeným dne 7. 5. 2019 Katastrálním úřadem pro hlavní město Praha, katastrální pracoviště Praha,</w:t>
      </w:r>
    </w:p>
    <w:p w14:paraId="1F1B8D51" w14:textId="77777777" w:rsidR="003F4C6B" w:rsidRDefault="003F4C6B" w:rsidP="003F4C6B">
      <w:pPr>
        <w:pStyle w:val="slovn"/>
        <w:numPr>
          <w:ilvl w:val="0"/>
          <w:numId w:val="0"/>
        </w:numPr>
        <w:ind w:left="568"/>
        <w:rPr>
          <w:rFonts w:cs="Calibri"/>
        </w:rPr>
      </w:pPr>
      <w:r>
        <w:t xml:space="preserve">to vše v obci Praha, části obce a </w:t>
      </w:r>
      <w:proofErr w:type="spellStart"/>
      <w:r>
        <w:t>k.ú</w:t>
      </w:r>
      <w:proofErr w:type="spellEnd"/>
      <w:r>
        <w:t xml:space="preserve">. Vinoř. Pozemky </w:t>
      </w:r>
      <w:proofErr w:type="spellStart"/>
      <w:r>
        <w:t>parc</w:t>
      </w:r>
      <w:proofErr w:type="spellEnd"/>
      <w:r>
        <w:t xml:space="preserve">. č. 1282 a </w:t>
      </w:r>
      <w:proofErr w:type="spellStart"/>
      <w:r>
        <w:t>parc</w:t>
      </w:r>
      <w:proofErr w:type="spellEnd"/>
      <w:r>
        <w:t xml:space="preserve">. č. 1333 jsou zapsané na LV č. 788 vedeném </w:t>
      </w:r>
      <w:r w:rsidRPr="003C4C2D">
        <w:rPr>
          <w:rFonts w:cs="Calibri"/>
        </w:rPr>
        <w:t xml:space="preserve">pro uvedené katastrální území Katastrálním úřadem pro </w:t>
      </w:r>
      <w:r>
        <w:rPr>
          <w:rFonts w:cs="Calibri"/>
        </w:rPr>
        <w:t>hlavní město Praha</w:t>
      </w:r>
      <w:r w:rsidRPr="003C4C2D">
        <w:rPr>
          <w:rFonts w:cs="Calibri"/>
        </w:rPr>
        <w:t>, Katastrálním pracovištěm Praha</w:t>
      </w:r>
      <w:r>
        <w:rPr>
          <w:rFonts w:cs="Calibri"/>
        </w:rPr>
        <w:t>.</w:t>
      </w:r>
    </w:p>
    <w:p w14:paraId="7FA6A169" w14:textId="6B9111A9" w:rsidR="002A7CF3" w:rsidRDefault="002A7CF3" w:rsidP="002A7CF3">
      <w:pPr>
        <w:pStyle w:val="Tlotextu"/>
        <w:spacing w:line="240" w:lineRule="auto"/>
        <w:ind w:left="568"/>
        <w:jc w:val="both"/>
        <w:rPr>
          <w:rFonts w:asciiTheme="minorHAnsi" w:hAnsiTheme="minorHAnsi" w:cstheme="minorHAnsi"/>
          <w:sz w:val="22"/>
          <w:szCs w:val="22"/>
        </w:rPr>
      </w:pPr>
      <w:r w:rsidRPr="002A7CF3">
        <w:rPr>
          <w:rFonts w:asciiTheme="minorHAnsi" w:hAnsiTheme="minorHAnsi" w:cstheme="minorHAnsi"/>
          <w:bCs/>
          <w:sz w:val="22"/>
          <w:szCs w:val="22"/>
        </w:rPr>
        <w:t xml:space="preserve">1.1.3. </w:t>
      </w:r>
      <w:r w:rsidRPr="002A7CF3">
        <w:rPr>
          <w:rFonts w:asciiTheme="minorHAnsi" w:hAnsiTheme="minorHAnsi" w:cstheme="minorHAnsi"/>
          <w:sz w:val="22"/>
          <w:szCs w:val="22"/>
        </w:rPr>
        <w:t xml:space="preserve">MČ Praha - Vinoř  konstatuje, že pod § 1 odst.  2 zákona č. 131/2000 Sb., </w:t>
      </w:r>
      <w:r w:rsidRPr="002A7CF3">
        <w:rPr>
          <w:rFonts w:asciiTheme="minorHAnsi" w:hAnsiTheme="minorHAnsi" w:cstheme="minorHAnsi"/>
          <w:sz w:val="22"/>
          <w:szCs w:val="22"/>
        </w:rPr>
        <w:br/>
        <w:t xml:space="preserve">O hlavním městě Praze, v platném znění, je Hlavní město Praha (dále jen „hl. m. Praha“)  veřejnoprávní korporací, která má vlastní majetek. Podle § 19 odst. 1 zákona č. 131/2000 Sb., o hlavním městě Praze, se městským částem. Tedy  Městské části Praha – Vinoř  byly svěřeny do správy Nemovitosti z majetku hl. m. Prahy. </w:t>
      </w:r>
    </w:p>
    <w:p w14:paraId="428C0103" w14:textId="77777777" w:rsidR="002A7CF3" w:rsidRPr="002A7CF3" w:rsidRDefault="002A7CF3" w:rsidP="002A7CF3">
      <w:pPr>
        <w:pStyle w:val="Tlotextu"/>
        <w:spacing w:line="240" w:lineRule="auto"/>
        <w:ind w:left="568"/>
        <w:jc w:val="both"/>
        <w:rPr>
          <w:rFonts w:asciiTheme="minorHAnsi" w:hAnsiTheme="minorHAnsi" w:cstheme="minorHAnsi"/>
          <w:sz w:val="22"/>
          <w:szCs w:val="22"/>
        </w:rPr>
      </w:pPr>
    </w:p>
    <w:p w14:paraId="368B30BB" w14:textId="77777777" w:rsidR="002A7CF3" w:rsidRPr="002A7CF3" w:rsidRDefault="002A7CF3" w:rsidP="002A7CF3">
      <w:pPr>
        <w:pStyle w:val="Tlotextu"/>
        <w:spacing w:line="240" w:lineRule="auto"/>
        <w:ind w:left="568"/>
        <w:jc w:val="both"/>
        <w:rPr>
          <w:rFonts w:asciiTheme="minorHAnsi" w:hAnsiTheme="minorHAnsi" w:cstheme="minorHAnsi"/>
          <w:sz w:val="22"/>
          <w:szCs w:val="22"/>
        </w:rPr>
      </w:pPr>
      <w:r w:rsidRPr="002A7CF3">
        <w:rPr>
          <w:rFonts w:asciiTheme="minorHAnsi" w:hAnsiTheme="minorHAnsi" w:cstheme="minorHAnsi"/>
          <w:sz w:val="22"/>
          <w:szCs w:val="22"/>
        </w:rPr>
        <w:t xml:space="preserve">Podle §36 odst. 1) zákona č. 131/2000 Sb.,  O hlavním městě Praze, městské části mohou zcizit nemovité věci svěřené  městským částem do správy ve vlastnictví hl. m. Prahy se souhlasem hl. m. Prahy. </w:t>
      </w:r>
    </w:p>
    <w:p w14:paraId="39F72874" w14:textId="77777777" w:rsidR="002A7CF3" w:rsidRDefault="002A7CF3" w:rsidP="003F4C6B">
      <w:pPr>
        <w:pStyle w:val="slovn"/>
        <w:numPr>
          <w:ilvl w:val="0"/>
          <w:numId w:val="0"/>
        </w:numPr>
        <w:ind w:left="568"/>
        <w:rPr>
          <w:rFonts w:asciiTheme="minorHAnsi" w:hAnsiTheme="minorHAnsi"/>
        </w:rPr>
      </w:pPr>
    </w:p>
    <w:p w14:paraId="7F0912D2" w14:textId="77777777" w:rsidR="003F4C6B" w:rsidRPr="003C4C2D" w:rsidRDefault="003F4C6B" w:rsidP="003F4C6B">
      <w:pPr>
        <w:pStyle w:val="slovn"/>
        <w:tabs>
          <w:tab w:val="clear" w:pos="360"/>
        </w:tabs>
        <w:ind w:left="567" w:hanging="567"/>
        <w:rPr>
          <w:rFonts w:asciiTheme="minorHAnsi" w:hAnsiTheme="minorHAnsi"/>
        </w:rPr>
      </w:pPr>
      <w:r>
        <w:rPr>
          <w:rFonts w:asciiTheme="minorHAnsi" w:hAnsiTheme="minorHAnsi"/>
        </w:rPr>
        <w:t>FAGUS je</w:t>
      </w:r>
      <w:r w:rsidRPr="003C4C2D">
        <w:rPr>
          <w:rFonts w:asciiTheme="minorHAnsi" w:hAnsiTheme="minorHAnsi"/>
        </w:rPr>
        <w:t xml:space="preserve"> vlastníkem následujících nemovitých věcí:</w:t>
      </w:r>
    </w:p>
    <w:p w14:paraId="1A23FD8C" w14:textId="77777777" w:rsidR="003F4C6B" w:rsidRPr="00E51AF0" w:rsidRDefault="003F4C6B" w:rsidP="003F4C6B">
      <w:pPr>
        <w:pStyle w:val="slovn"/>
        <w:numPr>
          <w:ilvl w:val="2"/>
          <w:numId w:val="1"/>
        </w:numPr>
        <w:rPr>
          <w:rFonts w:asciiTheme="minorHAnsi" w:hAnsiTheme="minorHAnsi"/>
        </w:rPr>
      </w:pPr>
      <w:r>
        <w:t xml:space="preserve">pozemku </w:t>
      </w:r>
      <w:proofErr w:type="spellStart"/>
      <w:r>
        <w:t>parc</w:t>
      </w:r>
      <w:proofErr w:type="spellEnd"/>
      <w:r>
        <w:t xml:space="preserve">. č. 1410, ze kterého byl oddělen pozemek </w:t>
      </w:r>
      <w:proofErr w:type="spellStart"/>
      <w:r>
        <w:t>parc</w:t>
      </w:r>
      <w:proofErr w:type="spellEnd"/>
      <w:r>
        <w:t xml:space="preserve">. č. 1410/6 o výměře 13 </w:t>
      </w:r>
      <w:r w:rsidRPr="00E51AF0">
        <w:t>m²</w:t>
      </w:r>
      <w:r>
        <w:t>, a to geometrickým plánem č. 1672-184/2019 vyhotoveným dne 2. 5. 2019 a potvrzeným dne 7. 5. 2019 Katastrálním úřadem pro hlavní město Praha, katastrální pracoviště Praha,</w:t>
      </w:r>
    </w:p>
    <w:p w14:paraId="71C2B60E" w14:textId="77777777" w:rsidR="003F4C6B" w:rsidRDefault="003F4C6B" w:rsidP="003F4C6B">
      <w:pPr>
        <w:pStyle w:val="slovn"/>
        <w:numPr>
          <w:ilvl w:val="0"/>
          <w:numId w:val="0"/>
        </w:numPr>
        <w:ind w:left="568"/>
      </w:pPr>
      <w:r>
        <w:lastRenderedPageBreak/>
        <w:t xml:space="preserve">to vše v obci Praha, části obce a </w:t>
      </w:r>
      <w:proofErr w:type="spellStart"/>
      <w:r>
        <w:t>k.ú</w:t>
      </w:r>
      <w:proofErr w:type="spellEnd"/>
      <w:r>
        <w:t xml:space="preserve">. Vinoř. Pozemek </w:t>
      </w:r>
      <w:proofErr w:type="spellStart"/>
      <w:r>
        <w:t>parc</w:t>
      </w:r>
      <w:proofErr w:type="spellEnd"/>
      <w:r>
        <w:t xml:space="preserve">. č. 1410 je zapsaný na LV č. 785 vedeném </w:t>
      </w:r>
      <w:r w:rsidRPr="003C4C2D">
        <w:rPr>
          <w:rFonts w:cs="Calibri"/>
        </w:rPr>
        <w:t xml:space="preserve">pro uvedené katastrální území Katastrálním úřadem pro </w:t>
      </w:r>
      <w:r>
        <w:rPr>
          <w:rFonts w:cs="Calibri"/>
        </w:rPr>
        <w:t>hlavní město Prahu</w:t>
      </w:r>
      <w:r w:rsidRPr="003C4C2D">
        <w:rPr>
          <w:rFonts w:cs="Calibri"/>
        </w:rPr>
        <w:t>, Katastrálním pracovištěm Praha</w:t>
      </w:r>
      <w:r>
        <w:rPr>
          <w:rFonts w:cs="Calibri"/>
        </w:rPr>
        <w:t>.</w:t>
      </w:r>
      <w:r>
        <w:t xml:space="preserve"> </w:t>
      </w:r>
    </w:p>
    <w:p w14:paraId="55CF1AE4" w14:textId="77777777" w:rsidR="003F4C6B" w:rsidRDefault="003F4C6B" w:rsidP="003F4C6B">
      <w:pPr>
        <w:pStyle w:val="slovn"/>
        <w:tabs>
          <w:tab w:val="clear" w:pos="360"/>
        </w:tabs>
        <w:ind w:left="567" w:hanging="567"/>
        <w:rPr>
          <w:rFonts w:asciiTheme="minorHAnsi" w:hAnsiTheme="minorHAnsi"/>
        </w:rPr>
      </w:pPr>
      <w:r w:rsidRPr="00463431">
        <w:rPr>
          <w:rFonts w:asciiTheme="minorHAnsi" w:hAnsiTheme="minorHAnsi"/>
        </w:rPr>
        <w:t xml:space="preserve">Geometrický plán č. </w:t>
      </w:r>
      <w:r>
        <w:t>1672-184/2019</w:t>
      </w:r>
      <w:r w:rsidRPr="00463431">
        <w:rPr>
          <w:rFonts w:asciiTheme="minorHAnsi" w:hAnsiTheme="minorHAnsi"/>
        </w:rPr>
        <w:t xml:space="preserve"> tvoří </w:t>
      </w:r>
      <w:r w:rsidRPr="00463431">
        <w:rPr>
          <w:rFonts w:asciiTheme="minorHAnsi" w:hAnsiTheme="minorHAnsi"/>
          <w:u w:val="single"/>
        </w:rPr>
        <w:t>Přílohu č. 1</w:t>
      </w:r>
      <w:r w:rsidRPr="00463431">
        <w:rPr>
          <w:rFonts w:asciiTheme="minorHAnsi" w:hAnsiTheme="minorHAnsi"/>
        </w:rPr>
        <w:t xml:space="preserve"> této smlouvy. </w:t>
      </w:r>
    </w:p>
    <w:p w14:paraId="0E6E6333" w14:textId="77777777" w:rsidR="003F4C6B" w:rsidRPr="00463431" w:rsidRDefault="003F4C6B" w:rsidP="003F4C6B">
      <w:pPr>
        <w:pStyle w:val="slovn"/>
        <w:numPr>
          <w:ilvl w:val="0"/>
          <w:numId w:val="0"/>
        </w:numPr>
        <w:ind w:left="567"/>
        <w:rPr>
          <w:rFonts w:asciiTheme="minorHAnsi" w:hAnsiTheme="minorHAnsi"/>
        </w:rPr>
      </w:pPr>
    </w:p>
    <w:p w14:paraId="3BE05F43" w14:textId="77777777" w:rsidR="003F4C6B" w:rsidRPr="003C4C2D" w:rsidRDefault="003F4C6B" w:rsidP="003F4C6B">
      <w:pPr>
        <w:pStyle w:val="lnekslovn"/>
        <w:rPr>
          <w:rFonts w:asciiTheme="minorHAnsi" w:hAnsiTheme="minorHAnsi"/>
        </w:rPr>
      </w:pPr>
      <w:r w:rsidRPr="003C4C2D">
        <w:rPr>
          <w:rFonts w:asciiTheme="minorHAnsi" w:hAnsiTheme="minorHAnsi"/>
        </w:rPr>
        <w:t>Předmět smlouvy</w:t>
      </w:r>
    </w:p>
    <w:p w14:paraId="29B36EF9" w14:textId="77777777" w:rsidR="003F4C6B" w:rsidRPr="003C4C2D" w:rsidRDefault="003F4C6B" w:rsidP="003F4C6B">
      <w:pPr>
        <w:pStyle w:val="slovn"/>
        <w:tabs>
          <w:tab w:val="clear" w:pos="360"/>
        </w:tabs>
        <w:ind w:left="567" w:hanging="567"/>
      </w:pPr>
      <w:r>
        <w:t xml:space="preserve">MČ Praha </w:t>
      </w:r>
      <w:r w:rsidRPr="00BC75AD">
        <w:t>- Vinoř</w:t>
      </w:r>
      <w:r>
        <w:t xml:space="preserve"> a FAGUS</w:t>
      </w:r>
      <w:r w:rsidRPr="003C4C2D">
        <w:t xml:space="preserve"> si mezi sebou za níže uvedených podmínek ujednali následující směnu </w:t>
      </w:r>
      <w:r>
        <w:t xml:space="preserve">nově oddělených </w:t>
      </w:r>
      <w:r w:rsidRPr="003C4C2D">
        <w:t>pozemků uvedených v čl. 1.1 a 1.2 výše (dále</w:t>
      </w:r>
      <w:r>
        <w:t xml:space="preserve"> společně</w:t>
      </w:r>
      <w:r w:rsidRPr="003C4C2D">
        <w:t xml:space="preserve"> i jen „</w:t>
      </w:r>
      <w:r w:rsidRPr="003C4C2D">
        <w:rPr>
          <w:b/>
        </w:rPr>
        <w:t>směňované nemovitosti</w:t>
      </w:r>
      <w:r w:rsidRPr="003C4C2D">
        <w:t>“):</w:t>
      </w:r>
    </w:p>
    <w:p w14:paraId="63B513EE" w14:textId="77777777" w:rsidR="003F4C6B" w:rsidRPr="003C4C2D" w:rsidRDefault="003F4C6B" w:rsidP="003F4C6B">
      <w:pPr>
        <w:pStyle w:val="slovn"/>
        <w:numPr>
          <w:ilvl w:val="2"/>
          <w:numId w:val="1"/>
        </w:numPr>
      </w:pPr>
      <w:r>
        <w:t xml:space="preserve">MČ Praha </w:t>
      </w:r>
      <w:r w:rsidRPr="00BC75AD">
        <w:t>- Vinoř</w:t>
      </w:r>
      <w:r>
        <w:t xml:space="preserve"> </w:t>
      </w:r>
      <w:r w:rsidRPr="003C4C2D">
        <w:t xml:space="preserve">převádí na </w:t>
      </w:r>
      <w:r>
        <w:t>FAGUS</w:t>
      </w:r>
      <w:r w:rsidRPr="003C4C2D">
        <w:t xml:space="preserve"> vlastnické právo </w:t>
      </w:r>
      <w:r>
        <w:t xml:space="preserve">pozemku </w:t>
      </w:r>
      <w:proofErr w:type="spellStart"/>
      <w:r>
        <w:t>parc</w:t>
      </w:r>
      <w:proofErr w:type="spellEnd"/>
      <w:r>
        <w:t xml:space="preserve">. č. 1282/4 o výměře 27 </w:t>
      </w:r>
      <w:r w:rsidRPr="00E51AF0">
        <w:t>m²</w:t>
      </w:r>
      <w:r>
        <w:t xml:space="preserve"> a pozemku </w:t>
      </w:r>
      <w:proofErr w:type="spellStart"/>
      <w:r>
        <w:t>parc</w:t>
      </w:r>
      <w:proofErr w:type="spellEnd"/>
      <w:r>
        <w:t xml:space="preserve">. č. 1333/6 o výměře 30 </w:t>
      </w:r>
      <w:r w:rsidRPr="00E51AF0">
        <w:t>m²</w:t>
      </w:r>
      <w:r>
        <w:t xml:space="preserve">, vzniklých oddělením na základě geometrického plánu č. 1672-184/2019, to vše v obci Praha, části obce a </w:t>
      </w:r>
      <w:proofErr w:type="spellStart"/>
      <w:r>
        <w:t>k.ú</w:t>
      </w:r>
      <w:proofErr w:type="spellEnd"/>
      <w:r>
        <w:t>. Vinoř</w:t>
      </w:r>
      <w:r w:rsidRPr="003C4C2D">
        <w:t xml:space="preserve">; </w:t>
      </w:r>
      <w:r>
        <w:t>FAGUS</w:t>
      </w:r>
      <w:r w:rsidRPr="003C4C2D">
        <w:t xml:space="preserve"> </w:t>
      </w:r>
      <w:r>
        <w:t xml:space="preserve">tyto </w:t>
      </w:r>
      <w:r w:rsidRPr="003C4C2D">
        <w:t>pozemky přijímá do svého výlučného vlastnictví; a</w:t>
      </w:r>
    </w:p>
    <w:p w14:paraId="34CA8A9F" w14:textId="77777777" w:rsidR="003F4C6B" w:rsidRPr="003C4C2D" w:rsidRDefault="003F4C6B" w:rsidP="003F4C6B">
      <w:pPr>
        <w:pStyle w:val="slovn"/>
        <w:numPr>
          <w:ilvl w:val="2"/>
          <w:numId w:val="1"/>
        </w:numPr>
      </w:pPr>
      <w:r>
        <w:t>FAGUS</w:t>
      </w:r>
      <w:r w:rsidRPr="003C4C2D">
        <w:t xml:space="preserve"> převádí na </w:t>
      </w:r>
      <w:r>
        <w:t xml:space="preserve">MČ Praha </w:t>
      </w:r>
      <w:r w:rsidRPr="00BC75AD">
        <w:t>- Vinoř</w:t>
      </w:r>
      <w:r>
        <w:t xml:space="preserve"> </w:t>
      </w:r>
      <w:r w:rsidRPr="003C4C2D">
        <w:t xml:space="preserve">vlastnické právo </w:t>
      </w:r>
      <w:r>
        <w:t xml:space="preserve">pozemku </w:t>
      </w:r>
      <w:proofErr w:type="spellStart"/>
      <w:r>
        <w:t>parc</w:t>
      </w:r>
      <w:proofErr w:type="spellEnd"/>
      <w:r>
        <w:t xml:space="preserve">. č. 1410/6 o výměře 13 </w:t>
      </w:r>
      <w:r w:rsidRPr="00E51AF0">
        <w:t>m²</w:t>
      </w:r>
      <w:r>
        <w:t xml:space="preserve">, vzniklého oddělením na základě geometrického plánu č. 1672-184/2019, v obci Praha, části obce a </w:t>
      </w:r>
      <w:proofErr w:type="spellStart"/>
      <w:r>
        <w:t>k.ú</w:t>
      </w:r>
      <w:proofErr w:type="spellEnd"/>
      <w:r>
        <w:t>. Vinoř</w:t>
      </w:r>
      <w:r w:rsidRPr="003C4C2D">
        <w:t xml:space="preserve">; </w:t>
      </w:r>
      <w:r>
        <w:t xml:space="preserve">MČ Praha </w:t>
      </w:r>
      <w:r w:rsidRPr="00BC75AD">
        <w:t>- Vinoř</w:t>
      </w:r>
      <w:r>
        <w:t xml:space="preserve"> tento pozemek</w:t>
      </w:r>
      <w:r w:rsidRPr="003C4C2D">
        <w:t xml:space="preserve"> přijímá</w:t>
      </w:r>
      <w:r>
        <w:t xml:space="preserve"> jako správce</w:t>
      </w:r>
      <w:r w:rsidRPr="003C4C2D">
        <w:t xml:space="preserve"> </w:t>
      </w:r>
      <w:r>
        <w:t>do vlastnictví Hlavního města Prahy</w:t>
      </w:r>
      <w:r w:rsidRPr="003C4C2D">
        <w:t>.</w:t>
      </w:r>
    </w:p>
    <w:p w14:paraId="5934C496" w14:textId="77777777" w:rsidR="003F4C6B" w:rsidRDefault="003F4C6B" w:rsidP="003F4C6B">
      <w:pPr>
        <w:pStyle w:val="slovn"/>
        <w:tabs>
          <w:tab w:val="clear" w:pos="360"/>
        </w:tabs>
        <w:ind w:left="567" w:hanging="567"/>
      </w:pPr>
      <w:r w:rsidRPr="003C4C2D">
        <w:t>Smluvní strany prohlašují, že směňované nemovitosti nemají ke dni podpisu této smlouvy žádné právní vady</w:t>
      </w:r>
      <w:r>
        <w:t xml:space="preserve"> neuvedené na listech vlastnictví</w:t>
      </w:r>
      <w:r w:rsidRPr="003C4C2D">
        <w:t xml:space="preserve">. </w:t>
      </w:r>
    </w:p>
    <w:p w14:paraId="58668BA0" w14:textId="77777777" w:rsidR="003F4C6B" w:rsidRPr="003C4C2D" w:rsidRDefault="003F4C6B" w:rsidP="003F4C6B">
      <w:pPr>
        <w:pStyle w:val="slovn"/>
        <w:tabs>
          <w:tab w:val="clear" w:pos="360"/>
        </w:tabs>
        <w:ind w:left="567" w:hanging="567"/>
      </w:pPr>
      <w:r>
        <w:t>S</w:t>
      </w:r>
      <w:r w:rsidRPr="003C4C2D">
        <w:t xml:space="preserve">mluvní strany prohlašují, že jsou obeznámeny i s faktickým stavem směňovaných nemovitostí a že je mezi sebou směňují se všemi jejich součástmi, příslušenstvím, právy a povinnostmi. </w:t>
      </w:r>
    </w:p>
    <w:p w14:paraId="710770DC" w14:textId="77777777" w:rsidR="003F4C6B" w:rsidRPr="003C4C2D" w:rsidRDefault="003F4C6B" w:rsidP="003F4C6B">
      <w:pPr>
        <w:pStyle w:val="lnekslovn"/>
        <w:rPr>
          <w:rFonts w:asciiTheme="minorHAnsi" w:hAnsiTheme="minorHAnsi"/>
        </w:rPr>
      </w:pPr>
      <w:r w:rsidRPr="003C4C2D">
        <w:rPr>
          <w:rFonts w:asciiTheme="minorHAnsi" w:hAnsiTheme="minorHAnsi"/>
        </w:rPr>
        <w:t>Finanční dorovnání</w:t>
      </w:r>
    </w:p>
    <w:p w14:paraId="45818BCD" w14:textId="1EE2AD5B" w:rsidR="003F4C6B" w:rsidRDefault="003F4C6B" w:rsidP="003F4C6B">
      <w:pPr>
        <w:pStyle w:val="slovn"/>
        <w:tabs>
          <w:tab w:val="clear" w:pos="360"/>
        </w:tabs>
        <w:ind w:left="567" w:hanging="567"/>
      </w:pPr>
      <w:r>
        <w:t xml:space="preserve">FAGUS směnou směňovaných nemovitostí nabyde do svého výlučného vlastnictví celkem 57 </w:t>
      </w:r>
      <w:r w:rsidRPr="00E51AF0">
        <w:t>m²</w:t>
      </w:r>
      <w:r>
        <w:t xml:space="preserve">, jak vyplývá z čl. 2.1.1 výše, MČ Praha – Vinoř nabyde do svého výlučného vlastnictví celkem 13 </w:t>
      </w:r>
      <w:r w:rsidRPr="00E51AF0">
        <w:t>m²</w:t>
      </w:r>
      <w:r>
        <w:t>, jak vyplývá z čl. 2.1.2 výše.</w:t>
      </w:r>
      <w:r w:rsidRPr="003C4C2D" w:rsidDel="00AE1238">
        <w:t xml:space="preserve"> </w:t>
      </w:r>
      <w:r>
        <w:t>FAGUS</w:t>
      </w:r>
      <w:r w:rsidRPr="00542AD5">
        <w:t xml:space="preserve"> dorovná </w:t>
      </w:r>
      <w:r>
        <w:t xml:space="preserve">MČ Praha </w:t>
      </w:r>
      <w:r w:rsidRPr="00BC75AD">
        <w:t>- Vinoř</w:t>
      </w:r>
      <w:r w:rsidRPr="00542AD5">
        <w:t xml:space="preserve"> rozdíl</w:t>
      </w:r>
      <w:r>
        <w:t>, tedy 44</w:t>
      </w:r>
      <w:r w:rsidRPr="00542AD5">
        <w:t xml:space="preserve"> </w:t>
      </w:r>
      <w:r w:rsidRPr="00E51AF0">
        <w:t>m²</w:t>
      </w:r>
      <w:r>
        <w:t xml:space="preserve"> za cenu obvyklou, která je dle platné cenové mapy s účinností od 1.1.2019 stanovena na 5.560,- Kč za 1 </w:t>
      </w:r>
      <w:r w:rsidRPr="00E51AF0">
        <w:t>m²</w:t>
      </w:r>
      <w:r>
        <w:t xml:space="preserve">. FAGUS se zavazuje uhradit MČ Praha – Vinoř celkovou cenu na finanční dorovnání za 44 </w:t>
      </w:r>
      <w:r w:rsidRPr="00E51AF0">
        <w:t>m²</w:t>
      </w:r>
      <w:r>
        <w:t xml:space="preserve"> v celkové výši 244.640,- Kč, navýšenou o správní poplatek za vkladové řízení u katastrálního úřadu ve výši 1000,- Kč, celkem tedy </w:t>
      </w:r>
      <w:r w:rsidRPr="00577046">
        <w:rPr>
          <w:b/>
        </w:rPr>
        <w:t>2</w:t>
      </w:r>
      <w:r>
        <w:rPr>
          <w:b/>
        </w:rPr>
        <w:t>45</w:t>
      </w:r>
      <w:r w:rsidRPr="00577046">
        <w:rPr>
          <w:b/>
        </w:rPr>
        <w:t>.</w:t>
      </w:r>
      <w:r>
        <w:rPr>
          <w:b/>
        </w:rPr>
        <w:t>640</w:t>
      </w:r>
      <w:r w:rsidRPr="00577046">
        <w:rPr>
          <w:b/>
        </w:rPr>
        <w:t>,- Kč</w:t>
      </w:r>
      <w:r w:rsidRPr="00542AD5">
        <w:t>. Tuto částku uhrad</w:t>
      </w:r>
      <w:r w:rsidR="00D54DB6">
        <w:t>il</w:t>
      </w:r>
      <w:r w:rsidRPr="00542AD5">
        <w:t xml:space="preserve"> </w:t>
      </w:r>
      <w:r>
        <w:t>FAGUS</w:t>
      </w:r>
      <w:r w:rsidRPr="00542AD5">
        <w:t xml:space="preserve"> </w:t>
      </w:r>
      <w:r>
        <w:t xml:space="preserve">MČ Praha </w:t>
      </w:r>
      <w:r w:rsidRPr="00BC75AD">
        <w:t>- Vinoř</w:t>
      </w:r>
      <w:r>
        <w:t xml:space="preserve"> </w:t>
      </w:r>
      <w:r w:rsidR="00D54DB6">
        <w:t>před podpisem této smlouvy.</w:t>
      </w:r>
      <w:r w:rsidRPr="00542AD5">
        <w:t xml:space="preserve"> </w:t>
      </w:r>
    </w:p>
    <w:p w14:paraId="15DD1643" w14:textId="77777777" w:rsidR="003F4C6B" w:rsidRPr="003C4C2D" w:rsidRDefault="003F4C6B" w:rsidP="003F4C6B">
      <w:pPr>
        <w:pStyle w:val="slovn"/>
        <w:tabs>
          <w:tab w:val="clear" w:pos="360"/>
        </w:tabs>
        <w:ind w:left="567" w:hanging="567"/>
      </w:pPr>
      <w:r>
        <w:t>Daňové povinnosti související se směnou nemovitostí a finančním dorovnáním nesou obě strany tak, jak je zákon předepisuje.</w:t>
      </w:r>
    </w:p>
    <w:p w14:paraId="5DABB333" w14:textId="77777777" w:rsidR="003F4C6B" w:rsidRPr="003C4C2D" w:rsidRDefault="003F4C6B" w:rsidP="003F4C6B">
      <w:pPr>
        <w:pStyle w:val="lnekslovn"/>
        <w:rPr>
          <w:rFonts w:asciiTheme="minorHAnsi" w:hAnsiTheme="minorHAnsi"/>
        </w:rPr>
      </w:pPr>
      <w:r>
        <w:rPr>
          <w:rFonts w:asciiTheme="minorHAnsi" w:hAnsiTheme="minorHAnsi"/>
        </w:rPr>
        <w:t>Předání, převod vlastnictví a další ujednání</w:t>
      </w:r>
    </w:p>
    <w:p w14:paraId="1F068179" w14:textId="77777777" w:rsidR="003F4C6B" w:rsidRPr="003C4C2D" w:rsidRDefault="003F4C6B" w:rsidP="003F4C6B">
      <w:pPr>
        <w:pStyle w:val="slovn"/>
        <w:tabs>
          <w:tab w:val="clear" w:pos="360"/>
        </w:tabs>
        <w:ind w:left="567" w:hanging="567"/>
      </w:pPr>
      <w:r w:rsidRPr="003C4C2D">
        <w:t xml:space="preserve">Směňované nemovitosti se považují za předané dnem provedení vkladu vlastnických práv </w:t>
      </w:r>
      <w:proofErr w:type="spellStart"/>
      <w:r>
        <w:t>FAGUSu</w:t>
      </w:r>
      <w:proofErr w:type="spellEnd"/>
      <w:r>
        <w:t xml:space="preserve"> i MČ Praha </w:t>
      </w:r>
      <w:r w:rsidRPr="00BC75AD">
        <w:t>- Vinoř</w:t>
      </w:r>
      <w:r>
        <w:t xml:space="preserve"> </w:t>
      </w:r>
      <w:r w:rsidRPr="003C4C2D">
        <w:t>ke směňovaným nemovitostem do katastru nemovitostí.</w:t>
      </w:r>
    </w:p>
    <w:p w14:paraId="57A1BF8B" w14:textId="77777777" w:rsidR="003F4C6B" w:rsidRPr="003C4C2D" w:rsidRDefault="003F4C6B" w:rsidP="003F4C6B">
      <w:pPr>
        <w:pStyle w:val="slovn"/>
        <w:tabs>
          <w:tab w:val="clear" w:pos="360"/>
        </w:tabs>
        <w:ind w:left="567" w:hanging="567"/>
      </w:pPr>
      <w:r w:rsidRPr="003C4C2D">
        <w:t>Nebezpečí škody na směňovaných nemovitostech přechází na příslušnou smluvní stranu coby jejich nového vlastníka v okamžiku předání směňovaných nemovitostí.</w:t>
      </w:r>
    </w:p>
    <w:p w14:paraId="733E275C" w14:textId="77777777" w:rsidR="003F4C6B" w:rsidRPr="003C4C2D" w:rsidRDefault="003F4C6B" w:rsidP="003F4C6B">
      <w:pPr>
        <w:pStyle w:val="slovn"/>
        <w:tabs>
          <w:tab w:val="clear" w:pos="360"/>
        </w:tabs>
        <w:ind w:left="567" w:hanging="567"/>
      </w:pPr>
      <w:r w:rsidRPr="003C4C2D">
        <w:t>Plody a užitky ze směňovaných nemovitostí náleží příslušné smluvní straně coby novému vlastníkovi také od okamžiku předání směňovaných nemovitostí.</w:t>
      </w:r>
    </w:p>
    <w:p w14:paraId="3278FBE5" w14:textId="77777777" w:rsidR="003F4C6B" w:rsidRDefault="003F4C6B" w:rsidP="003F4C6B">
      <w:pPr>
        <w:pStyle w:val="slovn"/>
        <w:tabs>
          <w:tab w:val="clear" w:pos="360"/>
        </w:tabs>
        <w:ind w:left="567" w:hanging="567"/>
      </w:pPr>
      <w:r w:rsidRPr="003C4C2D">
        <w:t>Spolu s touto smlouvou podepisují strany i návrh na vklad do katastru nemovitostí. Podání tohoto návrh</w:t>
      </w:r>
      <w:r>
        <w:t>u</w:t>
      </w:r>
      <w:r w:rsidRPr="003C4C2D">
        <w:t xml:space="preserve"> na vklad příslušnému katastru nemovitostí zajistí </w:t>
      </w:r>
      <w:r>
        <w:t xml:space="preserve">a správní poplatek uhradí MČ Praha </w:t>
      </w:r>
      <w:r w:rsidRPr="00BC75AD">
        <w:t>- Vinoř</w:t>
      </w:r>
      <w:r>
        <w:t xml:space="preserve">. O dni podání návrhu na vklad vlastnického práva dle této smlouvy je MČ Praha </w:t>
      </w:r>
      <w:r w:rsidRPr="00BC75AD">
        <w:t xml:space="preserve">- </w:t>
      </w:r>
      <w:r w:rsidRPr="00BC75AD">
        <w:lastRenderedPageBreak/>
        <w:t>Vinoř</w:t>
      </w:r>
      <w:r>
        <w:t xml:space="preserve"> povinna FAGUS bezodkladně (nejpozději následující pracovní den po dni podání návrhu) vyrozumět e-mailem na adresy jerzy.spretka@stromc.cz a renata.fialova@stromc.cz</w:t>
      </w:r>
      <w:r w:rsidRPr="003C4C2D">
        <w:t xml:space="preserve">. </w:t>
      </w:r>
    </w:p>
    <w:p w14:paraId="66644340" w14:textId="77777777" w:rsidR="003F4C6B" w:rsidRPr="00830773" w:rsidRDefault="003F4C6B" w:rsidP="003F4C6B">
      <w:pPr>
        <w:pStyle w:val="slovn"/>
        <w:tabs>
          <w:tab w:val="clear" w:pos="360"/>
        </w:tabs>
        <w:ind w:left="567" w:hanging="567"/>
      </w:pPr>
      <w:r w:rsidRPr="003069FC">
        <w:t xml:space="preserve">Smluvní strany jsou si vědomy toho, že návrh na vklad vlastnického práva je možné podat na příslušný katastrální úřad až poté, kdy bude označen tzv. „Doložkou správnosti“. Na základě této „Doložky správnosti“ Magistrát hlavního města Prahy v souladu s vyhláškou hlavního města Prahy, kterou se vydává Statut hlavního města Prahy, ověřuje správnost návrhu a dokumentů k němu přiložených. </w:t>
      </w:r>
    </w:p>
    <w:p w14:paraId="2F74DDE5" w14:textId="77777777" w:rsidR="003F4C6B" w:rsidRPr="003C4C2D" w:rsidRDefault="003F4C6B" w:rsidP="003F4C6B">
      <w:pPr>
        <w:pStyle w:val="slovn"/>
        <w:tabs>
          <w:tab w:val="clear" w:pos="360"/>
        </w:tabs>
        <w:ind w:left="567" w:hanging="567"/>
      </w:pPr>
      <w:r>
        <w:t>Smluvní strany se zavazují, že se až do provedení vkladu práv dle této smlouvy zdrží jakýchkoliv činností, které by vedly ke zmaření či ztížení převodu směňovaných nemovitostí.</w:t>
      </w:r>
    </w:p>
    <w:p w14:paraId="31716665" w14:textId="77777777" w:rsidR="003F4C6B" w:rsidRDefault="003F4C6B" w:rsidP="003F4C6B">
      <w:pPr>
        <w:pStyle w:val="slovn"/>
        <w:tabs>
          <w:tab w:val="clear" w:pos="360"/>
        </w:tabs>
        <w:ind w:left="567" w:hanging="567"/>
      </w:pPr>
      <w:r w:rsidRPr="003C4C2D">
        <w:t>Pro případ, že příslušný katastrální úřad rozhodne o zamítnutí návrhu na vklad vlastnických práv ke směňovaným nemovitostem dle této směnné smlouvy, nebo v případě, že pravomocně rozhodne o zastavení řízení o návrhu na vklad vlastnických práv ke směňovaným nemovitostem dle této směnné smlouvy, se strany zavazují neprodleně odstranit případné vady či jiné překážky, pro které byl návrh zamítnut, řízení přerušeno či zastaveno, a zejména (bude-li to pro provedení vkladu zapotřebí) uzavřít mezi sebou novou směnnou smlouvu se shodným obsahem s touto smlouvou, která již nebude obsahovat vady nebo jiné skutečnosti, které byly příčinou zamítnutí návrhu na vklad nebo zastavení řízení, a to ve lhůtě do 30 ti dnů ode dne právní moci rozhodnutí katastrálního úřadu o zamítnutí návrhu na vklad nebo zastavení řízení.</w:t>
      </w:r>
    </w:p>
    <w:p w14:paraId="6672001D" w14:textId="77777777" w:rsidR="003F4C6B" w:rsidRPr="003C4C2D" w:rsidRDefault="003F4C6B" w:rsidP="003F4C6B">
      <w:pPr>
        <w:pStyle w:val="lnekslovn"/>
      </w:pPr>
      <w:r w:rsidRPr="003C4C2D">
        <w:t>Závěrečná ustanovení</w:t>
      </w:r>
    </w:p>
    <w:p w14:paraId="3E7B470E" w14:textId="77777777" w:rsidR="003F4C6B" w:rsidRPr="00AA5087" w:rsidRDefault="003F4C6B" w:rsidP="003F4C6B">
      <w:pPr>
        <w:pStyle w:val="slovn"/>
        <w:tabs>
          <w:tab w:val="clear" w:pos="360"/>
        </w:tabs>
        <w:ind w:left="567" w:hanging="567"/>
      </w:pPr>
      <w:r>
        <w:t>Tato smlouva a právní vztahy z ní vyplývající se řídí zák. č. 89/2012 Sb.,</w:t>
      </w:r>
      <w:r w:rsidRPr="009B4CFC">
        <w:t xml:space="preserve"> </w:t>
      </w:r>
      <w:r>
        <w:t>občanským zákoníkem v platném znění.</w:t>
      </w:r>
    </w:p>
    <w:p w14:paraId="1A61BADB" w14:textId="77777777" w:rsidR="003F4C6B" w:rsidRPr="003C4C2D" w:rsidRDefault="003F4C6B" w:rsidP="003F4C6B">
      <w:pPr>
        <w:pStyle w:val="slovn"/>
        <w:tabs>
          <w:tab w:val="clear" w:pos="360"/>
        </w:tabs>
        <w:ind w:left="567" w:hanging="567"/>
      </w:pPr>
      <w:r w:rsidRPr="003C4C2D">
        <w:rPr>
          <w:rFonts w:cs="Calibri"/>
        </w:rPr>
        <w:t>Tato smlouva nabývá platnosti a je účinná dnem podpisu obou smluvních stran.</w:t>
      </w:r>
      <w:r w:rsidRPr="003C4C2D">
        <w:t xml:space="preserve"> </w:t>
      </w:r>
    </w:p>
    <w:p w14:paraId="324A2413" w14:textId="77777777" w:rsidR="003F4C6B" w:rsidRDefault="003F4C6B" w:rsidP="003F4C6B">
      <w:pPr>
        <w:pStyle w:val="slovn"/>
        <w:tabs>
          <w:tab w:val="clear" w:pos="360"/>
        </w:tabs>
        <w:ind w:left="567" w:hanging="567"/>
        <w:rPr>
          <w:rFonts w:asciiTheme="minorHAnsi" w:hAnsiTheme="minorHAnsi"/>
        </w:rPr>
      </w:pPr>
      <w:r w:rsidRPr="003C4C2D">
        <w:rPr>
          <w:rFonts w:asciiTheme="minorHAnsi" w:hAnsiTheme="minorHAnsi"/>
        </w:rPr>
        <w:t xml:space="preserve">Jakékoli změny této smlouvy mohou být prováděny pouze formou </w:t>
      </w:r>
      <w:r>
        <w:rPr>
          <w:rFonts w:asciiTheme="minorHAnsi" w:hAnsiTheme="minorHAnsi"/>
        </w:rPr>
        <w:t xml:space="preserve">vzestupně číslovaných </w:t>
      </w:r>
      <w:r w:rsidRPr="003C4C2D">
        <w:rPr>
          <w:rFonts w:asciiTheme="minorHAnsi" w:hAnsiTheme="minorHAnsi"/>
        </w:rPr>
        <w:t>písemných dodatků.</w:t>
      </w:r>
    </w:p>
    <w:p w14:paraId="2D3D8247" w14:textId="77777777" w:rsidR="002A7CF3" w:rsidRDefault="003F4C6B" w:rsidP="003F4C6B">
      <w:pPr>
        <w:pStyle w:val="slovn"/>
        <w:tabs>
          <w:tab w:val="clear" w:pos="360"/>
        </w:tabs>
        <w:ind w:left="567" w:hanging="567"/>
      </w:pPr>
      <w:r w:rsidRPr="005F0EF8">
        <w:t>Tato smlouva obsahuje ujednání stran o všech náležitostech, které strany měly a chtěly v této smlouvě ujednat, přičemž strany dospěly k plné shodě ohledně všech náležitostí, které si stanovily jako předpoklady pro uzavření této smlouvy.</w:t>
      </w:r>
      <w:r w:rsidR="002A7CF3" w:rsidRPr="002A7CF3">
        <w:t xml:space="preserve"> </w:t>
      </w:r>
    </w:p>
    <w:p w14:paraId="6156AF70" w14:textId="1D003D54" w:rsidR="003F4C6B" w:rsidRPr="002B2F25" w:rsidRDefault="002A7CF3" w:rsidP="003F4C6B">
      <w:pPr>
        <w:pStyle w:val="slovn"/>
        <w:tabs>
          <w:tab w:val="clear" w:pos="360"/>
        </w:tabs>
        <w:ind w:left="567" w:hanging="567"/>
      </w:pPr>
      <w:r>
        <w:t xml:space="preserve">Smluvní strany se dohodly, že návrh na zahájení řízení o povolení vkladu vlastnického práva k Nemovitosti podá </w:t>
      </w:r>
      <w:r>
        <w:rPr>
          <w:bCs/>
        </w:rPr>
        <w:t>Městská část Praha – Vinoř</w:t>
      </w:r>
      <w:r>
        <w:t xml:space="preserve">  nejpozději do uplynutí jednoho měsíce poté, co bude stejnopis smlouvy vrácen </w:t>
      </w:r>
      <w:r>
        <w:rPr>
          <w:bCs/>
        </w:rPr>
        <w:t>Městské části Praha – Vinoř</w:t>
      </w:r>
      <w:r>
        <w:t xml:space="preserve">  z Magistrátu hlavního města Prahy spolu se souhlasem, resp. prohlášením o věcné správnosti, s návrhem na povolení vkladu vlastnického práva z této smlouvy v souladu se zákonem o hlavním městě Praze (dle § 21 Obecně závazné vyhlášky č. 55/2000 Sb., kterou se vydává Statut Hlavního Města Prahy). Smluvní strany se dále dohodly, že </w:t>
      </w:r>
      <w:r>
        <w:rPr>
          <w:bCs/>
        </w:rPr>
        <w:t xml:space="preserve">Městská část Praha – </w:t>
      </w:r>
      <w:proofErr w:type="gramStart"/>
      <w:r>
        <w:rPr>
          <w:bCs/>
        </w:rPr>
        <w:t>Vinoř</w:t>
      </w:r>
      <w:r>
        <w:t xml:space="preserve">  informuje</w:t>
      </w:r>
      <w:proofErr w:type="gramEnd"/>
      <w:r>
        <w:t xml:space="preserve"> pana Davida Stellu o podání návrhu na vklad vlastnického práva k Předmětným nemovitostem nejpozději do 5-ti pracovních dnů ode dne podání tohoto návrhu na katastr nemovitostí. Součástí této informace bude fotokopie podaného návrhu na vklad vlastnického práva Stranou kupující s potvrzením podání z podatelny katastrálního úřadu. Do doby podání návrhu na vklad budou všechna originální vyhotovení této Smlouvy uložena u </w:t>
      </w:r>
      <w:r>
        <w:rPr>
          <w:bCs/>
        </w:rPr>
        <w:t>Městské části Praha – Vinoř</w:t>
      </w:r>
      <w:r>
        <w:t xml:space="preserve">  </w:t>
      </w:r>
    </w:p>
    <w:p w14:paraId="559540EA" w14:textId="77777777" w:rsidR="003F4C6B" w:rsidRDefault="003F4C6B" w:rsidP="003F4C6B">
      <w:pPr>
        <w:pStyle w:val="slovn"/>
        <w:tabs>
          <w:tab w:val="clear" w:pos="360"/>
        </w:tabs>
        <w:ind w:left="567" w:hanging="567"/>
      </w:pPr>
      <w:r>
        <w:t xml:space="preserve">Smluvní strany výslovně souhlasí s tím, aby tato smlouva byla vedena v evidenci MČ Praha </w:t>
      </w:r>
      <w:r w:rsidRPr="00BC75AD">
        <w:t>- Vinoř</w:t>
      </w:r>
      <w:r>
        <w:t xml:space="preserve">, která bude přístupná podle zákona č. 106/1999 Sb., o svobodném přístupu k informacím, a která obsahuje údaje o stranách, předmětu smlouvy, číselné označení smlouvy a datum jejího podpisu. </w:t>
      </w:r>
    </w:p>
    <w:p w14:paraId="59E83A0E" w14:textId="77777777" w:rsidR="003F4C6B" w:rsidRPr="003C4C2D" w:rsidRDefault="003F4C6B" w:rsidP="003F4C6B">
      <w:pPr>
        <w:pStyle w:val="slovn"/>
        <w:tabs>
          <w:tab w:val="clear" w:pos="360"/>
        </w:tabs>
        <w:ind w:left="567" w:hanging="567"/>
      </w:pPr>
      <w:r>
        <w:t xml:space="preserve">Smluvní strany berou na vědomí, že MČ Praha </w:t>
      </w:r>
      <w:r w:rsidRPr="00BC75AD">
        <w:t>- Vinoř</w:t>
      </w:r>
      <w:r>
        <w:t xml:space="preserve"> zařadí text této smlouvy do elektronické databáze smluv a do registru smluv zřízeného zákonem č. 340/2015 Sb., o zvláštních podmínkách účinnosti některých smluv, uveřejňování těchto smluv a o registru smluv (zákon o registru </w:t>
      </w:r>
      <w:r>
        <w:lastRenderedPageBreak/>
        <w:t xml:space="preserve">smluv). Smluvní strany prohlašují, že nic z obsahu této smlouvy nepovažují za důvěrné ani za obchodní tajemství. FAGUS, tímto dává dobrovolný souhlas s uveřejněním údajů týkajících se plnění povinností plynoucích z této smlouvy v příslušné databázi a s uveřejněním osobních údajů uvedených v této smlouvě v elektronické databázi smluv a v registru smluv, a to na dobu neurčitou. FAGUS prohlašuje, že byl v souladu s ustanovením § 11 zákona č. 101/2000 Sb., o ochraně osobních údajů a o změně některých zákonů, řádně informován a že jeho souhlas je svobodný a vědomý. Tato smlouva nabývá účinnosti nejdříve dnem uveřejnění v registru smluv na základě ustanovení § 6 zákona č. 340/2015 o zvláštních podmínkách účinnosti některých smluv, uveřejňování těchto smluv a o registru smluv. Smluvní strany v této souvislosti sjednávají, že uveřejnění této smlouvy v Registru smluv provede ve lhůtě 30 dnů od uzavření této smlouvy MČ </w:t>
      </w:r>
      <w:proofErr w:type="gramStart"/>
      <w:r>
        <w:t xml:space="preserve">Praha </w:t>
      </w:r>
      <w:r w:rsidRPr="00BC75AD">
        <w:t>- Vinoř</w:t>
      </w:r>
      <w:proofErr w:type="gramEnd"/>
      <w:r w:rsidRPr="003C4C2D">
        <w:t xml:space="preserve">. </w:t>
      </w:r>
    </w:p>
    <w:p w14:paraId="3D081E40" w14:textId="6B0FCEE5" w:rsidR="003F4C6B" w:rsidRPr="0057568F" w:rsidRDefault="003F4C6B" w:rsidP="003F4C6B">
      <w:pPr>
        <w:pStyle w:val="slovn"/>
        <w:tabs>
          <w:tab w:val="clear" w:pos="360"/>
        </w:tabs>
        <w:ind w:left="567" w:hanging="567"/>
      </w:pPr>
      <w:r w:rsidRPr="0057568F">
        <w:t xml:space="preserve">MČ </w:t>
      </w:r>
      <w:proofErr w:type="gramStart"/>
      <w:r w:rsidRPr="0057568F">
        <w:t>Praha - Vinoř</w:t>
      </w:r>
      <w:proofErr w:type="gramEnd"/>
      <w:r w:rsidRPr="0057568F">
        <w:t xml:space="preserve"> prohlašuje, že záměr směnit směňované nemovitosti byl dle § 36 zákona č. 131/2000 Sb. řádně zveřejněn vyvěšením na úřední desce MČ Praha - Vinoř od </w:t>
      </w:r>
      <w:r w:rsidR="0057568F" w:rsidRPr="0057568F">
        <w:t>24.01.2024</w:t>
      </w:r>
      <w:r w:rsidRPr="0057568F">
        <w:t xml:space="preserve"> do </w:t>
      </w:r>
      <w:r w:rsidR="0057568F" w:rsidRPr="0057568F">
        <w:t>8.02.2024</w:t>
      </w:r>
      <w:r w:rsidRPr="0057568F">
        <w:t xml:space="preserve"> a že směna směňovaných nemovitostí byla schválena na zasedání Zastupitelstva MČ Praha - Vinoř dne </w:t>
      </w:r>
      <w:r w:rsidR="0057568F" w:rsidRPr="0057568F">
        <w:t>22.04.2024</w:t>
      </w:r>
      <w:r w:rsidRPr="0057568F">
        <w:t xml:space="preserve"> usnesením č. </w:t>
      </w:r>
      <w:r w:rsidR="0057568F" w:rsidRPr="0057568F">
        <w:t>Z 11/269/2024.</w:t>
      </w:r>
    </w:p>
    <w:p w14:paraId="7B7D5E0E" w14:textId="77777777" w:rsidR="003F4C6B" w:rsidRPr="003C4C2D" w:rsidRDefault="003F4C6B" w:rsidP="003F4C6B">
      <w:pPr>
        <w:pStyle w:val="slovn"/>
        <w:tabs>
          <w:tab w:val="clear" w:pos="360"/>
        </w:tabs>
        <w:ind w:left="567" w:hanging="567"/>
      </w:pPr>
      <w:r w:rsidRPr="003C4C2D">
        <w:t xml:space="preserve">Tato smlouva se vyhotovuje ve </w:t>
      </w:r>
      <w:r>
        <w:t>4</w:t>
      </w:r>
      <w:r w:rsidRPr="003C4C2D">
        <w:t xml:space="preserve"> vyhotoveních, podpisy na </w:t>
      </w:r>
      <w:r>
        <w:t>jednom</w:t>
      </w:r>
      <w:r w:rsidRPr="003C4C2D">
        <w:t xml:space="preserve"> vyhotovení budou úředně ověřeny. Po jednom vyhotovení si ponechá </w:t>
      </w:r>
      <w:r>
        <w:t>FAGUS</w:t>
      </w:r>
      <w:r w:rsidRPr="003C4C2D">
        <w:t xml:space="preserve">, </w:t>
      </w:r>
      <w:r>
        <w:t xml:space="preserve">po dvou vyhotoveních si ponechá MČ Praha </w:t>
      </w:r>
      <w:r w:rsidRPr="00BC75AD">
        <w:t>- Vinoř</w:t>
      </w:r>
      <w:r>
        <w:t xml:space="preserve"> a </w:t>
      </w:r>
      <w:r w:rsidRPr="003C4C2D">
        <w:t>vyhotovení s úředně ověřenými podpisy je spolu s podepsaným návrhem na vklad do katastru nemovitostí určeno k podání na příslušný katastr nemovitostí.</w:t>
      </w:r>
    </w:p>
    <w:p w14:paraId="138E3301" w14:textId="77777777" w:rsidR="003F4C6B" w:rsidRPr="003C4C2D" w:rsidRDefault="003F4C6B" w:rsidP="003F4C6B">
      <w:pPr>
        <w:pStyle w:val="slovn"/>
        <w:tabs>
          <w:tab w:val="clear" w:pos="360"/>
        </w:tabs>
        <w:ind w:left="567" w:hanging="567"/>
        <w:rPr>
          <w:rFonts w:asciiTheme="minorHAnsi" w:hAnsiTheme="minorHAnsi"/>
        </w:rPr>
      </w:pPr>
      <w:r w:rsidRPr="003C4C2D">
        <w:rPr>
          <w:rFonts w:asciiTheme="minorHAnsi" w:hAnsiTheme="minorHAnsi"/>
        </w:rPr>
        <w:t>Nedílnou součástí této smlouvy jsou následující přílohy:</w:t>
      </w:r>
    </w:p>
    <w:p w14:paraId="514760D7" w14:textId="77777777" w:rsidR="003F4C6B" w:rsidRDefault="003F4C6B" w:rsidP="003F4C6B">
      <w:pPr>
        <w:pStyle w:val="slovn"/>
        <w:numPr>
          <w:ilvl w:val="0"/>
          <w:numId w:val="0"/>
        </w:numPr>
        <w:ind w:left="1843" w:hanging="1276"/>
      </w:pPr>
      <w:r w:rsidRPr="008B2D40">
        <w:t xml:space="preserve">Příloha č. 1 – </w:t>
      </w:r>
      <w:r w:rsidRPr="008B2D40">
        <w:tab/>
        <w:t xml:space="preserve">geometrický plán č. </w:t>
      </w:r>
      <w:r>
        <w:t>1672-184/2019</w:t>
      </w:r>
    </w:p>
    <w:p w14:paraId="414F8ED2" w14:textId="77777777" w:rsidR="002A7CF3" w:rsidRPr="008B2D40" w:rsidRDefault="002A7CF3" w:rsidP="003F4C6B">
      <w:pPr>
        <w:pStyle w:val="slovn"/>
        <w:numPr>
          <w:ilvl w:val="0"/>
          <w:numId w:val="0"/>
        </w:numPr>
        <w:ind w:left="1843" w:hanging="1276"/>
      </w:pPr>
    </w:p>
    <w:p w14:paraId="3A5AE9C7" w14:textId="77777777" w:rsidR="003F4C6B" w:rsidRPr="003C4C2D" w:rsidRDefault="003F4C6B" w:rsidP="003F4C6B">
      <w:pPr>
        <w:pStyle w:val="Podpis"/>
        <w:rPr>
          <w:rFonts w:ascii="Calibri" w:hAnsi="Calibri"/>
          <w:kern w:val="2"/>
          <w:sz w:val="22"/>
          <w:szCs w:val="22"/>
        </w:rPr>
      </w:pPr>
    </w:p>
    <w:tbl>
      <w:tblPr>
        <w:tblW w:w="0" w:type="auto"/>
        <w:jc w:val="center"/>
        <w:tblLook w:val="04A0" w:firstRow="1" w:lastRow="0" w:firstColumn="1" w:lastColumn="0" w:noHBand="0" w:noVBand="1"/>
      </w:tblPr>
      <w:tblGrid>
        <w:gridCol w:w="4536"/>
        <w:gridCol w:w="4536"/>
      </w:tblGrid>
      <w:tr w:rsidR="003F4C6B" w:rsidRPr="003C4C2D" w14:paraId="61F0DF39" w14:textId="77777777" w:rsidTr="003069FC">
        <w:trPr>
          <w:jc w:val="center"/>
        </w:trPr>
        <w:tc>
          <w:tcPr>
            <w:tcW w:w="4644" w:type="dxa"/>
          </w:tcPr>
          <w:p w14:paraId="4CC750AF" w14:textId="068A87EF" w:rsidR="003F4C6B" w:rsidRPr="003C4C2D" w:rsidRDefault="003F4C6B" w:rsidP="003069FC">
            <w:pPr>
              <w:jc w:val="center"/>
              <w:rPr>
                <w:rFonts w:ascii="Calibri" w:hAnsi="Calibri"/>
                <w:sz w:val="22"/>
                <w:szCs w:val="22"/>
              </w:rPr>
            </w:pPr>
            <w:r w:rsidRPr="003C4C2D">
              <w:rPr>
                <w:rFonts w:ascii="Calibri" w:hAnsi="Calibri"/>
                <w:sz w:val="22"/>
                <w:szCs w:val="22"/>
              </w:rPr>
              <w:t>V </w:t>
            </w:r>
            <w:r>
              <w:rPr>
                <w:rFonts w:ascii="Calibri" w:hAnsi="Calibri"/>
                <w:sz w:val="22"/>
                <w:szCs w:val="22"/>
              </w:rPr>
              <w:t>Praze</w:t>
            </w:r>
            <w:r w:rsidRPr="003C4C2D">
              <w:rPr>
                <w:rFonts w:ascii="Calibri" w:hAnsi="Calibri"/>
                <w:sz w:val="22"/>
                <w:szCs w:val="22"/>
              </w:rPr>
              <w:t xml:space="preserve"> dne _______</w:t>
            </w:r>
          </w:p>
        </w:tc>
        <w:tc>
          <w:tcPr>
            <w:tcW w:w="4644" w:type="dxa"/>
          </w:tcPr>
          <w:p w14:paraId="156F17CD" w14:textId="056B7595" w:rsidR="003F4C6B" w:rsidRPr="003C4C2D" w:rsidRDefault="003F4C6B" w:rsidP="003069FC">
            <w:pPr>
              <w:jc w:val="center"/>
              <w:rPr>
                <w:rFonts w:ascii="Calibri" w:hAnsi="Calibri"/>
                <w:sz w:val="22"/>
                <w:szCs w:val="22"/>
              </w:rPr>
            </w:pPr>
            <w:r w:rsidRPr="003C4C2D">
              <w:rPr>
                <w:rFonts w:ascii="Calibri" w:hAnsi="Calibri"/>
                <w:sz w:val="22"/>
                <w:szCs w:val="22"/>
              </w:rPr>
              <w:t>V </w:t>
            </w:r>
            <w:r>
              <w:rPr>
                <w:rFonts w:ascii="Calibri" w:hAnsi="Calibri"/>
                <w:sz w:val="22"/>
                <w:szCs w:val="22"/>
              </w:rPr>
              <w:t>Praze</w:t>
            </w:r>
            <w:r w:rsidRPr="003C4C2D">
              <w:rPr>
                <w:rFonts w:ascii="Calibri" w:hAnsi="Calibri"/>
                <w:sz w:val="22"/>
                <w:szCs w:val="22"/>
              </w:rPr>
              <w:t xml:space="preserve"> dne _______</w:t>
            </w:r>
          </w:p>
        </w:tc>
      </w:tr>
      <w:tr w:rsidR="003F4C6B" w:rsidRPr="003C4C2D" w14:paraId="1B100EAB" w14:textId="77777777" w:rsidTr="003069FC">
        <w:trPr>
          <w:jc w:val="center"/>
        </w:trPr>
        <w:tc>
          <w:tcPr>
            <w:tcW w:w="4644" w:type="dxa"/>
          </w:tcPr>
          <w:p w14:paraId="70B0800C" w14:textId="77777777" w:rsidR="003F4C6B" w:rsidRPr="003C4C2D" w:rsidRDefault="003F4C6B" w:rsidP="003069FC">
            <w:pPr>
              <w:jc w:val="center"/>
              <w:rPr>
                <w:rFonts w:ascii="Calibri" w:hAnsi="Calibri"/>
                <w:sz w:val="22"/>
                <w:szCs w:val="22"/>
              </w:rPr>
            </w:pPr>
          </w:p>
          <w:p w14:paraId="3E2D2D3E" w14:textId="77777777" w:rsidR="003F4C6B" w:rsidRPr="003C4C2D" w:rsidRDefault="003F4C6B" w:rsidP="003069FC">
            <w:pPr>
              <w:jc w:val="center"/>
              <w:rPr>
                <w:rFonts w:ascii="Calibri" w:hAnsi="Calibri"/>
                <w:sz w:val="22"/>
                <w:szCs w:val="22"/>
              </w:rPr>
            </w:pPr>
          </w:p>
          <w:p w14:paraId="662D781E" w14:textId="77777777" w:rsidR="003F4C6B" w:rsidRPr="003C4C2D" w:rsidRDefault="003F4C6B" w:rsidP="003069FC">
            <w:pPr>
              <w:jc w:val="center"/>
              <w:rPr>
                <w:rFonts w:ascii="Calibri" w:hAnsi="Calibri"/>
                <w:sz w:val="22"/>
                <w:szCs w:val="22"/>
              </w:rPr>
            </w:pPr>
            <w:r w:rsidRPr="003C4C2D">
              <w:rPr>
                <w:rFonts w:ascii="Calibri" w:hAnsi="Calibri"/>
                <w:sz w:val="22"/>
                <w:szCs w:val="22"/>
              </w:rPr>
              <w:t>_______________________</w:t>
            </w:r>
          </w:p>
        </w:tc>
        <w:tc>
          <w:tcPr>
            <w:tcW w:w="4644" w:type="dxa"/>
          </w:tcPr>
          <w:p w14:paraId="7965F382" w14:textId="77777777" w:rsidR="003F4C6B" w:rsidRPr="003C4C2D" w:rsidRDefault="003F4C6B" w:rsidP="003069FC">
            <w:pPr>
              <w:jc w:val="center"/>
              <w:rPr>
                <w:rFonts w:ascii="Calibri" w:hAnsi="Calibri"/>
                <w:sz w:val="22"/>
                <w:szCs w:val="22"/>
              </w:rPr>
            </w:pPr>
          </w:p>
          <w:p w14:paraId="573BAF8C" w14:textId="77777777" w:rsidR="003F4C6B" w:rsidRPr="003C4C2D" w:rsidRDefault="003F4C6B" w:rsidP="003069FC">
            <w:pPr>
              <w:jc w:val="center"/>
              <w:rPr>
                <w:rFonts w:ascii="Calibri" w:hAnsi="Calibri"/>
                <w:sz w:val="22"/>
                <w:szCs w:val="22"/>
              </w:rPr>
            </w:pPr>
          </w:p>
          <w:p w14:paraId="27CA684D" w14:textId="77777777" w:rsidR="003F4C6B" w:rsidRPr="003C4C2D" w:rsidRDefault="003F4C6B" w:rsidP="003069FC">
            <w:pPr>
              <w:jc w:val="center"/>
              <w:rPr>
                <w:rFonts w:ascii="Calibri" w:hAnsi="Calibri"/>
                <w:sz w:val="22"/>
                <w:szCs w:val="22"/>
              </w:rPr>
            </w:pPr>
            <w:r w:rsidRPr="003C4C2D">
              <w:rPr>
                <w:rFonts w:ascii="Calibri" w:hAnsi="Calibri"/>
                <w:sz w:val="22"/>
                <w:szCs w:val="22"/>
              </w:rPr>
              <w:t>_______________________</w:t>
            </w:r>
          </w:p>
        </w:tc>
      </w:tr>
      <w:tr w:rsidR="003F4C6B" w:rsidRPr="003C4C2D" w14:paraId="5F7D99F6" w14:textId="77777777" w:rsidTr="003069FC">
        <w:trPr>
          <w:trHeight w:val="80"/>
          <w:jc w:val="center"/>
        </w:trPr>
        <w:tc>
          <w:tcPr>
            <w:tcW w:w="4644" w:type="dxa"/>
          </w:tcPr>
          <w:p w14:paraId="520F6E8B" w14:textId="77777777" w:rsidR="003F4C6B" w:rsidRDefault="003F4C6B" w:rsidP="003069FC">
            <w:pPr>
              <w:jc w:val="center"/>
              <w:rPr>
                <w:rFonts w:ascii="Calibri" w:hAnsi="Calibri"/>
                <w:sz w:val="22"/>
                <w:szCs w:val="22"/>
              </w:rPr>
            </w:pPr>
            <w:r w:rsidRPr="009B4CFC">
              <w:rPr>
                <w:rFonts w:ascii="Calibri" w:hAnsi="Calibri"/>
                <w:sz w:val="22"/>
                <w:szCs w:val="22"/>
              </w:rPr>
              <w:t xml:space="preserve">Městská část Praha </w:t>
            </w:r>
            <w:r>
              <w:rPr>
                <w:rFonts w:ascii="Calibri" w:hAnsi="Calibri"/>
                <w:sz w:val="22"/>
                <w:szCs w:val="22"/>
              </w:rPr>
              <w:t>- Vinoř</w:t>
            </w:r>
          </w:p>
          <w:p w14:paraId="35109BB8" w14:textId="77777777" w:rsidR="003F4C6B" w:rsidRPr="003C4C2D" w:rsidRDefault="003F4C6B" w:rsidP="003069FC">
            <w:pPr>
              <w:jc w:val="center"/>
              <w:rPr>
                <w:rFonts w:ascii="Calibri" w:hAnsi="Calibri"/>
                <w:sz w:val="22"/>
                <w:szCs w:val="22"/>
              </w:rPr>
            </w:pPr>
            <w:r>
              <w:rPr>
                <w:rFonts w:ascii="Calibri" w:eastAsia="Calibri" w:hAnsi="Calibri"/>
                <w:sz w:val="22"/>
                <w:szCs w:val="22"/>
                <w:lang w:eastAsia="en-US"/>
              </w:rPr>
              <w:t>Ing. Michal Biskup</w:t>
            </w:r>
            <w:r w:rsidRPr="003C4C2D">
              <w:rPr>
                <w:rFonts w:ascii="Calibri" w:eastAsia="Calibri" w:hAnsi="Calibri"/>
                <w:sz w:val="22"/>
                <w:szCs w:val="22"/>
                <w:lang w:eastAsia="en-US"/>
              </w:rPr>
              <w:t>, starosta</w:t>
            </w:r>
          </w:p>
        </w:tc>
        <w:tc>
          <w:tcPr>
            <w:tcW w:w="4644" w:type="dxa"/>
          </w:tcPr>
          <w:p w14:paraId="5932B7C9" w14:textId="77777777" w:rsidR="003F4C6B" w:rsidRDefault="003F4C6B" w:rsidP="003069FC">
            <w:pPr>
              <w:jc w:val="center"/>
              <w:rPr>
                <w:rFonts w:ascii="Calibri" w:hAnsi="Calibri"/>
                <w:sz w:val="22"/>
                <w:szCs w:val="22"/>
              </w:rPr>
            </w:pPr>
            <w:r w:rsidRPr="009B4CFC">
              <w:rPr>
                <w:rFonts w:ascii="Calibri" w:hAnsi="Calibri"/>
                <w:sz w:val="22"/>
                <w:szCs w:val="22"/>
              </w:rPr>
              <w:t>FAGUS spol. s r.o.</w:t>
            </w:r>
          </w:p>
          <w:p w14:paraId="09C180FA" w14:textId="77777777" w:rsidR="003F4C6B" w:rsidRPr="003C4C2D" w:rsidRDefault="003F4C6B" w:rsidP="003069FC">
            <w:pPr>
              <w:jc w:val="center"/>
              <w:rPr>
                <w:rFonts w:ascii="Calibri" w:hAnsi="Calibri"/>
                <w:sz w:val="22"/>
                <w:szCs w:val="22"/>
              </w:rPr>
            </w:pPr>
            <w:r>
              <w:rPr>
                <w:rFonts w:ascii="Calibri" w:hAnsi="Calibri"/>
                <w:sz w:val="22"/>
                <w:szCs w:val="22"/>
              </w:rPr>
              <w:t xml:space="preserve">Ing. Jaroslav </w:t>
            </w:r>
            <w:proofErr w:type="spellStart"/>
            <w:r>
              <w:rPr>
                <w:rFonts w:ascii="Calibri" w:hAnsi="Calibri"/>
                <w:sz w:val="22"/>
                <w:szCs w:val="22"/>
              </w:rPr>
              <w:t>Řimnáč</w:t>
            </w:r>
            <w:proofErr w:type="spellEnd"/>
            <w:r>
              <w:rPr>
                <w:rFonts w:ascii="Calibri" w:hAnsi="Calibri"/>
                <w:sz w:val="22"/>
                <w:szCs w:val="22"/>
              </w:rPr>
              <w:t>, jednatel</w:t>
            </w:r>
          </w:p>
        </w:tc>
      </w:tr>
    </w:tbl>
    <w:p w14:paraId="2754ECC9" w14:textId="77777777" w:rsidR="003F4C6B" w:rsidRDefault="003F4C6B"/>
    <w:sectPr w:rsidR="003F4C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C82CC5"/>
    <w:multiLevelType w:val="multilevel"/>
    <w:tmpl w:val="12EA182C"/>
    <w:lvl w:ilvl="0">
      <w:start w:val="1"/>
      <w:numFmt w:val="upperRoman"/>
      <w:pStyle w:val="lnekslovn"/>
      <w:lvlText w:val="%1."/>
      <w:lvlJc w:val="left"/>
      <w:pPr>
        <w:tabs>
          <w:tab w:val="num" w:pos="4254"/>
        </w:tabs>
        <w:ind w:left="3970" w:firstLine="0"/>
      </w:pPr>
      <w:rPr>
        <w:rFonts w:ascii="Calibri" w:hAnsi="Calibri"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slovn"/>
      <w:isLgl/>
      <w:lvlText w:val="%1.%2"/>
      <w:lvlJc w:val="left"/>
      <w:pPr>
        <w:ind w:left="567" w:hanging="567"/>
      </w:pPr>
      <w:rPr>
        <w:rFonts w:hint="default"/>
      </w:rPr>
    </w:lvl>
    <w:lvl w:ilvl="2">
      <w:start w:val="1"/>
      <w:numFmt w:val="decimal"/>
      <w:isLgl/>
      <w:lvlText w:val="%1.%2.%3"/>
      <w:lvlJc w:val="left"/>
      <w:pPr>
        <w:ind w:left="1134" w:hanging="566"/>
      </w:pPr>
      <w:rPr>
        <w:rFonts w:hint="default"/>
      </w:rPr>
    </w:lvl>
    <w:lvl w:ilvl="3">
      <w:start w:val="1"/>
      <w:numFmt w:val="lowerLetter"/>
      <w:lvlText w:val="(%4)"/>
      <w:lvlJc w:val="left"/>
      <w:pPr>
        <w:ind w:left="1418" w:hanging="284"/>
      </w:pPr>
      <w:rPr>
        <w:rFonts w:hint="default"/>
      </w:rPr>
    </w:lvl>
    <w:lvl w:ilvl="4">
      <w:start w:val="1"/>
      <w:numFmt w:val="lowerRoman"/>
      <w:lvlText w:val="(%5)"/>
      <w:lvlJc w:val="left"/>
      <w:pPr>
        <w:ind w:left="1701" w:hanging="283"/>
      </w:pPr>
      <w:rPr>
        <w:rFonts w:hint="default"/>
      </w:rPr>
    </w:lvl>
    <w:lvl w:ilvl="5">
      <w:start w:val="1"/>
      <w:numFmt w:val="bullet"/>
      <w:lvlText w:val=""/>
      <w:lvlJc w:val="left"/>
      <w:pPr>
        <w:ind w:left="1420" w:firstLine="0"/>
      </w:pPr>
      <w:rPr>
        <w:rFonts w:ascii="Symbol" w:hAnsi="Symbol" w:hint="default"/>
        <w:color w:val="auto"/>
      </w:rPr>
    </w:lvl>
    <w:lvl w:ilvl="6">
      <w:start w:val="1"/>
      <w:numFmt w:val="decimal"/>
      <w:lvlText w:val="%7."/>
      <w:lvlJc w:val="left"/>
      <w:pPr>
        <w:ind w:left="1704" w:firstLine="0"/>
      </w:pPr>
      <w:rPr>
        <w:rFonts w:hint="default"/>
      </w:rPr>
    </w:lvl>
    <w:lvl w:ilvl="7">
      <w:start w:val="1"/>
      <w:numFmt w:val="lowerLetter"/>
      <w:lvlText w:val="%8."/>
      <w:lvlJc w:val="left"/>
      <w:pPr>
        <w:ind w:left="1988" w:firstLine="0"/>
      </w:pPr>
      <w:rPr>
        <w:rFonts w:hint="default"/>
      </w:rPr>
    </w:lvl>
    <w:lvl w:ilvl="8">
      <w:start w:val="1"/>
      <w:numFmt w:val="lowerRoman"/>
      <w:lvlText w:val="%9."/>
      <w:lvlJc w:val="left"/>
      <w:pPr>
        <w:ind w:left="2272" w:firstLine="0"/>
      </w:pPr>
      <w:rPr>
        <w:rFonts w:hint="default"/>
      </w:rPr>
    </w:lvl>
  </w:abstractNum>
  <w:abstractNum w:abstractNumId="1" w15:restartNumberingAfterBreak="0">
    <w:nsid w:val="3C9F64B2"/>
    <w:multiLevelType w:val="multilevel"/>
    <w:tmpl w:val="8CB0A798"/>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num w:numId="1" w16cid:durableId="286862116">
    <w:abstractNumId w:val="0"/>
  </w:num>
  <w:num w:numId="2" w16cid:durableId="12965648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C6B"/>
    <w:rsid w:val="002A7CF3"/>
    <w:rsid w:val="003F4C6B"/>
    <w:rsid w:val="0057568F"/>
    <w:rsid w:val="005A07B7"/>
    <w:rsid w:val="006F38A8"/>
    <w:rsid w:val="00B3734D"/>
    <w:rsid w:val="00D54D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D2322"/>
  <w15:chartTrackingRefBased/>
  <w15:docId w15:val="{437F96BC-75E7-44ED-9E39-17EA433A6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F4C6B"/>
    <w:pPr>
      <w:spacing w:after="0" w:line="240" w:lineRule="auto"/>
    </w:pPr>
    <w:rPr>
      <w:rFonts w:ascii="Times New Roman" w:eastAsia="Times New Roman" w:hAnsi="Times New Roman"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pis">
    <w:name w:val="Signature"/>
    <w:basedOn w:val="Normln"/>
    <w:link w:val="PodpisChar"/>
    <w:rsid w:val="003F4C6B"/>
    <w:pPr>
      <w:tabs>
        <w:tab w:val="center" w:pos="2268"/>
        <w:tab w:val="center" w:pos="6804"/>
      </w:tabs>
    </w:pPr>
    <w:rPr>
      <w:sz w:val="20"/>
      <w:szCs w:val="20"/>
    </w:rPr>
  </w:style>
  <w:style w:type="character" w:customStyle="1" w:styleId="PodpisChar">
    <w:name w:val="Podpis Char"/>
    <w:basedOn w:val="Standardnpsmoodstavce"/>
    <w:link w:val="Podpis"/>
    <w:rsid w:val="003F4C6B"/>
    <w:rPr>
      <w:rFonts w:ascii="Times New Roman" w:eastAsia="Times New Roman" w:hAnsi="Times New Roman" w:cs="Times New Roman"/>
      <w:kern w:val="0"/>
      <w:sz w:val="20"/>
      <w:szCs w:val="20"/>
      <w:lang w:eastAsia="cs-CZ"/>
      <w14:ligatures w14:val="none"/>
    </w:rPr>
  </w:style>
  <w:style w:type="paragraph" w:customStyle="1" w:styleId="slovn">
    <w:name w:val="Číslování"/>
    <w:basedOn w:val="Odstavecseseznamem"/>
    <w:qFormat/>
    <w:rsid w:val="003F4C6B"/>
    <w:pPr>
      <w:numPr>
        <w:ilvl w:val="1"/>
        <w:numId w:val="1"/>
      </w:numPr>
      <w:tabs>
        <w:tab w:val="num" w:pos="360"/>
      </w:tabs>
      <w:spacing w:after="120"/>
      <w:ind w:left="720" w:firstLine="0"/>
      <w:contextualSpacing w:val="0"/>
      <w:jc w:val="both"/>
    </w:pPr>
    <w:rPr>
      <w:rFonts w:ascii="Calibri" w:eastAsia="Calibri" w:hAnsi="Calibri"/>
      <w:sz w:val="22"/>
      <w:szCs w:val="22"/>
      <w:lang w:eastAsia="en-US"/>
    </w:rPr>
  </w:style>
  <w:style w:type="paragraph" w:customStyle="1" w:styleId="lnekslovn">
    <w:name w:val="Článek číslování"/>
    <w:next w:val="slovn"/>
    <w:qFormat/>
    <w:rsid w:val="003F4C6B"/>
    <w:pPr>
      <w:numPr>
        <w:numId w:val="1"/>
      </w:numPr>
      <w:tabs>
        <w:tab w:val="clear" w:pos="4254"/>
        <w:tab w:val="num" w:pos="567"/>
      </w:tabs>
      <w:spacing w:before="360" w:after="120" w:line="240" w:lineRule="auto"/>
      <w:ind w:left="0"/>
      <w:jc w:val="center"/>
    </w:pPr>
    <w:rPr>
      <w:rFonts w:ascii="Calibri" w:eastAsia="Calibri" w:hAnsi="Calibri" w:cs="Times New Roman"/>
      <w:b/>
      <w:kern w:val="0"/>
      <w14:ligatures w14:val="none"/>
    </w:rPr>
  </w:style>
  <w:style w:type="paragraph" w:customStyle="1" w:styleId="Default">
    <w:name w:val="Default"/>
    <w:rsid w:val="003F4C6B"/>
    <w:pPr>
      <w:widowControl w:val="0"/>
      <w:autoSpaceDE w:val="0"/>
      <w:autoSpaceDN w:val="0"/>
      <w:adjustRightInd w:val="0"/>
      <w:spacing w:after="0" w:line="240" w:lineRule="auto"/>
    </w:pPr>
    <w:rPr>
      <w:rFonts w:ascii="Arial" w:eastAsiaTheme="minorEastAsia" w:hAnsi="Arial" w:cs="Arial"/>
      <w:color w:val="000000"/>
      <w:kern w:val="0"/>
      <w:sz w:val="24"/>
      <w:szCs w:val="24"/>
      <w:lang w:eastAsia="cs-CZ"/>
      <w14:ligatures w14:val="none"/>
    </w:rPr>
  </w:style>
  <w:style w:type="paragraph" w:styleId="Odstavecseseznamem">
    <w:name w:val="List Paragraph"/>
    <w:basedOn w:val="Normln"/>
    <w:uiPriority w:val="34"/>
    <w:qFormat/>
    <w:rsid w:val="003F4C6B"/>
    <w:pPr>
      <w:ind w:left="720"/>
      <w:contextualSpacing/>
    </w:pPr>
  </w:style>
  <w:style w:type="paragraph" w:customStyle="1" w:styleId="Tlotextu">
    <w:name w:val="Tělo textu"/>
    <w:basedOn w:val="Normln"/>
    <w:rsid w:val="002A7CF3"/>
    <w:pPr>
      <w:suppressAutoHyphens/>
      <w:spacing w:line="288" w:lineRule="auto"/>
      <w:jc w:val="center"/>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211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1582</Words>
  <Characters>9337</Characters>
  <Application>Microsoft Office Word</Application>
  <DocSecurity>4</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Oswald</dc:creator>
  <cp:keywords/>
  <dc:description/>
  <cp:lastModifiedBy>Jiří Oswald</cp:lastModifiedBy>
  <cp:revision>2</cp:revision>
  <cp:lastPrinted>2024-04-30T06:39:00Z</cp:lastPrinted>
  <dcterms:created xsi:type="dcterms:W3CDTF">2024-05-28T07:50:00Z</dcterms:created>
  <dcterms:modified xsi:type="dcterms:W3CDTF">2024-05-28T07:50:00Z</dcterms:modified>
</cp:coreProperties>
</file>