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1B" w:rsidRDefault="003275C2" w:rsidP="007523FC">
      <w:pPr>
        <w:rPr>
          <w:rFonts w:ascii="Times New Roman" w:hAnsi="Times New Roman"/>
          <w:b/>
          <w:color w:val="000000"/>
          <w:spacing w:val="2"/>
          <w:sz w:val="26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614.55pt;width:405pt;height:8.1pt;z-index:-251658752;mso-wrap-distance-left:0;mso-wrap-distance-right:0" filled="f" stroked="f">
            <v:textbox inset="0,0,0,0">
              <w:txbxContent>
                <w:p w:rsidR="00346F1B" w:rsidRDefault="003275C2">
                  <w:pPr>
                    <w:spacing w:line="189" w:lineRule="auto"/>
                    <w:ind w:left="3744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2"/>
          <w:sz w:val="26"/>
          <w:lang w:val="cs-CZ"/>
        </w:rPr>
        <w:t>Regionální muzeum ve Vysokém Mýtě</w:t>
      </w:r>
    </w:p>
    <w:p w:rsidR="00346F1B" w:rsidRDefault="007523FC" w:rsidP="007523FC">
      <w:pPr>
        <w:ind w:right="3672"/>
        <w:rPr>
          <w:rFonts w:ascii="Times New Roman" w:hAnsi="Times New Roman"/>
          <w:b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 xml:space="preserve">A. </w:t>
      </w:r>
      <w:r w:rsidR="003275C2">
        <w:rPr>
          <w:rFonts w:ascii="Times New Roman" w:hAnsi="Times New Roman"/>
          <w:b/>
          <w:color w:val="000000"/>
          <w:spacing w:val="-4"/>
          <w:sz w:val="18"/>
          <w:lang w:val="cs-CZ"/>
        </w:rPr>
        <w:t xml:space="preserve">V. </w:t>
      </w: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Š</w:t>
      </w:r>
      <w:r w:rsidR="003275C2">
        <w:rPr>
          <w:rFonts w:ascii="Times New Roman" w:hAnsi="Times New Roman"/>
          <w:b/>
          <w:color w:val="000000"/>
          <w:spacing w:val="-4"/>
          <w:sz w:val="18"/>
          <w:lang w:val="cs-CZ"/>
        </w:rPr>
        <w:t xml:space="preserve">embery 125, 566 01 Vysoké Mýto, IC 00 372 331, </w:t>
      </w: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z</w:t>
      </w:r>
      <w:r w:rsidR="003275C2">
        <w:rPr>
          <w:rFonts w:ascii="Times New Roman" w:hAnsi="Times New Roman"/>
          <w:color w:val="000000"/>
          <w:spacing w:val="1"/>
          <w:sz w:val="18"/>
          <w:lang w:val="cs-CZ"/>
        </w:rPr>
        <w:t>astoupené Mgr. Jiřím Junkem, ředitelem</w:t>
      </w:r>
    </w:p>
    <w:p w:rsidR="00346F1B" w:rsidRDefault="003275C2">
      <w:pPr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(</w:t>
      </w:r>
      <w:r>
        <w:rPr>
          <w:rFonts w:ascii="Times New Roman" w:hAnsi="Times New Roman"/>
          <w:color w:val="000000"/>
          <w:sz w:val="18"/>
          <w:lang w:val="cs-CZ"/>
        </w:rPr>
        <w:t xml:space="preserve">dále jen </w:t>
      </w:r>
      <w:r>
        <w:rPr>
          <w:rFonts w:ascii="Times New Roman" w:hAnsi="Times New Roman"/>
          <w:b/>
          <w:color w:val="000000"/>
          <w:sz w:val="18"/>
          <w:lang w:val="cs-CZ"/>
        </w:rPr>
        <w:t>„vlastník")</w:t>
      </w:r>
    </w:p>
    <w:p w:rsidR="00346F1B" w:rsidRDefault="003275C2">
      <w:pPr>
        <w:spacing w:before="612"/>
        <w:rPr>
          <w:rFonts w:ascii="Times New Roman" w:hAnsi="Times New Roman"/>
          <w:b/>
          <w:color w:val="000000"/>
          <w:spacing w:val="4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6"/>
          <w:lang w:val="cs-CZ"/>
        </w:rPr>
        <w:t xml:space="preserve">Městské muzeum </w:t>
      </w:r>
      <w:r w:rsidR="007523FC">
        <w:rPr>
          <w:rFonts w:ascii="Times New Roman" w:hAnsi="Times New Roman"/>
          <w:b/>
          <w:color w:val="000000"/>
          <w:spacing w:val="4"/>
          <w:sz w:val="26"/>
          <w:lang w:val="cs-CZ"/>
        </w:rPr>
        <w:t>Ža</w:t>
      </w:r>
      <w:r>
        <w:rPr>
          <w:rFonts w:ascii="Times New Roman" w:hAnsi="Times New Roman"/>
          <w:b/>
          <w:color w:val="000000"/>
          <w:spacing w:val="4"/>
          <w:sz w:val="26"/>
          <w:lang w:val="cs-CZ"/>
        </w:rPr>
        <w:t>mberk</w:t>
      </w:r>
    </w:p>
    <w:p w:rsidR="00346F1B" w:rsidRDefault="003275C2">
      <w:pPr>
        <w:ind w:right="4320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 xml:space="preserve">Čs. armády 472, 564 01 Žamberk, IC 72068264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>„dočasný správce"),</w:t>
      </w:r>
    </w:p>
    <w:p w:rsidR="00346F1B" w:rsidRDefault="003275C2">
      <w:pPr>
        <w:spacing w:line="268" w:lineRule="auto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zastoupený Mgr. Jindřichem Ž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ákem, ředitelem</w:t>
      </w:r>
    </w:p>
    <w:p w:rsidR="00346F1B" w:rsidRDefault="003275C2">
      <w:pPr>
        <w:spacing w:before="432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uzavírají níže uvedeného dne, měsíce a roku tuto</w:t>
      </w:r>
    </w:p>
    <w:p w:rsidR="00346F1B" w:rsidRDefault="003275C2">
      <w:pPr>
        <w:spacing w:before="216"/>
        <w:jc w:val="center"/>
        <w:rPr>
          <w:rFonts w:ascii="Times New Roman" w:hAnsi="Times New Roman"/>
          <w:b/>
          <w:color w:val="000000"/>
          <w:spacing w:val="8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6"/>
          <w:lang w:val="cs-CZ"/>
        </w:rPr>
        <w:t>VÝPŮJČNÍ SMLOUVU č. 9/2024</w:t>
      </w:r>
    </w:p>
    <w:p w:rsidR="00346F1B" w:rsidRDefault="003275C2">
      <w:pPr>
        <w:spacing w:before="216"/>
        <w:rPr>
          <w:rFonts w:ascii="Times New Roman" w:hAnsi="Times New Roman"/>
          <w:b/>
          <w:color w:val="000000"/>
          <w:spacing w:val="4"/>
          <w:sz w:val="18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18"/>
          <w:u w:val="single"/>
          <w:lang w:val="cs-CZ"/>
        </w:rPr>
        <w:t>I. Předmět a účel výpůjčky</w:t>
      </w:r>
    </w:p>
    <w:p w:rsidR="00346F1B" w:rsidRDefault="003275C2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Vlastník přenechává k bezplatnému dočasnému užívání dočasnému správci předměty uvedené v </w:t>
      </w:r>
      <w:proofErr w:type="gramStart"/>
      <w:r>
        <w:rPr>
          <w:rFonts w:ascii="Times New Roman" w:hAnsi="Times New Roman"/>
          <w:color w:val="000000"/>
          <w:spacing w:val="1"/>
          <w:sz w:val="18"/>
          <w:lang w:val="cs-CZ"/>
        </w:rPr>
        <w:t>čl. I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./2. </w:t>
      </w:r>
      <w:r>
        <w:rPr>
          <w:rFonts w:ascii="Times New Roman" w:hAnsi="Times New Roman"/>
          <w:color w:val="000000"/>
          <w:sz w:val="18"/>
          <w:lang w:val="cs-CZ"/>
        </w:rPr>
        <w:t>této</w:t>
      </w:r>
      <w:proofErr w:type="gramEnd"/>
      <w:r>
        <w:rPr>
          <w:rFonts w:ascii="Times New Roman" w:hAnsi="Times New Roman"/>
          <w:color w:val="000000"/>
          <w:sz w:val="18"/>
          <w:lang w:val="cs-CZ"/>
        </w:rPr>
        <w:t xml:space="preserve"> smlouvy, a dočasný správce nabývá právo užívat tyto předměty způ</w:t>
      </w:r>
      <w:r w:rsidR="007523FC">
        <w:rPr>
          <w:rFonts w:ascii="Times New Roman" w:hAnsi="Times New Roman"/>
          <w:color w:val="000000"/>
          <w:sz w:val="18"/>
          <w:lang w:val="cs-CZ"/>
        </w:rPr>
        <w:t>s</w:t>
      </w:r>
      <w:r>
        <w:rPr>
          <w:rFonts w:ascii="Times New Roman" w:hAnsi="Times New Roman"/>
          <w:color w:val="000000"/>
          <w:sz w:val="18"/>
          <w:lang w:val="cs-CZ"/>
        </w:rPr>
        <w:t>obem ujednaným v této smlouvě.</w:t>
      </w:r>
    </w:p>
    <w:p w:rsidR="00346F1B" w:rsidRDefault="003275C2">
      <w:pPr>
        <w:numPr>
          <w:ilvl w:val="0"/>
          <w:numId w:val="1"/>
        </w:numPr>
        <w:tabs>
          <w:tab w:val="clear" w:pos="360"/>
          <w:tab w:val="decimal" w:pos="432"/>
        </w:tabs>
        <w:spacing w:before="180"/>
        <w:ind w:left="432" w:hanging="360"/>
        <w:rPr>
          <w:rFonts w:ascii="Times New Roman" w:hAnsi="Times New Roman"/>
          <w:color w:val="000000"/>
          <w:spacing w:val="4"/>
          <w:sz w:val="18"/>
          <w:lang w:val="cs-CZ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Vlastník předává dočasnému správci předměty uvedené v bodě </w:t>
      </w:r>
      <w:r w:rsidR="007523FC">
        <w:rPr>
          <w:rFonts w:ascii="Times New Roman" w:hAnsi="Times New Roman"/>
          <w:color w:val="000000"/>
          <w:spacing w:val="4"/>
          <w:sz w:val="18"/>
          <w:lang w:val="cs-CZ"/>
        </w:rPr>
        <w:t>I</w:t>
      </w:r>
      <w:r>
        <w:rPr>
          <w:rFonts w:ascii="Times New Roman" w:hAnsi="Times New Roman"/>
          <w:color w:val="000000"/>
          <w:spacing w:val="4"/>
          <w:sz w:val="18"/>
          <w:lang w:val="cs-CZ"/>
        </w:rPr>
        <w:t>/2 za účelem: studijní</w:t>
      </w:r>
    </w:p>
    <w:p w:rsidR="00346F1B" w:rsidRDefault="003275C2">
      <w:pPr>
        <w:spacing w:before="108" w:line="273" w:lineRule="auto"/>
        <w:ind w:left="288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- </w:t>
      </w:r>
      <w:proofErr w:type="spellStart"/>
      <w:r w:rsidR="007523FC">
        <w:rPr>
          <w:rFonts w:ascii="Times New Roman" w:hAnsi="Times New Roman"/>
          <w:color w:val="000000"/>
          <w:spacing w:val="2"/>
          <w:sz w:val="18"/>
          <w:lang w:val="cs-CZ"/>
        </w:rPr>
        <w:t>in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v</w:t>
      </w:r>
      <w:proofErr w:type="spellEnd"/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.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č. 658 mamutí stolička, Vysoké Mýto, cihelna u nádraží</w:t>
      </w:r>
    </w:p>
    <w:p w:rsidR="00346F1B" w:rsidRDefault="007523FC" w:rsidP="007523FC">
      <w:pPr>
        <w:tabs>
          <w:tab w:val="decimal" w:pos="216"/>
          <w:tab w:val="decimal" w:pos="504"/>
        </w:tabs>
        <w:rPr>
          <w:rFonts w:ascii="Times New Roman" w:hAnsi="Times New Roman"/>
          <w:color w:val="0104B6"/>
          <w:spacing w:val="1"/>
          <w:sz w:val="16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1"/>
          <w:sz w:val="18"/>
          <w:lang w:val="cs-CZ"/>
        </w:rPr>
        <w:tab/>
        <w:t xml:space="preserve">  - </w:t>
      </w:r>
      <w:proofErr w:type="spellStart"/>
      <w:r w:rsidR="003275C2"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 w:rsidR="003275C2">
        <w:rPr>
          <w:rFonts w:ascii="Times New Roman" w:hAnsi="Times New Roman"/>
          <w:color w:val="000000"/>
          <w:spacing w:val="1"/>
          <w:sz w:val="18"/>
          <w:lang w:val="cs-CZ"/>
        </w:rPr>
        <w:t xml:space="preserve">. č. 8996 3x </w:t>
      </w:r>
      <w:proofErr w:type="spellStart"/>
      <w:r w:rsidR="003275C2">
        <w:rPr>
          <w:rFonts w:ascii="Times New Roman" w:hAnsi="Times New Roman"/>
          <w:color w:val="000000"/>
          <w:spacing w:val="1"/>
          <w:sz w:val="18"/>
          <w:lang w:val="cs-CZ"/>
        </w:rPr>
        <w:t>mladopaleolitická</w:t>
      </w:r>
      <w:proofErr w:type="spellEnd"/>
      <w:r w:rsidR="003275C2">
        <w:rPr>
          <w:rFonts w:ascii="Times New Roman" w:hAnsi="Times New Roman"/>
          <w:color w:val="000000"/>
          <w:spacing w:val="1"/>
          <w:sz w:val="18"/>
          <w:lang w:val="cs-CZ"/>
        </w:rPr>
        <w:t xml:space="preserve"> štípaná industrie ze Zářecké Lhoty (2 čepele, jedno jádro)</w:t>
      </w:r>
    </w:p>
    <w:p w:rsidR="00346F1B" w:rsidRDefault="007523FC" w:rsidP="007523FC">
      <w:pPr>
        <w:tabs>
          <w:tab w:val="decimal" w:pos="288"/>
          <w:tab w:val="decimal" w:pos="576"/>
        </w:tabs>
        <w:spacing w:line="211" w:lineRule="auto"/>
        <w:ind w:left="288"/>
        <w:rPr>
          <w:rFonts w:ascii="Times New Roman" w:hAnsi="Times New Roman"/>
          <w:color w:val="000000"/>
          <w:spacing w:val="5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ab/>
        <w:t xml:space="preserve">  -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</w:t>
      </w:r>
      <w:r w:rsidR="003275C2">
        <w:rPr>
          <w:rFonts w:ascii="Times New Roman" w:hAnsi="Times New Roman"/>
          <w:color w:val="000000"/>
          <w:spacing w:val="5"/>
          <w:sz w:val="18"/>
          <w:lang w:val="cs-CZ"/>
        </w:rPr>
        <w:t xml:space="preserve"> č. 7 neolitická teslic z Vysokého Mýta a okolí</w:t>
      </w:r>
    </w:p>
    <w:p w:rsidR="00346F1B" w:rsidRDefault="003275C2">
      <w:pPr>
        <w:ind w:left="288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>-</w:t>
      </w:r>
      <w:r w:rsidR="007523FC">
        <w:rPr>
          <w:rFonts w:ascii="Times New Roman" w:hAnsi="Times New Roman"/>
          <w:color w:val="0104B6"/>
          <w:spacing w:val="3"/>
          <w:sz w:val="16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.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č. 2 vrtaný </w:t>
      </w:r>
      <w:proofErr w:type="spellStart"/>
      <w:r>
        <w:rPr>
          <w:rFonts w:ascii="Times New Roman" w:hAnsi="Times New Roman"/>
          <w:color w:val="000000"/>
          <w:spacing w:val="3"/>
          <w:sz w:val="18"/>
          <w:lang w:val="cs-CZ"/>
        </w:rPr>
        <w:t>kopytovitý</w:t>
      </w:r>
      <w:proofErr w:type="spellEnd"/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 neolitický sekeromlat z Vysokého Mýta a okolí</w:t>
      </w:r>
    </w:p>
    <w:p w:rsidR="00346F1B" w:rsidRDefault="007523FC" w:rsidP="007523FC">
      <w:pPr>
        <w:tabs>
          <w:tab w:val="decimal" w:pos="216"/>
          <w:tab w:val="decimal" w:pos="504"/>
        </w:tabs>
        <w:rPr>
          <w:rFonts w:ascii="Times New Roman" w:hAnsi="Times New Roman"/>
          <w:color w:val="020728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ab/>
        <w:t xml:space="preserve">       -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 č</w:t>
      </w:r>
      <w:r w:rsidR="003275C2">
        <w:rPr>
          <w:rFonts w:ascii="Times New Roman" w:hAnsi="Times New Roman"/>
          <w:color w:val="000000"/>
          <w:spacing w:val="2"/>
          <w:sz w:val="18"/>
          <w:lang w:val="cs-CZ"/>
        </w:rPr>
        <w:t xml:space="preserve">. 4558 2x štípaná industrie </w:t>
      </w:r>
      <w:proofErr w:type="spellStart"/>
      <w:r w:rsidR="003275C2">
        <w:rPr>
          <w:rFonts w:ascii="Times New Roman" w:hAnsi="Times New Roman"/>
          <w:color w:val="000000"/>
          <w:spacing w:val="2"/>
          <w:sz w:val="18"/>
          <w:lang w:val="cs-CZ"/>
        </w:rPr>
        <w:t>jordanovské</w:t>
      </w:r>
      <w:proofErr w:type="spellEnd"/>
      <w:r w:rsidR="003275C2">
        <w:rPr>
          <w:rFonts w:ascii="Times New Roman" w:hAnsi="Times New Roman"/>
          <w:color w:val="000000"/>
          <w:spacing w:val="2"/>
          <w:sz w:val="18"/>
          <w:lang w:val="cs-CZ"/>
        </w:rPr>
        <w:t xml:space="preserve"> kultury z Vysokého Mýta, ulice Vřesová, záchranný </w:t>
      </w:r>
      <w:r w:rsidR="003275C2">
        <w:rPr>
          <w:rFonts w:ascii="Times New Roman" w:hAnsi="Times New Roman"/>
          <w:color w:val="000000"/>
          <w:sz w:val="18"/>
          <w:lang w:val="cs-CZ"/>
        </w:rPr>
        <w:t>výzkum při stavbě RD</w:t>
      </w:r>
    </w:p>
    <w:p w:rsidR="00346F1B" w:rsidRDefault="003275C2">
      <w:pPr>
        <w:numPr>
          <w:ilvl w:val="0"/>
          <w:numId w:val="4"/>
        </w:numPr>
        <w:tabs>
          <w:tab w:val="clear" w:pos="216"/>
          <w:tab w:val="decimal" w:pos="504"/>
        </w:tabs>
        <w:ind w:left="576" w:hanging="288"/>
        <w:rPr>
          <w:rFonts w:ascii="Times New Roman" w:hAnsi="Times New Roman"/>
          <w:color w:val="000000"/>
          <w:spacing w:val="2"/>
          <w:sz w:val="18"/>
          <w:vertAlign w:val="subscript"/>
          <w:lang w:val="cs-CZ"/>
        </w:rPr>
      </w:pP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 9163 miska/poklička </w:t>
      </w:r>
      <w:proofErr w:type="spellStart"/>
      <w:r>
        <w:rPr>
          <w:rFonts w:ascii="Times New Roman" w:hAnsi="Times New Roman"/>
          <w:color w:val="000000"/>
          <w:spacing w:val="2"/>
          <w:sz w:val="18"/>
          <w:lang w:val="cs-CZ"/>
        </w:rPr>
        <w:t>jordanovské</w:t>
      </w:r>
      <w:proofErr w:type="spellEnd"/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 kultury, záchranný výzkum při stavbě infrastruktury ve </w:t>
      </w:r>
      <w:r>
        <w:rPr>
          <w:rFonts w:ascii="Times New Roman" w:hAnsi="Times New Roman"/>
          <w:color w:val="000000"/>
          <w:sz w:val="18"/>
          <w:lang w:val="cs-CZ"/>
        </w:rPr>
        <w:t>Vysokém Mýtě, za pivovarem</w:t>
      </w:r>
    </w:p>
    <w:p w:rsidR="00346F1B" w:rsidRDefault="003275C2">
      <w:pPr>
        <w:numPr>
          <w:ilvl w:val="0"/>
          <w:numId w:val="4"/>
        </w:numPr>
        <w:tabs>
          <w:tab w:val="clear" w:pos="216"/>
          <w:tab w:val="decimal" w:pos="504"/>
        </w:tabs>
        <w:ind w:left="576" w:hanging="288"/>
        <w:rPr>
          <w:rFonts w:ascii="Times New Roman" w:hAnsi="Times New Roman"/>
          <w:color w:val="000000"/>
          <w:spacing w:val="4"/>
          <w:sz w:val="18"/>
          <w:lang w:val="cs-CZ"/>
        </w:rPr>
      </w:pP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 6818 měděná </w:t>
      </w:r>
      <w:proofErr w:type="spellStart"/>
      <w:r>
        <w:rPr>
          <w:rFonts w:ascii="Times New Roman" w:hAnsi="Times New Roman"/>
          <w:color w:val="000000"/>
          <w:spacing w:val="4"/>
          <w:sz w:val="18"/>
          <w:lang w:val="cs-CZ"/>
        </w:rPr>
        <w:t>eneolitická</w:t>
      </w:r>
      <w:proofErr w:type="spellEnd"/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 sekera z Chotovic</w:t>
      </w:r>
    </w:p>
    <w:p w:rsidR="00346F1B" w:rsidRDefault="003275C2">
      <w:pPr>
        <w:ind w:left="288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 8311 bronzový hrot kopí z Vraclavi (doba bronzová)</w:t>
      </w:r>
    </w:p>
    <w:p w:rsidR="00346F1B" w:rsidRDefault="003275C2">
      <w:pPr>
        <w:spacing w:line="285" w:lineRule="auto"/>
        <w:ind w:left="288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 4768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bronzový hr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ot kopí z hradiště v Zářecké Lhotě (doba bronzová)</w:t>
      </w:r>
    </w:p>
    <w:p w:rsidR="00346F1B" w:rsidRDefault="003275C2">
      <w:pPr>
        <w:numPr>
          <w:ilvl w:val="0"/>
          <w:numId w:val="4"/>
        </w:numPr>
        <w:tabs>
          <w:tab w:val="clear" w:pos="216"/>
          <w:tab w:val="decimal" w:pos="504"/>
        </w:tabs>
        <w:ind w:left="288"/>
        <w:rPr>
          <w:rFonts w:ascii="Times New Roman" w:hAnsi="Times New Roman"/>
          <w:color w:val="000000"/>
          <w:spacing w:val="3"/>
          <w:sz w:val="18"/>
          <w:lang w:val="cs-CZ"/>
        </w:rPr>
      </w:pP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.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8312 čepel dýky ze střední doby bronzoví z Vraclavi</w:t>
      </w:r>
    </w:p>
    <w:p w:rsidR="00346F1B" w:rsidRDefault="003275C2">
      <w:pPr>
        <w:ind w:left="288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>-</w:t>
      </w:r>
      <w:r>
        <w:rPr>
          <w:rFonts w:ascii="Times New Roman" w:hAnsi="Times New Roman"/>
          <w:color w:val="0104B6"/>
          <w:spacing w:val="3"/>
          <w:sz w:val="16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.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19 nádobka z hrobu v Třebechovicích (pozdní doba bronzová)</w:t>
      </w:r>
    </w:p>
    <w:p w:rsidR="00346F1B" w:rsidRDefault="003275C2">
      <w:pPr>
        <w:ind w:left="288"/>
        <w:rPr>
          <w:rFonts w:ascii="Times New Roman" w:hAnsi="Times New Roman"/>
          <w:color w:val="000000"/>
          <w:spacing w:val="4"/>
          <w:sz w:val="18"/>
          <w:lang w:val="cs-CZ"/>
        </w:rPr>
      </w:pPr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4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4"/>
          <w:sz w:val="18"/>
          <w:lang w:val="cs-CZ"/>
        </w:rPr>
        <w:t>. č. 20 nádobka z hrobu v Třebechovicích (pozdní doba bronzová)</w:t>
      </w:r>
    </w:p>
    <w:p w:rsidR="00346F1B" w:rsidRDefault="003275C2">
      <w:pPr>
        <w:numPr>
          <w:ilvl w:val="0"/>
          <w:numId w:val="5"/>
        </w:numPr>
        <w:tabs>
          <w:tab w:val="clear" w:pos="216"/>
          <w:tab w:val="decimal" w:pos="504"/>
        </w:tabs>
        <w:spacing w:line="206" w:lineRule="auto"/>
        <w:ind w:left="576" w:hanging="288"/>
        <w:rPr>
          <w:rFonts w:ascii="Times New Roman" w:hAnsi="Times New Roman"/>
          <w:color w:val="0A1897"/>
          <w:w w:val="75"/>
          <w:sz w:val="33"/>
          <w:lang w:val="cs-CZ"/>
        </w:rPr>
      </w:pPr>
      <w:proofErr w:type="spellStart"/>
      <w:r>
        <w:rPr>
          <w:rFonts w:ascii="Times New Roman" w:hAnsi="Times New Roman"/>
          <w:color w:val="000000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 xml:space="preserve">. č. 5829-5832 depot z konce mladší doby bronzové (šálek typu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Fuchsstadt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>, srp, dva spirálovité náramky typu Kosmonosy)</w:t>
      </w:r>
    </w:p>
    <w:p w:rsidR="00346F1B" w:rsidRDefault="003275C2">
      <w:pPr>
        <w:spacing w:before="36" w:line="271" w:lineRule="auto"/>
        <w:ind w:left="288"/>
        <w:rPr>
          <w:rFonts w:ascii="Times New Roman" w:hAnsi="Times New Roman"/>
          <w:color w:val="000000"/>
          <w:spacing w:val="4"/>
          <w:sz w:val="18"/>
          <w:lang w:val="cs-CZ"/>
        </w:rPr>
      </w:pPr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4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. č. 5293 náramek ze střední doby bronzové z Lukavice u </w:t>
      </w:r>
      <w:proofErr w:type="spellStart"/>
      <w:r>
        <w:rPr>
          <w:rFonts w:ascii="Times New Roman" w:hAnsi="Times New Roman"/>
          <w:color w:val="000000"/>
          <w:spacing w:val="4"/>
          <w:sz w:val="18"/>
          <w:lang w:val="cs-CZ"/>
        </w:rPr>
        <w:t>Žamberka</w:t>
      </w:r>
      <w:proofErr w:type="spellEnd"/>
    </w:p>
    <w:p w:rsidR="00346F1B" w:rsidRDefault="003275C2">
      <w:pPr>
        <w:spacing w:line="266" w:lineRule="auto"/>
        <w:ind w:left="288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2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.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č. 9484 silně omleté torzo sekery z Kameničné u </w:t>
      </w:r>
      <w:proofErr w:type="spellStart"/>
      <w:r>
        <w:rPr>
          <w:rFonts w:ascii="Times New Roman" w:hAnsi="Times New Roman"/>
          <w:color w:val="000000"/>
          <w:spacing w:val="2"/>
          <w:sz w:val="18"/>
          <w:lang w:val="cs-CZ"/>
        </w:rPr>
        <w:t>Žamberka</w:t>
      </w:r>
      <w:proofErr w:type="spellEnd"/>
    </w:p>
    <w:p w:rsidR="003275C2" w:rsidRDefault="003275C2">
      <w:pPr>
        <w:ind w:left="288" w:right="720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.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9722 jehlice typu </w:t>
      </w:r>
      <w:proofErr w:type="spellStart"/>
      <w:r>
        <w:rPr>
          <w:rFonts w:ascii="Times New Roman" w:hAnsi="Times New Roman"/>
          <w:color w:val="000000"/>
          <w:spacing w:val="2"/>
          <w:sz w:val="18"/>
          <w:lang w:val="cs-CZ"/>
        </w:rPr>
        <w:t>Gutenbrunn</w:t>
      </w:r>
      <w:proofErr w:type="spellEnd"/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 z přelomu střední a mladší doby bronzové z </w:t>
      </w:r>
      <w:proofErr w:type="spellStart"/>
      <w:r>
        <w:rPr>
          <w:rFonts w:ascii="Times New Roman" w:hAnsi="Times New Roman"/>
          <w:color w:val="000000"/>
          <w:spacing w:val="2"/>
          <w:sz w:val="18"/>
          <w:lang w:val="cs-CZ"/>
        </w:rPr>
        <w:t>Lanšperka</w:t>
      </w:r>
      <w:proofErr w:type="spellEnd"/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–</w:t>
      </w:r>
    </w:p>
    <w:p w:rsidR="00346F1B" w:rsidRDefault="003275C2">
      <w:pPr>
        <w:ind w:left="288" w:right="720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 10 048 bronzový srp z </w:t>
      </w:r>
      <w:proofErr w:type="spellStart"/>
      <w:r>
        <w:rPr>
          <w:rFonts w:ascii="Times New Roman" w:hAnsi="Times New Roman"/>
          <w:color w:val="000000"/>
          <w:spacing w:val="3"/>
          <w:sz w:val="18"/>
          <w:lang w:val="cs-CZ"/>
        </w:rPr>
        <w:t>Lanšperka</w:t>
      </w:r>
      <w:proofErr w:type="spellEnd"/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3"/>
          <w:sz w:val="18"/>
          <w:lang w:val="cs-CZ"/>
        </w:rPr>
        <w:t>mladší-pozdní</w:t>
      </w:r>
      <w:proofErr w:type="spellEnd"/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 doba bronzová)</w:t>
      </w:r>
    </w:p>
    <w:p w:rsidR="00346F1B" w:rsidRDefault="003275C2">
      <w:pPr>
        <w:numPr>
          <w:ilvl w:val="0"/>
          <w:numId w:val="4"/>
        </w:numPr>
        <w:tabs>
          <w:tab w:val="clear" w:pos="216"/>
          <w:tab w:val="decimal" w:pos="504"/>
        </w:tabs>
        <w:ind w:left="288"/>
        <w:rPr>
          <w:rFonts w:ascii="Times New Roman" w:hAnsi="Times New Roman"/>
          <w:color w:val="000000"/>
          <w:sz w:val="18"/>
          <w:vertAlign w:val="subscript"/>
          <w:lang w:val="cs-CZ"/>
        </w:rPr>
      </w:pP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inv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. č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. </w:t>
      </w:r>
      <w:r>
        <w:rPr>
          <w:rFonts w:ascii="Times New Roman" w:hAnsi="Times New Roman"/>
          <w:color w:val="000000"/>
          <w:sz w:val="18"/>
          <w:lang w:val="cs-CZ"/>
        </w:rPr>
        <w:t>10 049 bronzová sekera ze střední doby bronzové z Helvíkovic</w:t>
      </w:r>
    </w:p>
    <w:p w:rsidR="00346F1B" w:rsidRDefault="003275C2">
      <w:pPr>
        <w:spacing w:before="216"/>
        <w:ind w:left="288" w:hanging="28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3. Účastníci prohlašují ve shodě, že uvedené předměty jsou způsobilé k fyzickému předání za výše uvedeným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účelem. Jejich stav je oběma stranám znám a je dobrý.</w:t>
      </w:r>
    </w:p>
    <w:p w:rsidR="00346F1B" w:rsidRDefault="003275C2">
      <w:pPr>
        <w:spacing w:before="288"/>
        <w:rPr>
          <w:rFonts w:ascii="Times New Roman" w:hAnsi="Times New Roman"/>
          <w:b/>
          <w:color w:val="000000"/>
          <w:spacing w:val="4"/>
          <w:sz w:val="18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18"/>
          <w:u w:val="single"/>
          <w:lang w:val="cs-CZ"/>
        </w:rPr>
        <w:t xml:space="preserve">II. </w:t>
      </w:r>
      <w:r w:rsidRPr="007523FC">
        <w:rPr>
          <w:rFonts w:ascii="Times New Roman" w:hAnsi="Times New Roman"/>
          <w:b/>
          <w:color w:val="000000"/>
          <w:spacing w:val="4"/>
          <w:sz w:val="18"/>
          <w:szCs w:val="18"/>
          <w:u w:val="single"/>
          <w:lang w:val="cs-CZ"/>
        </w:rPr>
        <w:t xml:space="preserve">Doba, na kterou jsou </w:t>
      </w:r>
      <w:r w:rsidRPr="007523FC">
        <w:rPr>
          <w:rFonts w:ascii="Times New Roman" w:hAnsi="Times New Roman"/>
          <w:b/>
          <w:color w:val="000000"/>
          <w:spacing w:val="4"/>
          <w:sz w:val="18"/>
          <w:szCs w:val="18"/>
          <w:u w:val="single"/>
          <w:lang w:val="cs-CZ"/>
        </w:rPr>
        <w:t>předmět</w:t>
      </w:r>
      <w:r w:rsidRPr="007523FC">
        <w:rPr>
          <w:rFonts w:ascii="Times New Roman" w:hAnsi="Times New Roman"/>
          <w:b/>
          <w:color w:val="000000"/>
          <w:spacing w:val="4"/>
          <w:sz w:val="18"/>
          <w:szCs w:val="18"/>
          <w:u w:val="single"/>
          <w:lang w:val="cs-CZ"/>
        </w:rPr>
        <w:t xml:space="preserve">y </w:t>
      </w:r>
      <w:r w:rsidR="007523FC" w:rsidRPr="007523FC">
        <w:rPr>
          <w:rFonts w:ascii="Times New Roman" w:hAnsi="Times New Roman"/>
          <w:b/>
          <w:color w:val="000000"/>
          <w:spacing w:val="4"/>
          <w:sz w:val="18"/>
          <w:szCs w:val="18"/>
          <w:u w:val="single"/>
          <w:lang w:val="cs-CZ"/>
        </w:rPr>
        <w:t>vypůjčený</w:t>
      </w:r>
      <w:r>
        <w:rPr>
          <w:rFonts w:ascii="Times New Roman" w:hAnsi="Times New Roman"/>
          <w:b/>
          <w:color w:val="000000"/>
          <w:spacing w:val="4"/>
          <w:sz w:val="16"/>
          <w:u w:val="single"/>
          <w:vertAlign w:val="superscript"/>
          <w:lang w:val="cs-CZ"/>
        </w:rPr>
        <w:t xml:space="preserve"> </w:t>
      </w:r>
    </w:p>
    <w:p w:rsidR="00346F1B" w:rsidRDefault="003275C2">
      <w:pPr>
        <w:rPr>
          <w:rFonts w:ascii="Times New Roman" w:hAnsi="Times New Roman"/>
          <w:color w:val="000000"/>
          <w:spacing w:val="10"/>
          <w:sz w:val="18"/>
          <w:lang w:val="cs-CZ"/>
        </w:rPr>
      </w:pPr>
      <w:r>
        <w:rPr>
          <w:rFonts w:ascii="Times New Roman" w:hAnsi="Times New Roman"/>
          <w:color w:val="000000"/>
          <w:spacing w:val="10"/>
          <w:sz w:val="18"/>
          <w:lang w:val="cs-CZ"/>
        </w:rPr>
        <w:t>1. Předměty, které jsou předmětem této smlouvy, byly předány dnešního dne dočasnému správci</w:t>
      </w:r>
    </w:p>
    <w:sectPr w:rsidR="00346F1B">
      <w:pgSz w:w="10176" w:h="14016"/>
      <w:pgMar w:top="836" w:right="971" w:bottom="559" w:left="104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0374"/>
    <w:multiLevelType w:val="multilevel"/>
    <w:tmpl w:val="3EC43ED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A1897"/>
        <w:spacing w:val="0"/>
        <w:w w:val="75"/>
        <w:sz w:val="3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05AF7"/>
    <w:multiLevelType w:val="multilevel"/>
    <w:tmpl w:val="E612E1D8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5609B1"/>
    <w:multiLevelType w:val="multilevel"/>
    <w:tmpl w:val="E2440C6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20728"/>
        <w:spacing w:val="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E96E28"/>
    <w:multiLevelType w:val="multilevel"/>
    <w:tmpl w:val="7182EAB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4767A3"/>
    <w:multiLevelType w:val="multilevel"/>
    <w:tmpl w:val="659C713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104B6"/>
        <w:spacing w:val="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F1B"/>
    <w:rsid w:val="003275C2"/>
    <w:rsid w:val="00346F1B"/>
    <w:rsid w:val="0075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8BF66C"/>
  <w15:docId w15:val="{5F232CB6-01EA-4F9B-A38B-D4FF646E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2024-06-11T08:07:00Z</dcterms:created>
  <dcterms:modified xsi:type="dcterms:W3CDTF">2024-06-11T12:46:00Z</dcterms:modified>
</cp:coreProperties>
</file>