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E656" w14:textId="0991282C" w:rsidR="003538AA" w:rsidRDefault="003538AA" w:rsidP="00865FD0">
      <w:pPr>
        <w:pStyle w:val="Nzevdokumentu"/>
        <w:tabs>
          <w:tab w:val="left" w:pos="1785"/>
        </w:tabs>
      </w:pPr>
    </w:p>
    <w:p w14:paraId="101BCFC0" w14:textId="77777777" w:rsidR="00474451" w:rsidRDefault="00474451" w:rsidP="003D6880">
      <w:pPr>
        <w:pStyle w:val="Nzevdokumentu"/>
      </w:pPr>
    </w:p>
    <w:p w14:paraId="2F0A97D0" w14:textId="77777777" w:rsidR="006A7843" w:rsidRDefault="006A7843" w:rsidP="003D6880">
      <w:pPr>
        <w:pStyle w:val="Nzevdokumentu"/>
      </w:pPr>
    </w:p>
    <w:p w14:paraId="4E0595AD" w14:textId="04FD6B46" w:rsidR="0027139E" w:rsidRPr="00A20235" w:rsidRDefault="00694ED0" w:rsidP="003D6880">
      <w:pPr>
        <w:pStyle w:val="Nzevdokumentu"/>
      </w:pPr>
      <w:r>
        <w:t>PŘÍLOHA K NABÍDCE</w:t>
      </w:r>
    </w:p>
    <w:p w14:paraId="1CCCB770" w14:textId="77777777" w:rsidR="00E42DEA" w:rsidRPr="00E42DEA" w:rsidRDefault="00E42DEA" w:rsidP="00E42DEA">
      <w:pPr>
        <w:rPr>
          <w:rFonts w:ascii="Arial" w:hAnsi="Arial"/>
          <w:b/>
          <w:bCs/>
          <w:sz w:val="40"/>
          <w:szCs w:val="40"/>
        </w:rPr>
      </w:pPr>
      <w:r w:rsidRPr="00E42DEA">
        <w:rPr>
          <w:rFonts w:ascii="Arial" w:hAnsi="Arial"/>
          <w:b/>
          <w:bCs/>
          <w:sz w:val="40"/>
          <w:szCs w:val="40"/>
        </w:rPr>
        <w:t>Peroutkova, rek. komunikace, P5, č. akce 999033</w:t>
      </w:r>
    </w:p>
    <w:p w14:paraId="74A6058C" w14:textId="77777777" w:rsidR="00E42DEA" w:rsidRPr="00E42DEA" w:rsidRDefault="00E42DEA" w:rsidP="00E42DEA">
      <w:pPr>
        <w:rPr>
          <w:rFonts w:ascii="Arial" w:hAnsi="Arial"/>
          <w:b/>
          <w:bCs/>
          <w:sz w:val="40"/>
          <w:szCs w:val="40"/>
        </w:rPr>
      </w:pPr>
      <w:r w:rsidRPr="00E42DEA">
        <w:rPr>
          <w:rFonts w:ascii="Arial" w:hAnsi="Arial"/>
          <w:b/>
          <w:bCs/>
          <w:sz w:val="40"/>
          <w:szCs w:val="40"/>
        </w:rPr>
        <w:t>+</w:t>
      </w:r>
    </w:p>
    <w:p w14:paraId="10F8E190" w14:textId="551BCF38" w:rsidR="00BB4299" w:rsidRDefault="00E42DEA" w:rsidP="00E42DEA">
      <w:r w:rsidRPr="00E42DEA">
        <w:rPr>
          <w:rFonts w:ascii="Arial" w:hAnsi="Arial"/>
          <w:b/>
          <w:bCs/>
          <w:sz w:val="40"/>
          <w:szCs w:val="40"/>
        </w:rPr>
        <w:t>Obnova vodovodního řadu, ul. Peroutkova, P5 (1/4T10/00)</w:t>
      </w:r>
    </w:p>
    <w:p w14:paraId="16511189" w14:textId="77777777" w:rsidR="00641693" w:rsidRDefault="00641693" w:rsidP="00641693"/>
    <w:p w14:paraId="3F1A7150" w14:textId="77777777" w:rsidR="00641693" w:rsidRDefault="00641693" w:rsidP="00641693"/>
    <w:p w14:paraId="7479DAE8" w14:textId="77777777" w:rsidR="00641693" w:rsidRDefault="00641693" w:rsidP="00641693"/>
    <w:p w14:paraId="01CFF61D" w14:textId="77777777" w:rsidR="00641693" w:rsidRDefault="00641693" w:rsidP="00641693"/>
    <w:p w14:paraId="22216584" w14:textId="77777777" w:rsidR="00641693" w:rsidRDefault="00641693" w:rsidP="00641693"/>
    <w:p w14:paraId="76404E85" w14:textId="77777777" w:rsidR="00641693" w:rsidRDefault="00641693" w:rsidP="00641693"/>
    <w:p w14:paraId="1C1145CC" w14:textId="77777777" w:rsidR="00641693" w:rsidRDefault="00641693" w:rsidP="00641693"/>
    <w:p w14:paraId="5DAF51CA" w14:textId="77777777" w:rsidR="00641693" w:rsidRDefault="00641693" w:rsidP="00641693"/>
    <w:p w14:paraId="29E19271" w14:textId="77777777" w:rsidR="00641693" w:rsidRDefault="00641693" w:rsidP="00641693"/>
    <w:p w14:paraId="4DBBCDA5" w14:textId="77777777" w:rsidR="00641693" w:rsidRDefault="00641693" w:rsidP="00641693"/>
    <w:p w14:paraId="32584291" w14:textId="77777777" w:rsidR="00DE6D30" w:rsidRDefault="00DE6D30" w:rsidP="00DE6D30"/>
    <w:p w14:paraId="477C8CFA" w14:textId="5D0F6310" w:rsidR="00641693" w:rsidRPr="00A20235" w:rsidRDefault="00641693" w:rsidP="00DE6D30">
      <w:pPr>
        <w:sectPr w:rsidR="00641693" w:rsidRPr="00A20235" w:rsidSect="00B65950">
          <w:footerReference w:type="default" r:id="rId11"/>
          <w:headerReference w:type="first" r:id="rId12"/>
          <w:footerReference w:type="first" r:id="rId13"/>
          <w:pgSz w:w="11906" w:h="16838" w:code="9"/>
          <w:pgMar w:top="1417" w:right="1417" w:bottom="1417" w:left="1417" w:header="709" w:footer="709" w:gutter="0"/>
          <w:cols w:space="708"/>
          <w:titlePg/>
          <w:docGrid w:linePitch="360"/>
        </w:sectPr>
      </w:pPr>
    </w:p>
    <w:tbl>
      <w:tblPr>
        <w:tblW w:w="9072" w:type="dxa"/>
        <w:jc w:val="center"/>
        <w:tblBorders>
          <w:insideH w:val="single" w:sz="4" w:space="0" w:color="C26161"/>
          <w:insideV w:val="single" w:sz="4" w:space="0" w:color="C26161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268"/>
        <w:gridCol w:w="960"/>
        <w:gridCol w:w="5669"/>
        <w:gridCol w:w="175"/>
      </w:tblGrid>
      <w:tr w:rsidR="00502C09" w:rsidRPr="007B0823" w14:paraId="39A6426E" w14:textId="77777777" w:rsidTr="00B44865">
        <w:trPr>
          <w:trHeight w:val="20"/>
          <w:tblHeader/>
          <w:jc w:val="center"/>
        </w:trPr>
        <w:tc>
          <w:tcPr>
            <w:tcW w:w="2268" w:type="dxa"/>
            <w:shd w:val="clear" w:color="auto" w:fill="E7E6E6" w:themeFill="background2"/>
            <w:vAlign w:val="center"/>
          </w:tcPr>
          <w:p w14:paraId="6D740D55" w14:textId="5E20C49A" w:rsidR="00502C09" w:rsidRPr="007B0823" w:rsidRDefault="00502C09" w:rsidP="00502C09">
            <w:pPr>
              <w:pStyle w:val="Tab"/>
              <w:rPr>
                <w:b/>
                <w:bCs/>
                <w:szCs w:val="20"/>
              </w:rPr>
            </w:pPr>
            <w:r w:rsidRPr="007B0823">
              <w:rPr>
                <w:b/>
                <w:bCs/>
                <w:szCs w:val="20"/>
              </w:rPr>
              <w:lastRenderedPageBreak/>
              <w:t>Název</w:t>
            </w:r>
            <w:r w:rsidR="0071363B" w:rsidRPr="007A117B">
              <w:rPr>
                <w:rStyle w:val="Znakapoznpodarou"/>
                <w:szCs w:val="20"/>
              </w:rPr>
              <w:footnoteReference w:id="2"/>
            </w:r>
          </w:p>
        </w:tc>
        <w:tc>
          <w:tcPr>
            <w:tcW w:w="960" w:type="dxa"/>
            <w:shd w:val="clear" w:color="auto" w:fill="E7E6E6" w:themeFill="background2"/>
            <w:vAlign w:val="center"/>
          </w:tcPr>
          <w:p w14:paraId="18305EB5" w14:textId="4EABF2E6" w:rsidR="00502C09" w:rsidRPr="007B0823" w:rsidRDefault="00502C09" w:rsidP="00502C09">
            <w:pPr>
              <w:pStyle w:val="Tab"/>
              <w:rPr>
                <w:b/>
                <w:bCs/>
                <w:szCs w:val="20"/>
              </w:rPr>
            </w:pPr>
            <w:r w:rsidRPr="007B0823">
              <w:rPr>
                <w:b/>
                <w:bCs/>
                <w:szCs w:val="20"/>
              </w:rPr>
              <w:t>Číslo</w:t>
            </w:r>
            <w:r w:rsidR="0071363B" w:rsidRPr="007A117B">
              <w:rPr>
                <w:rStyle w:val="Znakapoznpodarou"/>
                <w:szCs w:val="20"/>
              </w:rPr>
              <w:footnoteReference w:id="3"/>
            </w:r>
          </w:p>
        </w:tc>
        <w:tc>
          <w:tcPr>
            <w:tcW w:w="5844" w:type="dxa"/>
            <w:gridSpan w:val="2"/>
            <w:shd w:val="clear" w:color="auto" w:fill="E7E6E6" w:themeFill="background2"/>
            <w:tcMar>
              <w:right w:w="0" w:type="dxa"/>
            </w:tcMar>
            <w:vAlign w:val="center"/>
          </w:tcPr>
          <w:p w14:paraId="12AE0944" w14:textId="7693E6B1" w:rsidR="00502C09" w:rsidRPr="007B0823" w:rsidRDefault="0071363B" w:rsidP="00502C09">
            <w:pPr>
              <w:pStyle w:val="Tab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Údaje</w:t>
            </w:r>
            <w:r w:rsidRPr="007A117B">
              <w:rPr>
                <w:rStyle w:val="Znakapoznpodarou"/>
                <w:szCs w:val="20"/>
              </w:rPr>
              <w:footnoteReference w:id="4"/>
            </w:r>
          </w:p>
        </w:tc>
      </w:tr>
      <w:tr w:rsidR="00EF1A72" w:rsidRPr="00502C09" w14:paraId="5C84D4BC" w14:textId="77777777" w:rsidTr="00B44865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403513F0" w14:textId="7C8231AE" w:rsidR="00EF1A72" w:rsidRPr="00502C09" w:rsidRDefault="00EF1A72" w:rsidP="00502C09">
            <w:pPr>
              <w:pStyle w:val="Tab"/>
            </w:pPr>
            <w:r>
              <w:t>Dopis o přijetí nabídky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F4AC789" w14:textId="60D2D8A6" w:rsidR="00EF1A72" w:rsidRPr="00502C09" w:rsidRDefault="00EF1A72" w:rsidP="00502C09">
            <w:pPr>
              <w:pStyle w:val="Tab"/>
            </w:pPr>
            <w:r>
              <w:t>1.1.1.3</w:t>
            </w:r>
          </w:p>
        </w:tc>
        <w:tc>
          <w:tcPr>
            <w:tcW w:w="5844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02D5BB73" w14:textId="13C8DC43" w:rsidR="00EF1A72" w:rsidRPr="00A137C4" w:rsidRDefault="00C34A65" w:rsidP="2682BA85">
            <w:pPr>
              <w:pStyle w:val="Tab"/>
              <w:rPr>
                <w:highlight w:val="lightGray"/>
              </w:rPr>
            </w:pPr>
            <w:r>
              <w:t>N</w:t>
            </w:r>
            <w:r w:rsidR="00E02236" w:rsidRPr="00E02236">
              <w:t>eexistuje</w:t>
            </w:r>
            <w:r w:rsidR="00D833CD">
              <w:t>, použije se Smlouva o dílo</w:t>
            </w:r>
            <w:r>
              <w:t>.</w:t>
            </w:r>
          </w:p>
        </w:tc>
      </w:tr>
      <w:tr w:rsidR="00502C09" w:rsidRPr="00502C09" w14:paraId="2AC903C6" w14:textId="77777777" w:rsidTr="00B44865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1FE96344" w14:textId="2D34EFFE" w:rsidR="00502C09" w:rsidRPr="00982A2C" w:rsidRDefault="00502C09" w:rsidP="00502C09">
            <w:pPr>
              <w:pStyle w:val="Tab"/>
            </w:pPr>
            <w:r w:rsidRPr="00982A2C">
              <w:t>Správce</w:t>
            </w:r>
            <w:r w:rsidR="00010355" w:rsidRPr="00982A2C">
              <w:t> </w:t>
            </w:r>
            <w:r w:rsidRPr="00982A2C">
              <w:t>stavby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791FC39" w14:textId="0B6EA856" w:rsidR="00502C09" w:rsidRPr="00982A2C" w:rsidRDefault="00502C09" w:rsidP="00502C09">
            <w:pPr>
              <w:pStyle w:val="Tab"/>
            </w:pPr>
            <w:r w:rsidRPr="00982A2C">
              <w:t>1.</w:t>
            </w:r>
            <w:r w:rsidR="002B11D2" w:rsidRPr="00982A2C">
              <w:t>1.2.4</w:t>
            </w:r>
          </w:p>
        </w:tc>
        <w:tc>
          <w:tcPr>
            <w:tcW w:w="5844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1685EC5A" w14:textId="6832A22C" w:rsidR="00502C09" w:rsidRPr="003A110D" w:rsidRDefault="00C34A65" w:rsidP="2682BA85">
            <w:pPr>
              <w:pStyle w:val="Tab"/>
            </w:pPr>
            <w:r>
              <w:t>V</w:t>
            </w:r>
            <w:r w:rsidR="00FA0199" w:rsidRPr="00982A2C">
              <w:t xml:space="preserve">iz údaje k Pod-článku </w:t>
            </w:r>
            <w:r w:rsidR="00982A2C" w:rsidRPr="00982A2C">
              <w:t>1.3 [Komunikační prostředky]</w:t>
            </w:r>
            <w:r w:rsidR="00CE5944" w:rsidRPr="00982A2C">
              <w:rPr>
                <w:rStyle w:val="Znakapoznpodarou"/>
              </w:rPr>
              <w:footnoteReference w:id="5"/>
            </w:r>
            <w:r>
              <w:t>.</w:t>
            </w:r>
          </w:p>
        </w:tc>
      </w:tr>
      <w:tr w:rsidR="00420D04" w:rsidRPr="00502C09" w14:paraId="2524D79D" w14:textId="77777777" w:rsidTr="00B44865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3EB97548" w14:textId="0FDDD600" w:rsidR="00420D04" w:rsidRPr="00420D04" w:rsidRDefault="00420D04" w:rsidP="00502C09">
            <w:pPr>
              <w:pStyle w:val="Tab"/>
            </w:pPr>
            <w:r w:rsidRPr="00420D04">
              <w:t>Datum zahájení prací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BD51D33" w14:textId="58308518" w:rsidR="00420D04" w:rsidRPr="00420D04" w:rsidRDefault="00420D04" w:rsidP="00502C09">
            <w:pPr>
              <w:pStyle w:val="Tab"/>
            </w:pPr>
            <w:r w:rsidRPr="00420D04">
              <w:t>1.1.3.2</w:t>
            </w:r>
          </w:p>
        </w:tc>
        <w:tc>
          <w:tcPr>
            <w:tcW w:w="5844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69CE29C2" w14:textId="289CA9D0" w:rsidR="00420D04" w:rsidRPr="00420D04" w:rsidRDefault="00420D04" w:rsidP="2682BA85">
            <w:pPr>
              <w:pStyle w:val="Tab"/>
            </w:pPr>
            <w:r w:rsidRPr="00420D04">
              <w:t>datum účinnosti Smlouvy</w:t>
            </w:r>
          </w:p>
        </w:tc>
      </w:tr>
      <w:tr w:rsidR="00ED593E" w:rsidRPr="00502C09" w14:paraId="48CBD3DA" w14:textId="77777777" w:rsidTr="00B44865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7CA29CEA" w14:textId="1BAE8E6B" w:rsidR="00ED593E" w:rsidRPr="00E0427C" w:rsidRDefault="00ED593E" w:rsidP="00ED593E">
            <w:pPr>
              <w:pStyle w:val="Tab"/>
            </w:pPr>
            <w:r w:rsidRPr="00E0427C">
              <w:t>Doba pro dokončení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56AC2FC" w14:textId="77777777" w:rsidR="00ED593E" w:rsidRPr="00E0427C" w:rsidRDefault="00ED593E" w:rsidP="00ED593E">
            <w:pPr>
              <w:pStyle w:val="Tab"/>
            </w:pPr>
            <w:r w:rsidRPr="00E0427C">
              <w:t>1.1.3.3</w:t>
            </w:r>
          </w:p>
        </w:tc>
        <w:tc>
          <w:tcPr>
            <w:tcW w:w="5844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14C1D5CA" w14:textId="1B16357F" w:rsidR="00735843" w:rsidRPr="00E0427C" w:rsidRDefault="00735843" w:rsidP="00735843">
            <w:pPr>
              <w:pStyle w:val="Tab"/>
            </w:pPr>
            <w:r w:rsidRPr="00E0427C">
              <w:t>Doba pro dokončení Díla:</w:t>
            </w:r>
          </w:p>
          <w:p w14:paraId="6BC6E854" w14:textId="42730938" w:rsidR="00ED593E" w:rsidRPr="001E27A8" w:rsidRDefault="00A85954" w:rsidP="684BBBC7">
            <w:pPr>
              <w:pStyle w:val="Tab"/>
            </w:pPr>
            <w:r w:rsidRPr="00E0427C">
              <w:t>3</w:t>
            </w:r>
            <w:r w:rsidR="00E42DEA" w:rsidRPr="00E0427C">
              <w:t>0</w:t>
            </w:r>
            <w:r w:rsidR="006F7AE5" w:rsidRPr="00E0427C">
              <w:t xml:space="preserve"> měsíců</w:t>
            </w:r>
          </w:p>
        </w:tc>
      </w:tr>
      <w:tr w:rsidR="00AA7E21" w:rsidRPr="00502C09" w14:paraId="137FA702" w14:textId="77777777" w:rsidTr="00B44865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28DD0F67" w14:textId="00705C11" w:rsidR="00AA7E21" w:rsidRPr="00A666AE" w:rsidRDefault="00AA7E21" w:rsidP="00ED593E">
            <w:pPr>
              <w:pStyle w:val="Tab"/>
            </w:pPr>
            <w:r>
              <w:t>Faktura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3A4B690" w14:textId="568BA7CA" w:rsidR="00AA7E21" w:rsidRPr="00A666AE" w:rsidRDefault="00AA7E21" w:rsidP="00ED593E">
            <w:pPr>
              <w:pStyle w:val="Tab"/>
            </w:pPr>
            <w:r>
              <w:t>1.1.4.13</w:t>
            </w:r>
          </w:p>
        </w:tc>
        <w:tc>
          <w:tcPr>
            <w:tcW w:w="5844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15FE0878" w14:textId="5AC6ED9B" w:rsidR="00A04EBC" w:rsidRDefault="002A2955" w:rsidP="00735843">
            <w:pPr>
              <w:pStyle w:val="Tab"/>
            </w:pPr>
            <w:r>
              <w:t>Veškerá u</w:t>
            </w:r>
            <w:r w:rsidR="00744B0F">
              <w:t xml:space="preserve">stanovení Smluvních podmínek týkající se Faktur </w:t>
            </w:r>
            <w:r w:rsidR="00FE0344">
              <w:t>musí být vykládán</w:t>
            </w:r>
            <w:r>
              <w:t>a</w:t>
            </w:r>
            <w:r w:rsidR="00744B0F">
              <w:t xml:space="preserve"> v kontextu </w:t>
            </w:r>
            <w:r w:rsidR="000B1F38">
              <w:t xml:space="preserve">níže </w:t>
            </w:r>
            <w:r w:rsidR="00FE0344">
              <w:t>stanovených</w:t>
            </w:r>
            <w:r w:rsidR="000B1F38">
              <w:t xml:space="preserve"> údajů k Pod-článku 1.1.5.6 [Sekce].</w:t>
            </w:r>
          </w:p>
          <w:p w14:paraId="0DAACA6D" w14:textId="77777777" w:rsidR="00A04EBC" w:rsidRDefault="00A04EBC" w:rsidP="00735843">
            <w:pPr>
              <w:pStyle w:val="Tab"/>
            </w:pPr>
          </w:p>
          <w:p w14:paraId="20FC8B7B" w14:textId="62816F7A" w:rsidR="00AA7E21" w:rsidRPr="00A666AE" w:rsidRDefault="000B1F38" w:rsidP="00735843">
            <w:pPr>
              <w:pStyle w:val="Tab"/>
            </w:pPr>
            <w:r>
              <w:t xml:space="preserve">Zhotovitel </w:t>
            </w:r>
            <w:r w:rsidR="001272AD">
              <w:t>musí vystavovat samostatné Faktury</w:t>
            </w:r>
            <w:r w:rsidR="00E15FC8">
              <w:t xml:space="preserve"> </w:t>
            </w:r>
            <w:r w:rsidR="002A2955">
              <w:t>pro každou Sekci</w:t>
            </w:r>
            <w:r w:rsidR="00D44792">
              <w:t>, a to</w:t>
            </w:r>
            <w:r w:rsidR="00A9148A">
              <w:t xml:space="preserve"> přímo </w:t>
            </w:r>
            <w:r w:rsidR="00D44792">
              <w:t>společníkovi Objednatele, který je investorem takové Sekce.</w:t>
            </w:r>
          </w:p>
        </w:tc>
      </w:tr>
      <w:tr w:rsidR="009C297D" w:rsidRPr="00502C09" w14:paraId="5E3CD719" w14:textId="77777777" w:rsidTr="00E42DEA">
        <w:trPr>
          <w:trHeight w:val="20"/>
          <w:jc w:val="center"/>
        </w:trPr>
        <w:tc>
          <w:tcPr>
            <w:tcW w:w="2268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14:paraId="5E280CD3" w14:textId="6BDBB2BE" w:rsidR="009C297D" w:rsidRPr="00A666AE" w:rsidRDefault="009C297D" w:rsidP="009C297D">
            <w:pPr>
              <w:pStyle w:val="Tab"/>
            </w:pPr>
            <w:r>
              <w:t>Milníky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14:paraId="4180EF04" w14:textId="03CCCC11" w:rsidR="009C297D" w:rsidRPr="00A666AE" w:rsidRDefault="009C297D" w:rsidP="009C297D">
            <w:pPr>
              <w:pStyle w:val="Tab"/>
            </w:pPr>
            <w:r w:rsidRPr="00235FD7">
              <w:t>8.13</w:t>
            </w:r>
          </w:p>
        </w:tc>
        <w:tc>
          <w:tcPr>
            <w:tcW w:w="5844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3457D324" w14:textId="1AB09FA6" w:rsidR="009C297D" w:rsidRPr="009C04ED" w:rsidRDefault="009C297D" w:rsidP="009C297D">
            <w:pPr>
              <w:pStyle w:val="Tab"/>
              <w:keepNext/>
              <w:rPr>
                <w:b/>
                <w:bCs/>
              </w:rPr>
            </w:pPr>
            <w:r w:rsidRPr="009C04ED">
              <w:rPr>
                <w:b/>
                <w:bCs/>
              </w:rPr>
              <w:t>Milník 1 [Projednání DIO a vydání DIR]</w:t>
            </w:r>
          </w:p>
          <w:p w14:paraId="284BC8EC" w14:textId="5A307E05" w:rsidR="009C297D" w:rsidRPr="009C04ED" w:rsidRDefault="009C297D" w:rsidP="009C297D">
            <w:pPr>
              <w:pStyle w:val="Tab"/>
            </w:pPr>
            <w:r w:rsidRPr="009C04ED">
              <w:t>Zhotovitel projednal DIO a zajistil vydání DIR v rozsahu nezbytném pro zahájení prací na Staveništi.</w:t>
            </w:r>
          </w:p>
          <w:p w14:paraId="7E67CC17" w14:textId="77777777" w:rsidR="009C297D" w:rsidRPr="009C04ED" w:rsidRDefault="009C297D" w:rsidP="009C297D">
            <w:pPr>
              <w:pStyle w:val="Tab"/>
            </w:pPr>
          </w:p>
          <w:p w14:paraId="6F0D7DB2" w14:textId="51A72AB8" w:rsidR="009C297D" w:rsidRPr="009C04ED" w:rsidRDefault="009C297D" w:rsidP="009C297D">
            <w:pPr>
              <w:pStyle w:val="Tab"/>
              <w:keepNext/>
            </w:pPr>
            <w:r w:rsidRPr="009C04ED">
              <w:t>Doba pro splnění milníku:</w:t>
            </w:r>
          </w:p>
          <w:p w14:paraId="0A5E49AB" w14:textId="000BD888" w:rsidR="009C297D" w:rsidRPr="009C04ED" w:rsidRDefault="00E42DEA" w:rsidP="009C297D">
            <w:pPr>
              <w:pStyle w:val="Tab"/>
            </w:pPr>
            <w:r w:rsidRPr="009C04ED">
              <w:t>7</w:t>
            </w:r>
            <w:r w:rsidR="009C297D" w:rsidRPr="009C04ED">
              <w:t>0 dnů od Data zahájení prací</w:t>
            </w:r>
          </w:p>
        </w:tc>
      </w:tr>
      <w:tr w:rsidR="004025EE" w:rsidRPr="00502C09" w14:paraId="25D1B889" w14:textId="77777777" w:rsidTr="00E42DEA">
        <w:trPr>
          <w:trHeight w:val="20"/>
          <w:jc w:val="center"/>
        </w:trPr>
        <w:tc>
          <w:tcPr>
            <w:tcW w:w="2268" w:type="dxa"/>
            <w:vMerge/>
            <w:tcBorders>
              <w:bottom w:val="single" w:sz="4" w:space="0" w:color="C26161"/>
            </w:tcBorders>
            <w:shd w:val="clear" w:color="auto" w:fill="auto"/>
            <w:tcMar>
              <w:left w:w="0" w:type="dxa"/>
            </w:tcMar>
            <w:vAlign w:val="center"/>
          </w:tcPr>
          <w:p w14:paraId="5F2538E9" w14:textId="77777777" w:rsidR="004025EE" w:rsidRDefault="004025EE" w:rsidP="004025EE">
            <w:pPr>
              <w:pStyle w:val="Tab"/>
            </w:pPr>
          </w:p>
        </w:tc>
        <w:tc>
          <w:tcPr>
            <w:tcW w:w="960" w:type="dxa"/>
            <w:vMerge/>
            <w:tcBorders>
              <w:bottom w:val="single" w:sz="4" w:space="0" w:color="C26161"/>
            </w:tcBorders>
            <w:shd w:val="clear" w:color="auto" w:fill="auto"/>
            <w:vAlign w:val="center"/>
          </w:tcPr>
          <w:p w14:paraId="32052481" w14:textId="77777777" w:rsidR="004025EE" w:rsidRPr="00235FD7" w:rsidRDefault="004025EE" w:rsidP="004025EE">
            <w:pPr>
              <w:pStyle w:val="Tab"/>
            </w:pPr>
          </w:p>
        </w:tc>
        <w:tc>
          <w:tcPr>
            <w:tcW w:w="5844" w:type="dxa"/>
            <w:gridSpan w:val="2"/>
            <w:tcBorders>
              <w:bottom w:val="single" w:sz="4" w:space="0" w:color="C26161"/>
            </w:tcBorders>
            <w:shd w:val="clear" w:color="auto" w:fill="auto"/>
            <w:tcMar>
              <w:right w:w="0" w:type="dxa"/>
            </w:tcMar>
            <w:vAlign w:val="center"/>
          </w:tcPr>
          <w:p w14:paraId="44712F9C" w14:textId="77777777" w:rsidR="004025EE" w:rsidRPr="009C04ED" w:rsidRDefault="004025EE" w:rsidP="004025EE">
            <w:pPr>
              <w:pStyle w:val="Tab"/>
              <w:rPr>
                <w:b/>
                <w:bCs/>
              </w:rPr>
            </w:pPr>
            <w:r w:rsidRPr="009C04ED">
              <w:rPr>
                <w:b/>
                <w:bCs/>
              </w:rPr>
              <w:t>Milník 2 [Zprůjezdnění]</w:t>
            </w:r>
          </w:p>
          <w:p w14:paraId="453C487E" w14:textId="77777777" w:rsidR="004025EE" w:rsidRPr="009C04ED" w:rsidRDefault="004025EE" w:rsidP="004025EE">
            <w:pPr>
              <w:pStyle w:val="Tab"/>
              <w:rPr>
                <w:b/>
                <w:bCs/>
              </w:rPr>
            </w:pPr>
          </w:p>
          <w:p w14:paraId="34B5D4ED" w14:textId="711A16C9" w:rsidR="004025EE" w:rsidRPr="009C04ED" w:rsidRDefault="004025EE" w:rsidP="004025EE">
            <w:pPr>
              <w:pStyle w:val="Tab"/>
              <w:rPr>
                <w:b/>
                <w:bCs/>
              </w:rPr>
            </w:pPr>
            <w:r w:rsidRPr="009C04ED">
              <w:t xml:space="preserve">Zhotovitel </w:t>
            </w:r>
            <w:r w:rsidR="00A11D4E" w:rsidRPr="009C04ED">
              <w:t xml:space="preserve">dokončil všechny práce </w:t>
            </w:r>
            <w:r w:rsidR="00A46F7E" w:rsidRPr="009C04ED">
              <w:t>na komunikaci v ul.</w:t>
            </w:r>
            <w:r w:rsidR="008A30F6" w:rsidRPr="009C04ED">
              <w:t> </w:t>
            </w:r>
            <w:r w:rsidR="00A46F7E" w:rsidRPr="009C04ED">
              <w:t>Peroutkova, které vyžadují dopravní omezení</w:t>
            </w:r>
            <w:r w:rsidR="00886B0C" w:rsidRPr="009C04ED">
              <w:t>,</w:t>
            </w:r>
            <w:r w:rsidR="00A46F7E" w:rsidRPr="009C04ED">
              <w:t xml:space="preserve"> a </w:t>
            </w:r>
            <w:r w:rsidRPr="009C04ED">
              <w:t>umožnil předčasné užívání</w:t>
            </w:r>
            <w:r w:rsidR="00A46F7E" w:rsidRPr="009C04ED">
              <w:t xml:space="preserve"> dotčené části</w:t>
            </w:r>
            <w:r w:rsidRPr="009C04ED">
              <w:t xml:space="preserve"> Díla podle Pod-článku 10.5 [Předčasné užívání]</w:t>
            </w:r>
            <w:r w:rsidR="00A46F7E" w:rsidRPr="009C04ED">
              <w:t>.</w:t>
            </w:r>
          </w:p>
          <w:p w14:paraId="3EB6690E" w14:textId="77777777" w:rsidR="004025EE" w:rsidRPr="009C04ED" w:rsidRDefault="004025EE" w:rsidP="004025EE">
            <w:pPr>
              <w:pStyle w:val="Tab"/>
            </w:pPr>
          </w:p>
          <w:p w14:paraId="76E91992" w14:textId="77777777" w:rsidR="004025EE" w:rsidRPr="009C04ED" w:rsidRDefault="004025EE" w:rsidP="004025EE">
            <w:pPr>
              <w:pStyle w:val="Tab"/>
            </w:pPr>
            <w:r w:rsidRPr="009C04ED">
              <w:t>Doba pro splnění milníku:</w:t>
            </w:r>
          </w:p>
          <w:p w14:paraId="6786EDEC" w14:textId="56DCA941" w:rsidR="004025EE" w:rsidRPr="009C04ED" w:rsidRDefault="004025EE" w:rsidP="004025EE">
            <w:pPr>
              <w:pStyle w:val="Tab"/>
            </w:pPr>
            <w:r w:rsidRPr="009C04ED">
              <w:t>nejpozději do 31. 10. 2025</w:t>
            </w:r>
          </w:p>
          <w:p w14:paraId="3E62688D" w14:textId="77777777" w:rsidR="004025EE" w:rsidRPr="009C04ED" w:rsidRDefault="004025EE" w:rsidP="004025EE">
            <w:pPr>
              <w:pStyle w:val="Tab"/>
            </w:pPr>
          </w:p>
          <w:p w14:paraId="4987FB6C" w14:textId="6AE20EFD" w:rsidR="005E30C6" w:rsidRPr="009C04ED" w:rsidRDefault="005E30C6" w:rsidP="004025EE">
            <w:pPr>
              <w:pStyle w:val="Tab"/>
            </w:pPr>
            <w:r w:rsidRPr="009C04ED">
              <w:t>Bonusová platba:</w:t>
            </w:r>
          </w:p>
          <w:p w14:paraId="35C87193" w14:textId="41BC673F" w:rsidR="00C30305" w:rsidRPr="009C04ED" w:rsidRDefault="004025EE" w:rsidP="004025EE">
            <w:pPr>
              <w:pStyle w:val="Tab"/>
            </w:pPr>
            <w:r w:rsidRPr="009C04ED">
              <w:t xml:space="preserve">Pokud </w:t>
            </w:r>
            <w:r w:rsidR="007D6C70" w:rsidRPr="009C04ED">
              <w:t>byla</w:t>
            </w:r>
            <w:r w:rsidRPr="009C04ED">
              <w:t xml:space="preserve"> mezi </w:t>
            </w:r>
            <w:r w:rsidR="00481400" w:rsidRPr="009C04ED">
              <w:t>dnem</w:t>
            </w:r>
            <w:r w:rsidR="006A7B24" w:rsidRPr="009C04ED">
              <w:t xml:space="preserve">, ve kterém mohl </w:t>
            </w:r>
            <w:r w:rsidR="005B53A1" w:rsidRPr="009C04ED">
              <w:t>Zhotovitel v souladu s vydaným DIR začít provádět práce na komunikaci v ul. Peroutkova, které vyžadují dopravní omezení,</w:t>
            </w:r>
            <w:r w:rsidRPr="009C04ED">
              <w:t xml:space="preserve"> a </w:t>
            </w:r>
            <w:r w:rsidR="00B503E1" w:rsidRPr="009C04ED">
              <w:t xml:space="preserve">stanoveným </w:t>
            </w:r>
            <w:r w:rsidR="005D5EA7" w:rsidRPr="009C04ED">
              <w:t>termínem</w:t>
            </w:r>
            <w:r w:rsidR="00B503E1" w:rsidRPr="009C04ED">
              <w:t xml:space="preserve"> kratší </w:t>
            </w:r>
            <w:r w:rsidR="00B576A9" w:rsidRPr="009C04ED">
              <w:t xml:space="preserve">doba </w:t>
            </w:r>
            <w:r w:rsidR="00B503E1" w:rsidRPr="009C04ED">
              <w:t xml:space="preserve">než </w:t>
            </w:r>
            <w:r w:rsidR="00B576A9" w:rsidRPr="009C04ED">
              <w:t>15 měsíců</w:t>
            </w:r>
            <w:r w:rsidR="00B503E1" w:rsidRPr="009C04ED">
              <w:t xml:space="preserve">, má Zhotovitel po splnění milníku </w:t>
            </w:r>
            <w:r w:rsidR="0060654F" w:rsidRPr="009C04ED">
              <w:t>ve stanoveném</w:t>
            </w:r>
            <w:r w:rsidR="00B503E1" w:rsidRPr="009C04ED">
              <w:t xml:space="preserve"> </w:t>
            </w:r>
            <w:r w:rsidR="005D5EA7" w:rsidRPr="009C04ED">
              <w:t>termínu</w:t>
            </w:r>
            <w:r w:rsidR="00B503E1" w:rsidRPr="009C04ED">
              <w:t xml:space="preserve"> </w:t>
            </w:r>
            <w:r w:rsidR="003F3EEF" w:rsidRPr="009C04ED">
              <w:t>nárok na bonusovou platbu ve</w:t>
            </w:r>
            <w:r w:rsidR="00BE258E" w:rsidRPr="009C04ED">
              <w:t> </w:t>
            </w:r>
            <w:r w:rsidR="003F3EEF" w:rsidRPr="009C04ED">
              <w:t xml:space="preserve">výši procenta </w:t>
            </w:r>
            <w:r w:rsidR="005B53A1" w:rsidRPr="009C04ED">
              <w:t xml:space="preserve">části </w:t>
            </w:r>
            <w:r w:rsidR="00A93AE9" w:rsidRPr="009C04ED">
              <w:t>nabídkové ceny v rozsahu Sekce TSK</w:t>
            </w:r>
            <w:r w:rsidR="00E57BBB" w:rsidRPr="009C04ED">
              <w:t xml:space="preserve"> </w:t>
            </w:r>
            <w:r w:rsidR="00E57BBB" w:rsidRPr="009C04ED">
              <w:lastRenderedPageBreak/>
              <w:t>[Peroutkova, rek. komunikace, P5, č. akce 999033]</w:t>
            </w:r>
            <w:r w:rsidR="0060654F" w:rsidRPr="009C04ED">
              <w:t xml:space="preserve"> podle Dopisu nabídky</w:t>
            </w:r>
            <w:r w:rsidR="000C72D3" w:rsidRPr="009C04ED">
              <w:t xml:space="preserve"> (bez DPH)</w:t>
            </w:r>
            <w:r w:rsidR="005B53A1" w:rsidRPr="009C04ED">
              <w:t xml:space="preserve"> stanoveného podle následující tabulky</w:t>
            </w:r>
            <w:r w:rsidR="003F3EEF" w:rsidRPr="009C04ED">
              <w:t>:</w:t>
            </w:r>
          </w:p>
          <w:p w14:paraId="7ADD72DB" w14:textId="77777777" w:rsidR="005B53A1" w:rsidRPr="009C04ED" w:rsidRDefault="005B53A1" w:rsidP="004025EE">
            <w:pPr>
              <w:pStyle w:val="Tab"/>
            </w:pP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C26161"/>
                <w:insideV w:val="single" w:sz="4" w:space="0" w:color="C2616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3"/>
              <w:gridCol w:w="2863"/>
            </w:tblGrid>
            <w:tr w:rsidR="0060654F" w:rsidRPr="009C04ED" w14:paraId="1179B2CA" w14:textId="77777777" w:rsidTr="00C30305">
              <w:tc>
                <w:tcPr>
                  <w:tcW w:w="2863" w:type="dxa"/>
                </w:tcPr>
                <w:p w14:paraId="411C542D" w14:textId="3396526E" w:rsidR="0060654F" w:rsidRPr="009C04ED" w:rsidRDefault="0060654F" w:rsidP="0060654F">
                  <w:pPr>
                    <w:pStyle w:val="Tab"/>
                  </w:pPr>
                  <w:r w:rsidRPr="009C04ED">
                    <w:t>≥ 15 měsíců</w:t>
                  </w:r>
                </w:p>
              </w:tc>
              <w:tc>
                <w:tcPr>
                  <w:tcW w:w="2863" w:type="dxa"/>
                </w:tcPr>
                <w:p w14:paraId="76D62C98" w14:textId="5665C56E" w:rsidR="0060654F" w:rsidRPr="009C04ED" w:rsidRDefault="0060654F" w:rsidP="0060654F">
                  <w:pPr>
                    <w:pStyle w:val="Tab"/>
                  </w:pPr>
                  <w:r w:rsidRPr="009C04ED">
                    <w:t>0</w:t>
                  </w:r>
                  <w:r w:rsidR="008A2A1D" w:rsidRPr="009C04ED">
                    <w:t xml:space="preserve"> </w:t>
                  </w:r>
                  <w:r w:rsidRPr="009C04ED">
                    <w:t>%</w:t>
                  </w:r>
                </w:p>
              </w:tc>
            </w:tr>
            <w:tr w:rsidR="008A2A1D" w:rsidRPr="009C04ED" w14:paraId="68AFECB3" w14:textId="77777777" w:rsidTr="00C30305">
              <w:tc>
                <w:tcPr>
                  <w:tcW w:w="2863" w:type="dxa"/>
                </w:tcPr>
                <w:p w14:paraId="6A48B4CE" w14:textId="1D690518" w:rsidR="008A2A1D" w:rsidRPr="009C04ED" w:rsidRDefault="008A2A1D" w:rsidP="008A2A1D">
                  <w:pPr>
                    <w:pStyle w:val="Tab"/>
                  </w:pPr>
                  <w:r w:rsidRPr="009C04ED">
                    <w:t>≥ 14 měsíců; &lt; 15 měsíců</w:t>
                  </w:r>
                </w:p>
              </w:tc>
              <w:tc>
                <w:tcPr>
                  <w:tcW w:w="2863" w:type="dxa"/>
                </w:tcPr>
                <w:p w14:paraId="024D407F" w14:textId="511B46EA" w:rsidR="008A2A1D" w:rsidRPr="009C04ED" w:rsidRDefault="008A2A1D" w:rsidP="008A2A1D">
                  <w:pPr>
                    <w:pStyle w:val="Tab"/>
                  </w:pPr>
                  <w:r w:rsidRPr="009C04ED">
                    <w:t>0,5 %</w:t>
                  </w:r>
                </w:p>
              </w:tc>
            </w:tr>
            <w:tr w:rsidR="008A2A1D" w:rsidRPr="009C04ED" w14:paraId="29F82942" w14:textId="77777777" w:rsidTr="00C30305">
              <w:tc>
                <w:tcPr>
                  <w:tcW w:w="2863" w:type="dxa"/>
                </w:tcPr>
                <w:p w14:paraId="3F2CF4B2" w14:textId="0581C648" w:rsidR="008A2A1D" w:rsidRPr="009C04ED" w:rsidRDefault="008A2A1D" w:rsidP="008A2A1D">
                  <w:pPr>
                    <w:pStyle w:val="Tab"/>
                  </w:pPr>
                  <w:r w:rsidRPr="009C04ED">
                    <w:t>≥ 13 měsíců; &lt; 14 měsíců</w:t>
                  </w:r>
                </w:p>
              </w:tc>
              <w:tc>
                <w:tcPr>
                  <w:tcW w:w="2863" w:type="dxa"/>
                </w:tcPr>
                <w:p w14:paraId="3AB4178C" w14:textId="74D35772" w:rsidR="008A2A1D" w:rsidRPr="009C04ED" w:rsidRDefault="008A2A1D" w:rsidP="008A2A1D">
                  <w:pPr>
                    <w:pStyle w:val="Tab"/>
                  </w:pPr>
                  <w:r w:rsidRPr="009C04ED">
                    <w:t>1,0 %</w:t>
                  </w:r>
                </w:p>
              </w:tc>
            </w:tr>
            <w:tr w:rsidR="008A2A1D" w:rsidRPr="009C04ED" w14:paraId="2CDCDC50" w14:textId="77777777" w:rsidTr="00C30305">
              <w:tc>
                <w:tcPr>
                  <w:tcW w:w="2863" w:type="dxa"/>
                </w:tcPr>
                <w:p w14:paraId="118902B0" w14:textId="5D33D72D" w:rsidR="008A2A1D" w:rsidRPr="009C04ED" w:rsidRDefault="008A2A1D" w:rsidP="008A2A1D">
                  <w:pPr>
                    <w:pStyle w:val="Tab"/>
                  </w:pPr>
                  <w:r w:rsidRPr="009C04ED">
                    <w:t>≥ 12 měsíců; &lt; 13 měsíců</w:t>
                  </w:r>
                </w:p>
              </w:tc>
              <w:tc>
                <w:tcPr>
                  <w:tcW w:w="2863" w:type="dxa"/>
                </w:tcPr>
                <w:p w14:paraId="5038C4A5" w14:textId="1637F0B3" w:rsidR="008A2A1D" w:rsidRPr="009C04ED" w:rsidRDefault="008A2A1D" w:rsidP="008A2A1D">
                  <w:pPr>
                    <w:pStyle w:val="Tab"/>
                  </w:pPr>
                  <w:r w:rsidRPr="009C04ED">
                    <w:t>1,5 %</w:t>
                  </w:r>
                </w:p>
              </w:tc>
            </w:tr>
            <w:tr w:rsidR="008A2A1D" w:rsidRPr="009C04ED" w14:paraId="0B254901" w14:textId="77777777" w:rsidTr="00C30305">
              <w:tc>
                <w:tcPr>
                  <w:tcW w:w="2863" w:type="dxa"/>
                </w:tcPr>
                <w:p w14:paraId="29F224E5" w14:textId="1E0E7BC6" w:rsidR="008A2A1D" w:rsidRPr="009C04ED" w:rsidRDefault="008A2A1D" w:rsidP="008A2A1D">
                  <w:pPr>
                    <w:pStyle w:val="Tab"/>
                  </w:pPr>
                  <w:r w:rsidRPr="009C04ED">
                    <w:t>≥ 11 měsíců; &lt; 12 měsíců</w:t>
                  </w:r>
                </w:p>
              </w:tc>
              <w:tc>
                <w:tcPr>
                  <w:tcW w:w="2863" w:type="dxa"/>
                </w:tcPr>
                <w:p w14:paraId="497E3E35" w14:textId="2721A604" w:rsidR="008A2A1D" w:rsidRPr="009C04ED" w:rsidRDefault="008A2A1D" w:rsidP="008A2A1D">
                  <w:pPr>
                    <w:pStyle w:val="Tab"/>
                  </w:pPr>
                  <w:r w:rsidRPr="009C04ED">
                    <w:t>2,0 %</w:t>
                  </w:r>
                </w:p>
              </w:tc>
            </w:tr>
            <w:tr w:rsidR="008A2A1D" w:rsidRPr="009C04ED" w14:paraId="5CEA5298" w14:textId="77777777" w:rsidTr="00C30305">
              <w:tc>
                <w:tcPr>
                  <w:tcW w:w="2863" w:type="dxa"/>
                </w:tcPr>
                <w:p w14:paraId="1706388A" w14:textId="40A97B1C" w:rsidR="008A2A1D" w:rsidRPr="009C04ED" w:rsidRDefault="008A2A1D" w:rsidP="008A2A1D">
                  <w:pPr>
                    <w:pStyle w:val="Tab"/>
                  </w:pPr>
                  <w:r w:rsidRPr="009C04ED">
                    <w:t>≥ 10 měsíců; &lt; 11 měsíců</w:t>
                  </w:r>
                </w:p>
              </w:tc>
              <w:tc>
                <w:tcPr>
                  <w:tcW w:w="2863" w:type="dxa"/>
                </w:tcPr>
                <w:p w14:paraId="64B3B316" w14:textId="56F543B6" w:rsidR="008A2A1D" w:rsidRPr="009C04ED" w:rsidRDefault="008A2A1D" w:rsidP="008A2A1D">
                  <w:pPr>
                    <w:pStyle w:val="Tab"/>
                  </w:pPr>
                  <w:r w:rsidRPr="009C04ED">
                    <w:t>2,5 %</w:t>
                  </w:r>
                </w:p>
              </w:tc>
            </w:tr>
            <w:tr w:rsidR="008A2A1D" w:rsidRPr="009C04ED" w14:paraId="08ED7C8B" w14:textId="77777777" w:rsidTr="00C30305">
              <w:tc>
                <w:tcPr>
                  <w:tcW w:w="2863" w:type="dxa"/>
                </w:tcPr>
                <w:p w14:paraId="2C9AA8A3" w14:textId="72BB48DE" w:rsidR="008A2A1D" w:rsidRPr="009C04ED" w:rsidRDefault="008A2A1D" w:rsidP="008A2A1D">
                  <w:pPr>
                    <w:pStyle w:val="Tab"/>
                  </w:pPr>
                  <w:r w:rsidRPr="009C04ED">
                    <w:t>≥ 9 měsíců; &lt; 10 měsíců</w:t>
                  </w:r>
                </w:p>
              </w:tc>
              <w:tc>
                <w:tcPr>
                  <w:tcW w:w="2863" w:type="dxa"/>
                </w:tcPr>
                <w:p w14:paraId="44443D39" w14:textId="47BCF4C1" w:rsidR="008A2A1D" w:rsidRPr="009C04ED" w:rsidRDefault="008A2A1D" w:rsidP="008A2A1D">
                  <w:pPr>
                    <w:pStyle w:val="Tab"/>
                  </w:pPr>
                  <w:r w:rsidRPr="009C04ED">
                    <w:t>3,0 %</w:t>
                  </w:r>
                </w:p>
              </w:tc>
            </w:tr>
            <w:tr w:rsidR="008A2A1D" w:rsidRPr="009C04ED" w14:paraId="7EF5067D" w14:textId="77777777" w:rsidTr="00C30305">
              <w:tc>
                <w:tcPr>
                  <w:tcW w:w="2863" w:type="dxa"/>
                </w:tcPr>
                <w:p w14:paraId="67ADE76F" w14:textId="150A65B2" w:rsidR="008A2A1D" w:rsidRPr="009C04ED" w:rsidRDefault="008A2A1D" w:rsidP="008A2A1D">
                  <w:pPr>
                    <w:pStyle w:val="Tab"/>
                  </w:pPr>
                  <w:r w:rsidRPr="009C04ED">
                    <w:t>≥ 8 měsíců; &lt; 9 měsíců</w:t>
                  </w:r>
                </w:p>
              </w:tc>
              <w:tc>
                <w:tcPr>
                  <w:tcW w:w="2863" w:type="dxa"/>
                </w:tcPr>
                <w:p w14:paraId="15948D14" w14:textId="0F1DE4A8" w:rsidR="008A2A1D" w:rsidRPr="009C04ED" w:rsidRDefault="008A2A1D" w:rsidP="008A2A1D">
                  <w:pPr>
                    <w:pStyle w:val="Tab"/>
                  </w:pPr>
                  <w:r w:rsidRPr="009C04ED">
                    <w:t>3,5 %</w:t>
                  </w:r>
                </w:p>
              </w:tc>
            </w:tr>
            <w:tr w:rsidR="008A2A1D" w:rsidRPr="009C04ED" w14:paraId="2B38DCB3" w14:textId="77777777" w:rsidTr="00C30305">
              <w:tc>
                <w:tcPr>
                  <w:tcW w:w="2863" w:type="dxa"/>
                </w:tcPr>
                <w:p w14:paraId="52C33D62" w14:textId="0FDB7DCC" w:rsidR="008A2A1D" w:rsidRPr="009C04ED" w:rsidRDefault="008A2A1D" w:rsidP="008A2A1D">
                  <w:pPr>
                    <w:pStyle w:val="Tab"/>
                  </w:pPr>
                  <w:r w:rsidRPr="009C04ED">
                    <w:t>&lt; 8 měsíců</w:t>
                  </w:r>
                </w:p>
              </w:tc>
              <w:tc>
                <w:tcPr>
                  <w:tcW w:w="2863" w:type="dxa"/>
                </w:tcPr>
                <w:p w14:paraId="2716A807" w14:textId="2413E3B6" w:rsidR="008A2A1D" w:rsidRPr="009C04ED" w:rsidRDefault="008A2A1D" w:rsidP="008A2A1D">
                  <w:pPr>
                    <w:pStyle w:val="Tab"/>
                  </w:pPr>
                  <w:r w:rsidRPr="009C04ED">
                    <w:t>4,0 %</w:t>
                  </w:r>
                </w:p>
              </w:tc>
            </w:tr>
          </w:tbl>
          <w:p w14:paraId="0A5624E2" w14:textId="5088D7BE" w:rsidR="0029397F" w:rsidRPr="009C04ED" w:rsidRDefault="0029397F" w:rsidP="00DD232D">
            <w:pPr>
              <w:pStyle w:val="Tab"/>
              <w:rPr>
                <w:b/>
                <w:bCs/>
              </w:rPr>
            </w:pPr>
          </w:p>
        </w:tc>
      </w:tr>
      <w:tr w:rsidR="004025EE" w:rsidRPr="00502C09" w14:paraId="158C925F" w14:textId="77777777" w:rsidTr="00B44865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4E8B3D6B" w14:textId="77777777" w:rsidR="004025EE" w:rsidRPr="008F7FA2" w:rsidRDefault="004025EE" w:rsidP="004025EE">
            <w:pPr>
              <w:pStyle w:val="Tab"/>
            </w:pPr>
            <w:r w:rsidRPr="008F7FA2">
              <w:lastRenderedPageBreak/>
              <w:t>Záruční doba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EC008F0" w14:textId="77777777" w:rsidR="004025EE" w:rsidRPr="00D32356" w:rsidRDefault="004025EE" w:rsidP="004025EE">
            <w:pPr>
              <w:pStyle w:val="Tab"/>
            </w:pPr>
            <w:r w:rsidRPr="00D32356">
              <w:t>1.1.3.7</w:t>
            </w:r>
          </w:p>
        </w:tc>
        <w:tc>
          <w:tcPr>
            <w:tcW w:w="5844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7AEECCF8" w14:textId="058CE395" w:rsidR="004025EE" w:rsidRDefault="004025EE" w:rsidP="004025EE">
            <w:pPr>
              <w:pStyle w:val="TabPsm"/>
              <w:numPr>
                <w:ilvl w:val="0"/>
                <w:numId w:val="22"/>
              </w:numPr>
            </w:pPr>
            <w:r w:rsidRPr="00D32356">
              <w:t>60 měsíců na všechny stavební práce, ostatní práce a dodávky, pokud není dále stanoveno jinak;</w:t>
            </w:r>
          </w:p>
          <w:p w14:paraId="7E52F641" w14:textId="795ED4AD" w:rsidR="008E700C" w:rsidRDefault="00053B7E" w:rsidP="008D3543">
            <w:pPr>
              <w:pStyle w:val="TabPsm"/>
              <w:numPr>
                <w:ilvl w:val="0"/>
                <w:numId w:val="22"/>
              </w:numPr>
            </w:pPr>
            <w:r>
              <w:t xml:space="preserve">36 měsíců na </w:t>
            </w:r>
            <w:r w:rsidR="004025EE" w:rsidRPr="00D32356">
              <w:t>vodorovné dopravní značení</w:t>
            </w:r>
            <w:r w:rsidR="002E0BD9">
              <w:t xml:space="preserve">, </w:t>
            </w:r>
            <w:r w:rsidR="002E0BD9" w:rsidRPr="002E0BD9">
              <w:t>Technologická zařízení</w:t>
            </w:r>
            <w:r w:rsidR="006D70F9">
              <w:t xml:space="preserve"> a </w:t>
            </w:r>
            <w:r w:rsidR="008E700C">
              <w:t>spotřební Materiál</w:t>
            </w:r>
          </w:p>
          <w:p w14:paraId="6076CA21" w14:textId="77777777" w:rsidR="00E408A6" w:rsidRDefault="00E408A6" w:rsidP="00E408A6">
            <w:pPr>
              <w:pStyle w:val="Tab"/>
            </w:pPr>
          </w:p>
          <w:p w14:paraId="3B0A4F2F" w14:textId="23BFF689" w:rsidR="00E408A6" w:rsidRPr="00D32356" w:rsidRDefault="00E408A6" w:rsidP="00E408A6">
            <w:pPr>
              <w:pStyle w:val="Tab"/>
            </w:pPr>
            <w:r w:rsidRPr="00E408A6">
              <w:t>Pokud Zhotovitel, Podzhotovitel nebo výrobce nebo jiný dodavatel Materiálu pro Dílo nebo jakoukoli jeho část v záručním listu nebo jakkoli jinak deklaruje delší než výše stanovenou Záruční dobu, platí taková delší Záruční doba.</w:t>
            </w:r>
          </w:p>
        </w:tc>
      </w:tr>
      <w:tr w:rsidR="004025EE" w:rsidRPr="00502C09" w14:paraId="60FC56C0" w14:textId="77777777" w:rsidTr="00B44865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4D91198F" w14:textId="77777777" w:rsidR="004025EE" w:rsidRPr="00502C09" w:rsidRDefault="004025EE" w:rsidP="004025EE">
            <w:pPr>
              <w:pStyle w:val="Tab"/>
            </w:pPr>
            <w:r w:rsidRPr="00502C09">
              <w:t>Náklady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DD1DD4B" w14:textId="4F378368" w:rsidR="004025EE" w:rsidRPr="00502C09" w:rsidRDefault="004025EE" w:rsidP="004025EE">
            <w:pPr>
              <w:pStyle w:val="Tab"/>
            </w:pPr>
            <w:r w:rsidRPr="00502C09">
              <w:t>1.1.4.3</w:t>
            </w:r>
          </w:p>
        </w:tc>
        <w:tc>
          <w:tcPr>
            <w:tcW w:w="5844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2B66619A" w14:textId="5153ED36" w:rsidR="004025EE" w:rsidRDefault="004025EE" w:rsidP="004025EE">
            <w:pPr>
              <w:pStyle w:val="Tab"/>
            </w:pPr>
            <w:r w:rsidRPr="00502C09">
              <w:t xml:space="preserve">Výše Nákladů bude stanovena podle </w:t>
            </w:r>
            <w:r w:rsidRPr="00502C09">
              <w:rPr>
                <w:i/>
                <w:iCs/>
              </w:rPr>
              <w:t xml:space="preserve">Metodiky pro kvantifikaci finančních nároků při zpoždění a prodloužení </w:t>
            </w:r>
            <w:r w:rsidRPr="00502C09">
              <w:t>vydané SFDI v</w:t>
            </w:r>
            <w:r>
              <w:t> </w:t>
            </w:r>
            <w:r w:rsidRPr="00502C09">
              <w:t>aktuálním znění, která je dostupná na</w:t>
            </w:r>
            <w:r>
              <w:t>:</w:t>
            </w:r>
          </w:p>
          <w:p w14:paraId="3723518D" w14:textId="11C771D3" w:rsidR="004025EE" w:rsidRPr="00502C09" w:rsidRDefault="00352C28" w:rsidP="004025EE">
            <w:pPr>
              <w:pStyle w:val="Tab"/>
            </w:pPr>
            <w:hyperlink r:id="rId14" w:history="1">
              <w:r w:rsidR="004025EE" w:rsidRPr="00965E3F">
                <w:rPr>
                  <w:rStyle w:val="Hypertextovodkaz"/>
                </w:rPr>
                <w:t>https://www.sfdi.cz/pravidla-metodiky-a-ceniky/metodiky/</w:t>
              </w:r>
            </w:hyperlink>
            <w:r w:rsidR="004025EE">
              <w:t xml:space="preserve"> </w:t>
            </w:r>
          </w:p>
        </w:tc>
      </w:tr>
      <w:tr w:rsidR="004025EE" w:rsidRPr="00502C09" w14:paraId="6B215D85" w14:textId="77777777" w:rsidTr="00B44865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4B98FD5C" w14:textId="77777777" w:rsidR="004025EE" w:rsidRPr="00D32356" w:rsidRDefault="004025EE" w:rsidP="004025EE">
            <w:pPr>
              <w:pStyle w:val="Tab"/>
            </w:pPr>
            <w:r w:rsidRPr="00D32356">
              <w:t>Sekce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73C84B1" w14:textId="77777777" w:rsidR="004025EE" w:rsidRPr="00D32356" w:rsidRDefault="004025EE" w:rsidP="004025EE">
            <w:pPr>
              <w:pStyle w:val="Tab"/>
            </w:pPr>
            <w:r w:rsidRPr="00D32356">
              <w:t>1.1.5.6</w:t>
            </w:r>
          </w:p>
        </w:tc>
        <w:tc>
          <w:tcPr>
            <w:tcW w:w="5844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33AE5B9A" w14:textId="691662A1" w:rsidR="006A06EC" w:rsidRPr="004C562B" w:rsidRDefault="006A06EC" w:rsidP="006A06EC">
            <w:pPr>
              <w:pStyle w:val="Tab"/>
              <w:rPr>
                <w:rFonts w:eastAsia="Calibri" w:cs="Arial"/>
                <w:b/>
                <w:bCs/>
                <w:szCs w:val="20"/>
              </w:rPr>
            </w:pPr>
            <w:r w:rsidRPr="004C562B">
              <w:rPr>
                <w:rFonts w:eastAsia="Calibri" w:cs="Arial"/>
                <w:b/>
                <w:bCs/>
                <w:szCs w:val="20"/>
              </w:rPr>
              <w:t xml:space="preserve">Sekce </w:t>
            </w:r>
            <w:r w:rsidR="00510A5B" w:rsidRPr="004C562B">
              <w:rPr>
                <w:rFonts w:eastAsia="Calibri" w:cs="Arial"/>
                <w:b/>
                <w:bCs/>
                <w:szCs w:val="20"/>
              </w:rPr>
              <w:t>TSK</w:t>
            </w:r>
            <w:r w:rsidR="00061E08" w:rsidRPr="004C562B">
              <w:rPr>
                <w:rFonts w:eastAsia="Calibri" w:cs="Arial"/>
                <w:b/>
                <w:bCs/>
                <w:szCs w:val="20"/>
              </w:rPr>
              <w:t xml:space="preserve"> </w:t>
            </w:r>
            <w:r w:rsidRPr="004C562B">
              <w:rPr>
                <w:rFonts w:eastAsia="Calibri" w:cs="Arial"/>
                <w:b/>
                <w:bCs/>
                <w:szCs w:val="20"/>
              </w:rPr>
              <w:t>[Peroutkova, rek. komunikace, P5, č. akce 999033]</w:t>
            </w:r>
          </w:p>
          <w:p w14:paraId="42FCE0B0" w14:textId="3C66B3B4" w:rsidR="006A06EC" w:rsidRPr="004C562B" w:rsidRDefault="006A06EC" w:rsidP="006A06EC">
            <w:pPr>
              <w:pStyle w:val="Tab"/>
              <w:rPr>
                <w:rFonts w:eastAsia="Calibri" w:cs="Arial"/>
                <w:szCs w:val="20"/>
              </w:rPr>
            </w:pPr>
            <w:r w:rsidRPr="004C562B">
              <w:rPr>
                <w:rFonts w:eastAsia="Calibri" w:cs="Arial"/>
                <w:szCs w:val="20"/>
              </w:rPr>
              <w:t xml:space="preserve">Sekce zahrnuje rekonstrukci komunikace </w:t>
            </w:r>
            <w:r w:rsidR="00CC7C29">
              <w:rPr>
                <w:rFonts w:eastAsia="Calibri" w:cs="Arial"/>
                <w:szCs w:val="20"/>
              </w:rPr>
              <w:t>včetně chodníků</w:t>
            </w:r>
            <w:r w:rsidR="00ED756B">
              <w:rPr>
                <w:rFonts w:eastAsia="Calibri" w:cs="Arial"/>
                <w:szCs w:val="20"/>
              </w:rPr>
              <w:t xml:space="preserve"> a </w:t>
            </w:r>
            <w:r w:rsidRPr="004C562B">
              <w:rPr>
                <w:rFonts w:eastAsia="Calibri" w:cs="Arial"/>
                <w:szCs w:val="20"/>
              </w:rPr>
              <w:t>odvodnění (uliční vpusti, dešťová kanalizace, suchý poldr</w:t>
            </w:r>
            <w:r w:rsidR="00ED756B">
              <w:rPr>
                <w:rFonts w:eastAsia="Calibri" w:cs="Arial"/>
                <w:szCs w:val="20"/>
              </w:rPr>
              <w:t>)</w:t>
            </w:r>
            <w:r w:rsidRPr="004C562B">
              <w:rPr>
                <w:rFonts w:eastAsia="Calibri" w:cs="Arial"/>
                <w:szCs w:val="20"/>
              </w:rPr>
              <w:t>, přeložky sítí</w:t>
            </w:r>
            <w:r w:rsidR="001E761D">
              <w:rPr>
                <w:rFonts w:eastAsia="Calibri" w:cs="Arial"/>
                <w:szCs w:val="20"/>
              </w:rPr>
              <w:t>,</w:t>
            </w:r>
            <w:r w:rsidRPr="004C562B">
              <w:rPr>
                <w:rFonts w:eastAsia="Calibri" w:cs="Arial"/>
                <w:szCs w:val="20"/>
              </w:rPr>
              <w:t xml:space="preserve"> vegetační úpravy</w:t>
            </w:r>
            <w:r w:rsidR="001E761D">
              <w:rPr>
                <w:rFonts w:eastAsia="Calibri" w:cs="Arial"/>
                <w:szCs w:val="20"/>
              </w:rPr>
              <w:t xml:space="preserve"> a obnovu mobiliáře</w:t>
            </w:r>
            <w:r w:rsidRPr="004C562B">
              <w:rPr>
                <w:rFonts w:eastAsia="Calibri" w:cs="Arial"/>
                <w:szCs w:val="20"/>
              </w:rPr>
              <w:t xml:space="preserve">; investorem je </w:t>
            </w:r>
            <w:r w:rsidR="00696E96" w:rsidRPr="004C562B">
              <w:rPr>
                <w:rFonts w:eastAsia="Calibri" w:cs="Arial"/>
                <w:szCs w:val="20"/>
              </w:rPr>
              <w:t xml:space="preserve">společník Objednatele </w:t>
            </w:r>
            <w:r w:rsidRPr="00270E89">
              <w:rPr>
                <w:rFonts w:eastAsia="Calibri" w:cs="Arial"/>
                <w:b/>
                <w:bCs/>
                <w:szCs w:val="20"/>
              </w:rPr>
              <w:t>Technická správa komunikací hl. m. Prahy, a.s.</w:t>
            </w:r>
          </w:p>
          <w:p w14:paraId="7A448D2F" w14:textId="77777777" w:rsidR="006A06EC" w:rsidRPr="004C562B" w:rsidRDefault="006A06EC" w:rsidP="006A06EC">
            <w:pPr>
              <w:pStyle w:val="Tab"/>
              <w:rPr>
                <w:rFonts w:eastAsia="Calibri" w:cs="Arial"/>
                <w:szCs w:val="20"/>
              </w:rPr>
            </w:pPr>
          </w:p>
          <w:p w14:paraId="32E94EB1" w14:textId="1BB99D6C" w:rsidR="006A06EC" w:rsidRPr="004C562B" w:rsidRDefault="006A06EC" w:rsidP="006A06EC">
            <w:pPr>
              <w:pStyle w:val="Tab"/>
              <w:rPr>
                <w:rFonts w:eastAsia="Calibri" w:cs="Arial"/>
                <w:b/>
                <w:bCs/>
                <w:szCs w:val="20"/>
              </w:rPr>
            </w:pPr>
            <w:r w:rsidRPr="004C562B">
              <w:rPr>
                <w:rFonts w:eastAsia="Calibri" w:cs="Arial"/>
                <w:b/>
                <w:bCs/>
                <w:szCs w:val="20"/>
              </w:rPr>
              <w:t xml:space="preserve">Sekce </w:t>
            </w:r>
            <w:r w:rsidR="00510A5B" w:rsidRPr="004C562B">
              <w:rPr>
                <w:rFonts w:eastAsia="Calibri" w:cs="Arial"/>
                <w:b/>
                <w:bCs/>
                <w:szCs w:val="20"/>
              </w:rPr>
              <w:t xml:space="preserve">PVS </w:t>
            </w:r>
            <w:r w:rsidRPr="004C562B">
              <w:rPr>
                <w:rFonts w:eastAsia="Calibri" w:cs="Arial"/>
                <w:b/>
                <w:bCs/>
                <w:szCs w:val="20"/>
              </w:rPr>
              <w:t>[Obnova vodovodního řadu, ul. Peroutkova, P5 (1/4T10/00)]</w:t>
            </w:r>
          </w:p>
          <w:p w14:paraId="5EBF8EBB" w14:textId="6D8B1113" w:rsidR="004025EE" w:rsidRDefault="006A06EC" w:rsidP="006A06EC">
            <w:pPr>
              <w:pStyle w:val="Tab"/>
              <w:rPr>
                <w:rFonts w:eastAsia="Calibri" w:cs="Arial"/>
                <w:szCs w:val="20"/>
              </w:rPr>
            </w:pPr>
            <w:r w:rsidRPr="004C562B">
              <w:rPr>
                <w:rFonts w:eastAsia="Calibri" w:cs="Arial"/>
                <w:szCs w:val="20"/>
              </w:rPr>
              <w:t>Sekce zahrnuje obnovu vodovodních ř</w:t>
            </w:r>
            <w:r w:rsidR="007908ED">
              <w:rPr>
                <w:rFonts w:eastAsia="Calibri" w:cs="Arial"/>
                <w:szCs w:val="20"/>
              </w:rPr>
              <w:t>a</w:t>
            </w:r>
            <w:r w:rsidRPr="004C562B">
              <w:rPr>
                <w:rFonts w:eastAsia="Calibri" w:cs="Arial"/>
                <w:szCs w:val="20"/>
              </w:rPr>
              <w:t xml:space="preserve">dů (stávající potrubí </w:t>
            </w:r>
            <w:r w:rsidR="00C21D41">
              <w:rPr>
                <w:rFonts w:eastAsia="Calibri" w:cs="Arial"/>
                <w:szCs w:val="20"/>
              </w:rPr>
              <w:t>bude</w:t>
            </w:r>
            <w:r w:rsidRPr="004C562B">
              <w:rPr>
                <w:rFonts w:eastAsia="Calibri" w:cs="Arial"/>
                <w:szCs w:val="20"/>
              </w:rPr>
              <w:t xml:space="preserve"> nahrazeno </w:t>
            </w:r>
            <w:r w:rsidR="00D62D8F" w:rsidRPr="004C562B">
              <w:rPr>
                <w:rFonts w:eastAsia="Calibri" w:cs="Arial"/>
                <w:szCs w:val="20"/>
              </w:rPr>
              <w:t xml:space="preserve">novým </w:t>
            </w:r>
            <w:r w:rsidRPr="004C562B">
              <w:rPr>
                <w:rFonts w:eastAsia="Calibri" w:cs="Arial"/>
                <w:szCs w:val="20"/>
              </w:rPr>
              <w:t xml:space="preserve">potrubím profilu DN100, DN150, DN200, DN250, DN300 a DN400) včetně obnovy přípojek na veřejných pozemcích; investorem je </w:t>
            </w:r>
            <w:r w:rsidR="00696E96" w:rsidRPr="004C562B">
              <w:rPr>
                <w:rFonts w:eastAsia="Calibri" w:cs="Arial"/>
                <w:szCs w:val="20"/>
              </w:rPr>
              <w:t xml:space="preserve">společník Objednatele </w:t>
            </w:r>
            <w:r w:rsidRPr="00270E89">
              <w:rPr>
                <w:rFonts w:eastAsia="Calibri" w:cs="Arial"/>
                <w:b/>
                <w:bCs/>
                <w:szCs w:val="20"/>
              </w:rPr>
              <w:t>Pražská vodohospodářská společnost a.s.</w:t>
            </w:r>
          </w:p>
          <w:p w14:paraId="0A121DE2" w14:textId="77777777" w:rsidR="003D5C12" w:rsidRDefault="003D5C12" w:rsidP="006A06EC">
            <w:pPr>
              <w:pStyle w:val="Tab"/>
              <w:rPr>
                <w:rFonts w:eastAsia="Calibri" w:cs="Arial"/>
                <w:szCs w:val="20"/>
              </w:rPr>
            </w:pPr>
          </w:p>
          <w:p w14:paraId="6026EE43" w14:textId="77777777" w:rsidR="003D5C12" w:rsidRDefault="003D5C12" w:rsidP="006A06EC">
            <w:pPr>
              <w:pStyle w:val="Tab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Sekce jsou </w:t>
            </w:r>
            <w:r w:rsidR="00510A5B">
              <w:rPr>
                <w:rFonts w:eastAsia="Calibri" w:cs="Arial"/>
                <w:szCs w:val="20"/>
              </w:rPr>
              <w:t>podrobně specifikovány v Technické specifikaci a Výkazu výměr.</w:t>
            </w:r>
          </w:p>
          <w:p w14:paraId="69C0779A" w14:textId="77777777" w:rsidR="00510A5B" w:rsidRDefault="00510A5B" w:rsidP="006A06EC">
            <w:pPr>
              <w:pStyle w:val="Tab"/>
              <w:rPr>
                <w:rFonts w:eastAsia="Calibri" w:cs="Arial"/>
                <w:szCs w:val="20"/>
              </w:rPr>
            </w:pPr>
          </w:p>
          <w:p w14:paraId="07F698F6" w14:textId="77777777" w:rsidR="00510A5B" w:rsidRPr="00510A5B" w:rsidRDefault="00510A5B" w:rsidP="00510A5B">
            <w:pPr>
              <w:pStyle w:val="Tab"/>
              <w:rPr>
                <w:rFonts w:eastAsia="Calibri" w:cs="Arial"/>
                <w:szCs w:val="20"/>
              </w:rPr>
            </w:pPr>
            <w:r w:rsidRPr="00510A5B">
              <w:rPr>
                <w:rFonts w:eastAsia="Calibri" w:cs="Arial"/>
                <w:szCs w:val="20"/>
              </w:rPr>
              <w:lastRenderedPageBreak/>
              <w:t>Pokud:</w:t>
            </w:r>
          </w:p>
          <w:p w14:paraId="1A56C45A" w14:textId="77777777" w:rsidR="00510A5B" w:rsidRPr="00510A5B" w:rsidRDefault="00510A5B" w:rsidP="00F17633">
            <w:pPr>
              <w:pStyle w:val="TabPsm"/>
              <w:numPr>
                <w:ilvl w:val="0"/>
                <w:numId w:val="37"/>
              </w:numPr>
            </w:pPr>
            <w:r w:rsidRPr="00510A5B">
              <w:t>není dále stanoveno jinak;</w:t>
            </w:r>
          </w:p>
          <w:p w14:paraId="0DB75FE7" w14:textId="77777777" w:rsidR="00510A5B" w:rsidRPr="00510A5B" w:rsidRDefault="00510A5B" w:rsidP="00510A5B">
            <w:pPr>
              <w:pStyle w:val="TabPsm"/>
            </w:pPr>
            <w:r w:rsidRPr="00510A5B">
              <w:t>neurčil Správce stavby jinak; nebo</w:t>
            </w:r>
          </w:p>
          <w:p w14:paraId="4EE6E507" w14:textId="77777777" w:rsidR="00510A5B" w:rsidRPr="00510A5B" w:rsidRDefault="00510A5B" w:rsidP="00510A5B">
            <w:pPr>
              <w:pStyle w:val="TabPsm"/>
            </w:pPr>
            <w:r w:rsidRPr="00510A5B">
              <w:t>to není vyloučeno z povahy určité povinnosti,</w:t>
            </w:r>
          </w:p>
          <w:p w14:paraId="0AED1BA8" w14:textId="01E97B28" w:rsidR="00510A5B" w:rsidRDefault="00510A5B" w:rsidP="00510A5B">
            <w:pPr>
              <w:pStyle w:val="Tab"/>
              <w:rPr>
                <w:rFonts w:eastAsia="Calibri" w:cs="Arial"/>
                <w:szCs w:val="20"/>
              </w:rPr>
            </w:pPr>
            <w:r w:rsidRPr="00510A5B">
              <w:rPr>
                <w:rFonts w:eastAsia="Calibri" w:cs="Arial"/>
                <w:szCs w:val="20"/>
              </w:rPr>
              <w:t xml:space="preserve">musí Strany </w:t>
            </w:r>
            <w:r w:rsidR="00F5696E">
              <w:rPr>
                <w:rFonts w:eastAsia="Calibri" w:cs="Arial"/>
                <w:szCs w:val="20"/>
              </w:rPr>
              <w:t xml:space="preserve">a Správce stavby </w:t>
            </w:r>
            <w:r w:rsidRPr="00510A5B">
              <w:rPr>
                <w:rFonts w:eastAsia="Calibri" w:cs="Arial"/>
                <w:szCs w:val="20"/>
              </w:rPr>
              <w:t>každou svou povinnost vyplývající ze Smlouvy plnit ve vztahu ke každé Sekci samostatně (to se týká např. úkonů souvisejících s Dokumenty zhotovitele, vedením Stavebních deníků nebo jiných evidencí, Vyúčtováním nebo Fakturami).</w:t>
            </w:r>
          </w:p>
          <w:p w14:paraId="4EFA4246" w14:textId="77777777" w:rsidR="00061E08" w:rsidRDefault="00061E08" w:rsidP="00510A5B">
            <w:pPr>
              <w:pStyle w:val="Tab"/>
              <w:rPr>
                <w:rFonts w:eastAsia="Calibri" w:cs="Arial"/>
                <w:szCs w:val="20"/>
              </w:rPr>
            </w:pPr>
          </w:p>
          <w:p w14:paraId="7ADFE4D1" w14:textId="3EDB8F34" w:rsidR="00F17633" w:rsidRDefault="00510A5B" w:rsidP="00510A5B">
            <w:pPr>
              <w:pStyle w:val="Tab"/>
              <w:rPr>
                <w:rFonts w:eastAsia="Calibri" w:cs="Arial"/>
                <w:szCs w:val="20"/>
              </w:rPr>
            </w:pPr>
            <w:r w:rsidRPr="00510A5B">
              <w:rPr>
                <w:rFonts w:eastAsia="Calibri" w:cs="Arial"/>
                <w:szCs w:val="20"/>
              </w:rPr>
              <w:t xml:space="preserve">Pokud Správce stavby neurčil jinak, musí být částky za provedené práce, </w:t>
            </w:r>
            <w:r w:rsidR="00156B76">
              <w:rPr>
                <w:rFonts w:eastAsia="Calibri" w:cs="Arial"/>
                <w:szCs w:val="20"/>
              </w:rPr>
              <w:t>u kterých nebylo možn</w:t>
            </w:r>
            <w:r w:rsidR="00F815F3">
              <w:rPr>
                <w:rFonts w:eastAsia="Calibri" w:cs="Arial"/>
                <w:szCs w:val="20"/>
              </w:rPr>
              <w:t>é</w:t>
            </w:r>
            <w:r w:rsidR="00156B76">
              <w:rPr>
                <w:rFonts w:eastAsia="Calibri" w:cs="Arial"/>
                <w:szCs w:val="20"/>
              </w:rPr>
              <w:t xml:space="preserve"> určit, že se jednoznačně týkají výlučně některé ze Sekcí</w:t>
            </w:r>
            <w:r w:rsidRPr="00510A5B">
              <w:rPr>
                <w:rFonts w:eastAsia="Calibri" w:cs="Arial"/>
                <w:szCs w:val="20"/>
              </w:rPr>
              <w:t>, rozděleny mezi Vyúčtování a Faktury vystavené pro jednotlivé Sekce</w:t>
            </w:r>
            <w:r w:rsidR="00F17633">
              <w:rPr>
                <w:rFonts w:eastAsia="Calibri" w:cs="Arial"/>
                <w:szCs w:val="20"/>
              </w:rPr>
              <w:t>:</w:t>
            </w:r>
          </w:p>
          <w:p w14:paraId="454AB4E7" w14:textId="78B6E8E1" w:rsidR="00510A5B" w:rsidRDefault="00510A5B" w:rsidP="00F17633">
            <w:pPr>
              <w:pStyle w:val="TabPsm"/>
              <w:numPr>
                <w:ilvl w:val="0"/>
                <w:numId w:val="36"/>
              </w:numPr>
            </w:pPr>
            <w:r w:rsidRPr="00510A5B">
              <w:t>podle skutečného přínosu takových prací k dokončení každé Sekce</w:t>
            </w:r>
            <w:r w:rsidR="00F17633">
              <w:t>;</w:t>
            </w:r>
            <w:r w:rsidRPr="00510A5B">
              <w:t xml:space="preserve"> nebo</w:t>
            </w:r>
          </w:p>
          <w:p w14:paraId="3D55DB09" w14:textId="20A56129" w:rsidR="002124A2" w:rsidRDefault="002124A2" w:rsidP="00F17633">
            <w:pPr>
              <w:pStyle w:val="TabPsm"/>
              <w:numPr>
                <w:ilvl w:val="0"/>
                <w:numId w:val="36"/>
              </w:numPr>
            </w:pPr>
            <w:r w:rsidRPr="002124A2">
              <w:t xml:space="preserve">v poměru, který se bude rovnat poměru nabídkových cen </w:t>
            </w:r>
            <w:r w:rsidR="00BC51E9">
              <w:t>S</w:t>
            </w:r>
            <w:r w:rsidRPr="002124A2">
              <w:t xml:space="preserve">ekcí podle nabídky </w:t>
            </w:r>
            <w:r w:rsidR="00BC51E9">
              <w:t>Z</w:t>
            </w:r>
            <w:r w:rsidRPr="002124A2">
              <w:t xml:space="preserve">hotovitele podané v </w:t>
            </w:r>
            <w:r w:rsidR="00BC51E9">
              <w:t>Z</w:t>
            </w:r>
            <w:r w:rsidRPr="002124A2">
              <w:t xml:space="preserve">adávacím řízení, pokud nebude možný nebo účelný postup podle předchozího </w:t>
            </w:r>
            <w:r w:rsidR="00BC51E9">
              <w:t>pod-odstavce</w:t>
            </w:r>
            <w:r>
              <w:t>.</w:t>
            </w:r>
          </w:p>
          <w:p w14:paraId="446F8A17" w14:textId="77777777" w:rsidR="006670CE" w:rsidRDefault="006670CE" w:rsidP="00510A5B">
            <w:pPr>
              <w:pStyle w:val="Tab"/>
              <w:rPr>
                <w:rFonts w:eastAsia="Calibri" w:cs="Arial"/>
                <w:szCs w:val="20"/>
              </w:rPr>
            </w:pPr>
          </w:p>
          <w:p w14:paraId="66D21E33" w14:textId="0DED69F2" w:rsidR="005B52AA" w:rsidRDefault="005B52AA" w:rsidP="00510A5B">
            <w:pPr>
              <w:pStyle w:val="Tab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K tomu viz též údaje k Pod-článku </w:t>
            </w:r>
            <w:r w:rsidR="00DE11B1">
              <w:rPr>
                <w:rFonts w:eastAsia="Calibri" w:cs="Arial"/>
                <w:szCs w:val="20"/>
              </w:rPr>
              <w:t>1.1.4.13 [Faktura].</w:t>
            </w:r>
          </w:p>
          <w:p w14:paraId="1C21475F" w14:textId="77777777" w:rsidR="005B52AA" w:rsidRPr="00510A5B" w:rsidRDefault="005B52AA" w:rsidP="00510A5B">
            <w:pPr>
              <w:pStyle w:val="Tab"/>
              <w:rPr>
                <w:rFonts w:eastAsia="Calibri" w:cs="Arial"/>
                <w:szCs w:val="20"/>
              </w:rPr>
            </w:pPr>
          </w:p>
          <w:p w14:paraId="5E0AD696" w14:textId="77777777" w:rsidR="00510A5B" w:rsidRPr="00510A5B" w:rsidRDefault="00510A5B" w:rsidP="00510A5B">
            <w:pPr>
              <w:pStyle w:val="Tab"/>
              <w:rPr>
                <w:rFonts w:eastAsia="Calibri" w:cs="Arial"/>
                <w:szCs w:val="20"/>
              </w:rPr>
            </w:pPr>
            <w:r w:rsidRPr="00510A5B">
              <w:rPr>
                <w:rFonts w:eastAsia="Calibri" w:cs="Arial"/>
                <w:szCs w:val="20"/>
              </w:rPr>
              <w:t>Povinnosti týkající se:</w:t>
            </w:r>
          </w:p>
          <w:p w14:paraId="60D71C12" w14:textId="6C029C66" w:rsidR="00510A5B" w:rsidRPr="00510A5B" w:rsidRDefault="00510A5B" w:rsidP="006670CE">
            <w:pPr>
              <w:pStyle w:val="TabPsm"/>
              <w:numPr>
                <w:ilvl w:val="0"/>
                <w:numId w:val="35"/>
              </w:numPr>
            </w:pPr>
            <w:r w:rsidRPr="00510A5B">
              <w:t>Zajištění splnění smlouvy</w:t>
            </w:r>
            <w:r w:rsidR="007F45D1">
              <w:t xml:space="preserve"> (je-li takové)</w:t>
            </w:r>
            <w:r w:rsidRPr="00510A5B">
              <w:t>;</w:t>
            </w:r>
            <w:r w:rsidR="007F45D1">
              <w:t xml:space="preserve"> a</w:t>
            </w:r>
          </w:p>
          <w:p w14:paraId="7D677865" w14:textId="1F71F7A5" w:rsidR="00510A5B" w:rsidRPr="00510A5B" w:rsidRDefault="00510A5B">
            <w:pPr>
              <w:pStyle w:val="TabPsm"/>
              <w:numPr>
                <w:ilvl w:val="0"/>
                <w:numId w:val="35"/>
              </w:numPr>
            </w:pPr>
            <w:r w:rsidRPr="00510A5B">
              <w:t>pojištění Zhotovitele</w:t>
            </w:r>
            <w:r w:rsidR="00862A4D">
              <w:t>,</w:t>
            </w:r>
          </w:p>
          <w:p w14:paraId="77BB6512" w14:textId="1C50B8A3" w:rsidR="00510A5B" w:rsidRPr="00D32356" w:rsidRDefault="00510A5B" w:rsidP="007F45D1">
            <w:pPr>
              <w:pStyle w:val="Tab"/>
            </w:pPr>
            <w:r w:rsidRPr="00510A5B">
              <w:t>musí Zhotovitel splnit ve vztahu k Dílu jako celku bez ohledu na</w:t>
            </w:r>
            <w:r w:rsidR="007F45D1">
              <w:t> </w:t>
            </w:r>
            <w:r w:rsidRPr="00510A5B">
              <w:t>jeho rozdělení na Sekce.</w:t>
            </w:r>
          </w:p>
        </w:tc>
      </w:tr>
      <w:tr w:rsidR="004025EE" w:rsidRPr="00502C09" w14:paraId="144CD4CF" w14:textId="77777777" w:rsidTr="00B44865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5577F97B" w14:textId="55D2CDED" w:rsidR="004025EE" w:rsidRPr="006144AE" w:rsidRDefault="004025EE" w:rsidP="004025EE">
            <w:pPr>
              <w:pStyle w:val="Tab"/>
            </w:pPr>
            <w:r w:rsidRPr="006144AE">
              <w:lastRenderedPageBreak/>
              <w:t>CDE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6AAD100" w14:textId="047FADB2" w:rsidR="004025EE" w:rsidRPr="006144AE" w:rsidRDefault="004025EE" w:rsidP="004025EE">
            <w:pPr>
              <w:pStyle w:val="Tab"/>
            </w:pPr>
            <w:r w:rsidRPr="006144AE">
              <w:t>1.1.6.10</w:t>
            </w:r>
          </w:p>
        </w:tc>
        <w:tc>
          <w:tcPr>
            <w:tcW w:w="5844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2AA2C7C9" w14:textId="77777777" w:rsidR="004025EE" w:rsidRPr="00C73ACA" w:rsidRDefault="004025EE" w:rsidP="004025EE">
            <w:pPr>
              <w:pStyle w:val="Tab"/>
              <w:rPr>
                <w:rFonts w:eastAsia="Calibri" w:cs="Arial"/>
                <w:szCs w:val="20"/>
              </w:rPr>
            </w:pPr>
            <w:r w:rsidRPr="00C73ACA">
              <w:rPr>
                <w:rFonts w:eastAsia="Calibri" w:cs="Arial"/>
                <w:szCs w:val="20"/>
              </w:rPr>
              <w:t>Objednatel používá aplikaci Proconom.</w:t>
            </w:r>
          </w:p>
          <w:p w14:paraId="41D72CC8" w14:textId="77777777" w:rsidR="004025EE" w:rsidRPr="00C73ACA" w:rsidRDefault="004025EE" w:rsidP="004025EE">
            <w:pPr>
              <w:pStyle w:val="Tab"/>
              <w:rPr>
                <w:rFonts w:eastAsia="Calibri" w:cs="Arial"/>
                <w:szCs w:val="20"/>
              </w:rPr>
            </w:pPr>
            <w:r w:rsidRPr="00C73ACA">
              <w:rPr>
                <w:rFonts w:eastAsia="Calibri" w:cs="Arial"/>
                <w:szCs w:val="20"/>
              </w:rPr>
              <w:t xml:space="preserve"> </w:t>
            </w:r>
          </w:p>
          <w:p w14:paraId="76DDC86C" w14:textId="77777777" w:rsidR="004025EE" w:rsidRPr="00C73ACA" w:rsidRDefault="004025EE" w:rsidP="004025EE">
            <w:pPr>
              <w:pStyle w:val="Tab"/>
              <w:rPr>
                <w:rFonts w:eastAsia="Calibri" w:cs="Arial"/>
                <w:szCs w:val="20"/>
              </w:rPr>
            </w:pPr>
            <w:r w:rsidRPr="00C73ACA">
              <w:rPr>
                <w:rFonts w:eastAsia="Calibri" w:cs="Arial"/>
                <w:szCs w:val="20"/>
              </w:rPr>
              <w:t>Za účelem používání CDE musí Zhotovitel na vlastní náklady zajistit:</w:t>
            </w:r>
          </w:p>
          <w:p w14:paraId="355EDA49" w14:textId="10F53046" w:rsidR="004025EE" w:rsidRPr="00C73ACA" w:rsidRDefault="004025EE" w:rsidP="004025EE">
            <w:pPr>
              <w:pStyle w:val="TabPsm"/>
              <w:numPr>
                <w:ilvl w:val="0"/>
                <w:numId w:val="32"/>
              </w:numPr>
            </w:pPr>
            <w:r w:rsidRPr="00C73ACA">
              <w:t>propojení Zhotovitelem používané aplikace a aplikace Proconom prostřednictvím otevřeného API a dále přístup do Zhotovitelem používané aplikace pro personál Správce stavby v přiměřeném rozsahu včetně potřebných licencí; nebo</w:t>
            </w:r>
          </w:p>
          <w:p w14:paraId="12E8F086" w14:textId="16504A89" w:rsidR="004025EE" w:rsidRPr="00C73ACA" w:rsidRDefault="004025EE" w:rsidP="004025EE">
            <w:pPr>
              <w:pStyle w:val="TabPsm"/>
              <w:numPr>
                <w:ilvl w:val="0"/>
                <w:numId w:val="32"/>
              </w:numPr>
            </w:pPr>
            <w:r w:rsidRPr="00C73ACA">
              <w:t>přístup do aplikace Proconom pro Personál zhotovitele a pro personál Správce stavby v přiměřeném rozsahu včetně potřebných licencí.</w:t>
            </w:r>
          </w:p>
          <w:p w14:paraId="1220EDBB" w14:textId="36414262" w:rsidR="004025EE" w:rsidRPr="006144AE" w:rsidRDefault="004025EE" w:rsidP="004025EE">
            <w:pPr>
              <w:pStyle w:val="Tab"/>
              <w:rPr>
                <w:rFonts w:eastAsia="Calibri" w:cs="Arial"/>
                <w:szCs w:val="20"/>
              </w:rPr>
            </w:pPr>
            <w:r w:rsidRPr="00C73ACA">
              <w:rPr>
                <w:rFonts w:eastAsia="Calibri" w:cs="Arial"/>
                <w:szCs w:val="20"/>
              </w:rPr>
              <w:t>Objednatel musí Zhotoviteli poskytnout potřebnou součinnost (např. nastavení přístupových práv k dotčenému projektu).</w:t>
            </w:r>
          </w:p>
        </w:tc>
      </w:tr>
      <w:tr w:rsidR="004025EE" w:rsidRPr="00502C09" w14:paraId="69CAFBE8" w14:textId="77777777" w:rsidTr="00B44865">
        <w:trPr>
          <w:trHeight w:val="20"/>
          <w:jc w:val="center"/>
        </w:trPr>
        <w:tc>
          <w:tcPr>
            <w:tcW w:w="2268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14:paraId="1216BCA3" w14:textId="09F7BA2D" w:rsidR="004025EE" w:rsidRPr="009C04ED" w:rsidRDefault="004025EE" w:rsidP="004025EE">
            <w:pPr>
              <w:pStyle w:val="Tab"/>
            </w:pPr>
            <w:r w:rsidRPr="009C04ED">
              <w:lastRenderedPageBreak/>
              <w:t>Komunikační prostředky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14:paraId="0D4F6A99" w14:textId="3C1D521F" w:rsidR="004025EE" w:rsidRPr="009C04ED" w:rsidRDefault="004025EE" w:rsidP="004025EE">
            <w:pPr>
              <w:pStyle w:val="Tab"/>
            </w:pPr>
            <w:r w:rsidRPr="009C04ED">
              <w:t>1.3</w:t>
            </w:r>
          </w:p>
        </w:tc>
        <w:tc>
          <w:tcPr>
            <w:tcW w:w="5844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4C1D8611" w14:textId="5330998B" w:rsidR="004025EE" w:rsidRPr="009C04ED" w:rsidRDefault="004025EE" w:rsidP="004025EE">
            <w:pPr>
              <w:pStyle w:val="Tab"/>
              <w:keepNext/>
              <w:rPr>
                <w:b/>
                <w:bCs/>
              </w:rPr>
            </w:pPr>
            <w:r w:rsidRPr="009C04ED">
              <w:rPr>
                <w:b/>
                <w:bCs/>
              </w:rPr>
              <w:t>systém elektronického přenosu:</w:t>
            </w:r>
          </w:p>
          <w:p w14:paraId="0A7F3A1F" w14:textId="77777777" w:rsidR="004025EE" w:rsidRPr="009C04ED" w:rsidRDefault="004025EE" w:rsidP="00BC7A01">
            <w:pPr>
              <w:pStyle w:val="Tab"/>
              <w:keepNext/>
            </w:pPr>
          </w:p>
          <w:p w14:paraId="66B795A3" w14:textId="30BC1909" w:rsidR="004025EE" w:rsidRPr="009C04ED" w:rsidRDefault="004025EE" w:rsidP="004025EE">
            <w:pPr>
              <w:pStyle w:val="Tab"/>
            </w:pPr>
            <w:r w:rsidRPr="009C04ED">
              <w:t>CDE; pokud CDE neexistuje nebo jeho použití není z objektivních důvodů možné, tak:</w:t>
            </w:r>
          </w:p>
          <w:p w14:paraId="64738B26" w14:textId="38E115CF" w:rsidR="004025EE" w:rsidRPr="009C04ED" w:rsidRDefault="004025EE" w:rsidP="004025EE">
            <w:pPr>
              <w:pStyle w:val="TabPsm"/>
              <w:numPr>
                <w:ilvl w:val="0"/>
                <w:numId w:val="33"/>
              </w:numPr>
            </w:pPr>
            <w:r w:rsidRPr="009C04ED">
              <w:t>datová schránka; nebo</w:t>
            </w:r>
          </w:p>
          <w:p w14:paraId="3AB91798" w14:textId="6C241A2C" w:rsidR="004025EE" w:rsidRPr="009C04ED" w:rsidRDefault="004025EE" w:rsidP="004025EE">
            <w:pPr>
              <w:pStyle w:val="TabPsm"/>
            </w:pPr>
            <w:r w:rsidRPr="009C04ED">
              <w:t>e-mail za použití uznávaného elektronického podpisu</w:t>
            </w:r>
          </w:p>
        </w:tc>
      </w:tr>
      <w:tr w:rsidR="004025EE" w:rsidRPr="00502C09" w14:paraId="20377132" w14:textId="77777777" w:rsidTr="00B44865">
        <w:trPr>
          <w:trHeight w:val="20"/>
          <w:jc w:val="center"/>
        </w:trPr>
        <w:tc>
          <w:tcPr>
            <w:tcW w:w="2268" w:type="dxa"/>
            <w:vMerge/>
            <w:tcMar>
              <w:left w:w="0" w:type="dxa"/>
            </w:tcMar>
            <w:vAlign w:val="center"/>
          </w:tcPr>
          <w:p w14:paraId="5B45121E" w14:textId="77777777" w:rsidR="004025EE" w:rsidRDefault="004025EE" w:rsidP="004025EE">
            <w:pPr>
              <w:pStyle w:val="Tab"/>
            </w:pPr>
          </w:p>
        </w:tc>
        <w:tc>
          <w:tcPr>
            <w:tcW w:w="960" w:type="dxa"/>
            <w:vMerge/>
            <w:vAlign w:val="center"/>
          </w:tcPr>
          <w:p w14:paraId="03D4E8F6" w14:textId="77777777" w:rsidR="004025EE" w:rsidRPr="00502C09" w:rsidRDefault="004025EE" w:rsidP="004025EE">
            <w:pPr>
              <w:pStyle w:val="Tab"/>
            </w:pPr>
          </w:p>
        </w:tc>
        <w:tc>
          <w:tcPr>
            <w:tcW w:w="5844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429CEF95" w14:textId="57317722" w:rsidR="004025EE" w:rsidRPr="000729AB" w:rsidRDefault="004025EE" w:rsidP="004025EE">
            <w:pPr>
              <w:pStyle w:val="Tab"/>
              <w:keepNext/>
              <w:rPr>
                <w:b/>
                <w:bCs/>
              </w:rPr>
            </w:pPr>
            <w:r w:rsidRPr="000729AB">
              <w:rPr>
                <w:b/>
                <w:bCs/>
              </w:rPr>
              <w:t>Objednatel:</w:t>
            </w:r>
          </w:p>
          <w:p w14:paraId="1FB434D6" w14:textId="77777777" w:rsidR="004025EE" w:rsidRDefault="004025EE" w:rsidP="004025EE">
            <w:pPr>
              <w:pStyle w:val="Tab"/>
            </w:pPr>
          </w:p>
          <w:p w14:paraId="199FFF52" w14:textId="786E3ADF" w:rsidR="004025EE" w:rsidRDefault="004025EE" w:rsidP="004025EE">
            <w:pPr>
              <w:pStyle w:val="Tab"/>
              <w:keepNext/>
            </w:pPr>
            <w:r>
              <w:t>adresa:</w:t>
            </w:r>
          </w:p>
          <w:p w14:paraId="37D5792B" w14:textId="544ABDE6" w:rsidR="004025EE" w:rsidRDefault="004025EE" w:rsidP="004025EE">
            <w:pPr>
              <w:pStyle w:val="Tab"/>
            </w:pPr>
            <w:r w:rsidRPr="008B137B">
              <w:t>Technická správa komunikací hl. m. Prahy, a.s.</w:t>
            </w:r>
          </w:p>
          <w:p w14:paraId="7EF93ABA" w14:textId="69221334" w:rsidR="004025EE" w:rsidRDefault="004025EE" w:rsidP="004025EE">
            <w:pPr>
              <w:pStyle w:val="Tab"/>
            </w:pPr>
            <w:r w:rsidRPr="009E7754">
              <w:t>Veletržní 1623/24, 170 00 Praha 7 – Holešovice</w:t>
            </w:r>
          </w:p>
          <w:p w14:paraId="3DF603F0" w14:textId="75FF6630" w:rsidR="004025EE" w:rsidRDefault="004025EE" w:rsidP="004025EE">
            <w:pPr>
              <w:pStyle w:val="Tab"/>
            </w:pPr>
            <w:r>
              <w:t xml:space="preserve">k rukám: </w:t>
            </w:r>
            <w:r w:rsidR="00CB1382" w:rsidRPr="00A21387">
              <w:t>I</w:t>
            </w:r>
            <w:r w:rsidR="00352C28">
              <w:t>xxxxxxxxxxxxx</w:t>
            </w:r>
          </w:p>
          <w:p w14:paraId="3A4EFCF0" w14:textId="173F60DB" w:rsidR="004025EE" w:rsidRDefault="0009726E" w:rsidP="004025EE">
            <w:pPr>
              <w:pStyle w:val="Tab"/>
            </w:pPr>
            <w:r>
              <w:t xml:space="preserve">              </w:t>
            </w:r>
          </w:p>
          <w:p w14:paraId="034A5756" w14:textId="77777777" w:rsidR="004025EE" w:rsidRDefault="004025EE" w:rsidP="004025EE">
            <w:pPr>
              <w:pStyle w:val="Tab"/>
              <w:keepNext/>
            </w:pPr>
            <w:r>
              <w:t>ID datové schránky:</w:t>
            </w:r>
          </w:p>
          <w:p w14:paraId="5605310B" w14:textId="77777777" w:rsidR="004025EE" w:rsidRDefault="004025EE" w:rsidP="004025EE">
            <w:pPr>
              <w:pStyle w:val="Tab"/>
            </w:pPr>
            <w:r>
              <w:t>mivq4t3</w:t>
            </w:r>
          </w:p>
          <w:p w14:paraId="13144733" w14:textId="77773A11" w:rsidR="004025EE" w:rsidRDefault="004025EE" w:rsidP="004025EE">
            <w:pPr>
              <w:pStyle w:val="Tab"/>
            </w:pPr>
            <w:r>
              <w:t xml:space="preserve">k rukám: </w:t>
            </w:r>
            <w:r w:rsidR="00352C28">
              <w:t>xxxxxxxxxxxx</w:t>
            </w:r>
          </w:p>
          <w:p w14:paraId="203752AF" w14:textId="6E4DBD82" w:rsidR="004025EE" w:rsidRDefault="00545BB1" w:rsidP="004025EE">
            <w:pPr>
              <w:pStyle w:val="Tab"/>
            </w:pPr>
            <w:r>
              <w:t xml:space="preserve">            </w:t>
            </w:r>
            <w:r w:rsidR="00E7747B">
              <w:t xml:space="preserve">  </w:t>
            </w:r>
          </w:p>
          <w:p w14:paraId="056BCC55" w14:textId="77777777" w:rsidR="004025EE" w:rsidRDefault="004025EE" w:rsidP="004025EE">
            <w:pPr>
              <w:pStyle w:val="Tab"/>
              <w:keepNext/>
            </w:pPr>
            <w:r>
              <w:t>e-mailová adresa:</w:t>
            </w:r>
          </w:p>
          <w:p w14:paraId="270CE106" w14:textId="1CF2FA38" w:rsidR="00351D51" w:rsidRDefault="00352C28" w:rsidP="00351D51">
            <w:pPr>
              <w:pStyle w:val="Tab"/>
              <w:rPr>
                <w:rStyle w:val="Hypertextovodkaz"/>
              </w:rPr>
            </w:pPr>
            <w:hyperlink r:id="rId15" w:history="1">
              <w:r>
                <w:rPr>
                  <w:rStyle w:val="Hypertextovodkaz"/>
                </w:rPr>
                <w:t>xxxxxxxxxxxxx</w:t>
              </w:r>
            </w:hyperlink>
          </w:p>
          <w:p w14:paraId="2A22A675" w14:textId="4DFEC6F1" w:rsidR="0058308C" w:rsidRDefault="00352C28" w:rsidP="0058308C">
            <w:pPr>
              <w:rPr>
                <w:rFonts w:asciiTheme="minorHAnsi" w:hAnsiTheme="minorHAnsi"/>
              </w:rPr>
            </w:pPr>
            <w:hyperlink r:id="rId16" w:history="1">
              <w:r>
                <w:rPr>
                  <w:rStyle w:val="Hypertextovodkaz"/>
                </w:rPr>
                <w:t>xxxxxxxxxxxxxx</w:t>
              </w:r>
            </w:hyperlink>
          </w:p>
          <w:p w14:paraId="65D6E662" w14:textId="77777777" w:rsidR="0009726E" w:rsidRDefault="0009726E" w:rsidP="00351D51">
            <w:pPr>
              <w:pStyle w:val="Tab"/>
            </w:pPr>
          </w:p>
          <w:p w14:paraId="0275CFFF" w14:textId="0DCC3CB3" w:rsidR="004025EE" w:rsidRPr="0048768F" w:rsidRDefault="004025EE" w:rsidP="004025EE">
            <w:pPr>
              <w:pStyle w:val="Tab"/>
              <w:keepNext/>
            </w:pPr>
            <w:r w:rsidRPr="0048768F">
              <w:t xml:space="preserve">e-mailová adresa pro doručení </w:t>
            </w:r>
            <w:r>
              <w:t>F</w:t>
            </w:r>
            <w:r w:rsidRPr="0048768F">
              <w:t>aktury</w:t>
            </w:r>
            <w:r w:rsidR="00AE5447">
              <w:t xml:space="preserve"> k Sekci TSK</w:t>
            </w:r>
            <w:r w:rsidRPr="0048768F">
              <w:t>:</w:t>
            </w:r>
          </w:p>
          <w:p w14:paraId="6E47A775" w14:textId="0B590F27" w:rsidR="004025EE" w:rsidRDefault="00352C28" w:rsidP="004025EE">
            <w:pPr>
              <w:pStyle w:val="Tab"/>
              <w:rPr>
                <w:rStyle w:val="Hypertextovodkaz"/>
              </w:rPr>
            </w:pPr>
            <w:hyperlink r:id="rId17" w:history="1">
              <w:r>
                <w:rPr>
                  <w:rStyle w:val="Hypertextovodkaz"/>
                </w:rPr>
                <w:t>xxxxxxxxxxxxx</w:t>
              </w:r>
            </w:hyperlink>
          </w:p>
          <w:p w14:paraId="6587B213" w14:textId="77777777" w:rsidR="001A32D0" w:rsidRDefault="001A32D0" w:rsidP="004025EE">
            <w:pPr>
              <w:pStyle w:val="Tab"/>
              <w:rPr>
                <w:rStyle w:val="Hypertextovodkaz"/>
              </w:rPr>
            </w:pPr>
          </w:p>
          <w:p w14:paraId="1FDFCC4D" w14:textId="00525195" w:rsidR="001A32D0" w:rsidRPr="0048768F" w:rsidRDefault="001A32D0" w:rsidP="001A32D0">
            <w:pPr>
              <w:pStyle w:val="Tab"/>
              <w:keepNext/>
            </w:pPr>
            <w:r w:rsidRPr="0048768F">
              <w:t xml:space="preserve">e-mailová adresa pro doručení </w:t>
            </w:r>
            <w:r>
              <w:t>F</w:t>
            </w:r>
            <w:r w:rsidRPr="0048768F">
              <w:t>aktury</w:t>
            </w:r>
            <w:r>
              <w:t xml:space="preserve"> k Sekci PVS</w:t>
            </w:r>
            <w:r w:rsidRPr="0048768F">
              <w:t>:</w:t>
            </w:r>
          </w:p>
          <w:p w14:paraId="19F9D39A" w14:textId="20302282" w:rsidR="001A32D0" w:rsidRPr="005750C6" w:rsidRDefault="00352C28" w:rsidP="001A32D0">
            <w:pPr>
              <w:pStyle w:val="Tab"/>
              <w:rPr>
                <w:highlight w:val="magenta"/>
              </w:rPr>
            </w:pPr>
            <w:hyperlink r:id="rId18" w:history="1">
              <w:r>
                <w:rPr>
                  <w:rStyle w:val="Hypertextovodkaz"/>
                </w:rPr>
                <w:t>xxxxxxxxxxxxxxxxxxxx</w:t>
              </w:r>
            </w:hyperlink>
          </w:p>
        </w:tc>
      </w:tr>
      <w:tr w:rsidR="004025EE" w:rsidRPr="00502C09" w14:paraId="53C20999" w14:textId="77777777" w:rsidTr="00B44865">
        <w:trPr>
          <w:trHeight w:val="20"/>
          <w:jc w:val="center"/>
        </w:trPr>
        <w:tc>
          <w:tcPr>
            <w:tcW w:w="2268" w:type="dxa"/>
            <w:vMerge/>
            <w:tcMar>
              <w:left w:w="0" w:type="dxa"/>
            </w:tcMar>
            <w:vAlign w:val="center"/>
          </w:tcPr>
          <w:p w14:paraId="09FE5220" w14:textId="77777777" w:rsidR="004025EE" w:rsidRDefault="004025EE" w:rsidP="004025EE">
            <w:pPr>
              <w:pStyle w:val="Tab"/>
            </w:pPr>
          </w:p>
        </w:tc>
        <w:tc>
          <w:tcPr>
            <w:tcW w:w="960" w:type="dxa"/>
            <w:vMerge/>
            <w:vAlign w:val="center"/>
          </w:tcPr>
          <w:p w14:paraId="7CA1499F" w14:textId="77777777" w:rsidR="004025EE" w:rsidRPr="00502C09" w:rsidRDefault="004025EE" w:rsidP="004025EE">
            <w:pPr>
              <w:pStyle w:val="Tab"/>
            </w:pPr>
          </w:p>
        </w:tc>
        <w:tc>
          <w:tcPr>
            <w:tcW w:w="5844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2CF0DDF7" w14:textId="77777777" w:rsidR="004025EE" w:rsidRPr="000729AB" w:rsidRDefault="004025EE" w:rsidP="004025EE">
            <w:pPr>
              <w:pStyle w:val="Tab"/>
              <w:keepNext/>
              <w:rPr>
                <w:b/>
                <w:bCs/>
              </w:rPr>
            </w:pPr>
            <w:r w:rsidRPr="000729AB">
              <w:rPr>
                <w:b/>
                <w:bCs/>
              </w:rPr>
              <w:t>Zhotovitel:</w:t>
            </w:r>
          </w:p>
          <w:p w14:paraId="2DCAACA2" w14:textId="77777777" w:rsidR="004025EE" w:rsidRPr="008B278D" w:rsidRDefault="004025EE" w:rsidP="004025EE">
            <w:pPr>
              <w:pStyle w:val="Tab"/>
            </w:pPr>
          </w:p>
          <w:p w14:paraId="7DD792D8" w14:textId="78C63CFB" w:rsidR="004025EE" w:rsidRDefault="004025EE" w:rsidP="004025EE">
            <w:pPr>
              <w:pStyle w:val="Tab"/>
              <w:keepNext/>
            </w:pPr>
            <w:r w:rsidRPr="008B278D">
              <w:t>adresa:</w:t>
            </w:r>
          </w:p>
          <w:p w14:paraId="681E5BE6" w14:textId="031B4E14" w:rsidR="00EF1BFB" w:rsidRPr="008B278D" w:rsidRDefault="00EF1BFB" w:rsidP="004025EE">
            <w:pPr>
              <w:pStyle w:val="Tab"/>
              <w:keepNext/>
            </w:pPr>
            <w:r w:rsidRPr="00EF1BFB">
              <w:t>Společnost Peroutkova STR.SIL.a.s. + CER.HRA.a.s</w:t>
            </w:r>
          </w:p>
          <w:p w14:paraId="32EF5779" w14:textId="7C211FDB" w:rsidR="004025EE" w:rsidRPr="008B278D" w:rsidRDefault="00EF1BFB" w:rsidP="004025EE">
            <w:pPr>
              <w:pStyle w:val="Tab"/>
            </w:pPr>
            <w:r w:rsidRPr="00045518">
              <w:rPr>
                <w:rFonts w:cstheme="minorHAnsi"/>
              </w:rPr>
              <w:t>Kačírkova 982/4, Jinonice, 158 00 Praha 5</w:t>
            </w:r>
          </w:p>
          <w:p w14:paraId="62FCD0EA" w14:textId="126E6B8B" w:rsidR="004025EE" w:rsidRDefault="004025EE" w:rsidP="004025EE">
            <w:pPr>
              <w:pStyle w:val="Tab"/>
            </w:pPr>
            <w:r>
              <w:t xml:space="preserve">k rukám: </w:t>
            </w:r>
            <w:r w:rsidR="00352C28">
              <w:t>xxxxxxxxxxxx</w:t>
            </w:r>
          </w:p>
          <w:p w14:paraId="76A02D08" w14:textId="77777777" w:rsidR="004025EE" w:rsidRPr="008B278D" w:rsidRDefault="004025EE" w:rsidP="004025EE">
            <w:pPr>
              <w:pStyle w:val="Tab"/>
            </w:pPr>
          </w:p>
          <w:p w14:paraId="6598B4C9" w14:textId="77777777" w:rsidR="004025EE" w:rsidRPr="008B278D" w:rsidRDefault="004025EE" w:rsidP="004025EE">
            <w:pPr>
              <w:pStyle w:val="Tab"/>
              <w:keepNext/>
            </w:pPr>
            <w:r w:rsidRPr="008B278D">
              <w:t>ID datové schránky:</w:t>
            </w:r>
          </w:p>
          <w:p w14:paraId="44ACEF01" w14:textId="0A6E9248" w:rsidR="004025EE" w:rsidRPr="008B278D" w:rsidRDefault="007826CD" w:rsidP="004025EE">
            <w:pPr>
              <w:pStyle w:val="Tab"/>
            </w:pPr>
            <w:r w:rsidRPr="007826CD">
              <w:t>5k5equ5</w:t>
            </w:r>
          </w:p>
          <w:p w14:paraId="4618A179" w14:textId="7DA3D4EC" w:rsidR="004025EE" w:rsidRDefault="004025EE" w:rsidP="004025EE">
            <w:pPr>
              <w:pStyle w:val="Tab"/>
            </w:pPr>
            <w:r>
              <w:t xml:space="preserve">k rukám: </w:t>
            </w:r>
            <w:r w:rsidR="00352C28">
              <w:t>xxxxxxxxxxxxx</w:t>
            </w:r>
          </w:p>
          <w:p w14:paraId="4B39426A" w14:textId="77777777" w:rsidR="004025EE" w:rsidRPr="008B278D" w:rsidRDefault="004025EE" w:rsidP="004025EE">
            <w:pPr>
              <w:pStyle w:val="Tab"/>
            </w:pPr>
          </w:p>
          <w:p w14:paraId="2078C9A6" w14:textId="77777777" w:rsidR="004025EE" w:rsidRPr="008B278D" w:rsidRDefault="004025EE" w:rsidP="004025EE">
            <w:pPr>
              <w:pStyle w:val="Tab"/>
              <w:keepNext/>
            </w:pPr>
            <w:r w:rsidRPr="008B278D">
              <w:t>e-mailová adresa:</w:t>
            </w:r>
          </w:p>
          <w:p w14:paraId="3E9A7372" w14:textId="6BFA71A9" w:rsidR="004025EE" w:rsidRDefault="00352C28" w:rsidP="004025EE">
            <w:pPr>
              <w:pStyle w:val="Tab"/>
            </w:pPr>
            <w:r>
              <w:t>xxxxxxxxxxxx</w:t>
            </w:r>
          </w:p>
          <w:p w14:paraId="49F06B3C" w14:textId="77777777" w:rsidR="004025EE" w:rsidRDefault="004025EE" w:rsidP="004025EE">
            <w:pPr>
              <w:pStyle w:val="Tab"/>
            </w:pPr>
          </w:p>
          <w:p w14:paraId="20F2EA60" w14:textId="53E254B2" w:rsidR="004025EE" w:rsidRPr="008B278D" w:rsidRDefault="004025EE" w:rsidP="004025EE">
            <w:pPr>
              <w:pStyle w:val="Tab"/>
              <w:keepNext/>
            </w:pPr>
            <w:r w:rsidRPr="008B278D">
              <w:t>e-mailová adresa</w:t>
            </w:r>
            <w:r>
              <w:t xml:space="preserve"> pro odeslání Faktury</w:t>
            </w:r>
            <w:r w:rsidRPr="008B278D">
              <w:t>:</w:t>
            </w:r>
          </w:p>
          <w:p w14:paraId="52925B36" w14:textId="7E0CB023" w:rsidR="004025EE" w:rsidRPr="008B278D" w:rsidRDefault="00352C28" w:rsidP="004025EE">
            <w:pPr>
              <w:pStyle w:val="Tab"/>
            </w:pPr>
            <w:r>
              <w:t>xxxxxxxxxxxxxxxx</w:t>
            </w:r>
          </w:p>
        </w:tc>
      </w:tr>
      <w:tr w:rsidR="004025EE" w:rsidRPr="00502C09" w14:paraId="79AC643C" w14:textId="77777777" w:rsidTr="00B44865">
        <w:trPr>
          <w:trHeight w:val="20"/>
          <w:jc w:val="center"/>
        </w:trPr>
        <w:tc>
          <w:tcPr>
            <w:tcW w:w="2268" w:type="dxa"/>
            <w:vMerge/>
            <w:tcMar>
              <w:left w:w="0" w:type="dxa"/>
            </w:tcMar>
            <w:vAlign w:val="center"/>
          </w:tcPr>
          <w:p w14:paraId="55F70A66" w14:textId="77777777" w:rsidR="004025EE" w:rsidRDefault="004025EE" w:rsidP="004025EE">
            <w:pPr>
              <w:pStyle w:val="Tab"/>
            </w:pPr>
          </w:p>
        </w:tc>
        <w:tc>
          <w:tcPr>
            <w:tcW w:w="960" w:type="dxa"/>
            <w:vMerge/>
            <w:vAlign w:val="center"/>
          </w:tcPr>
          <w:p w14:paraId="0156C067" w14:textId="77777777" w:rsidR="004025EE" w:rsidRPr="00502C09" w:rsidRDefault="004025EE" w:rsidP="004025EE">
            <w:pPr>
              <w:pStyle w:val="Tab"/>
            </w:pPr>
          </w:p>
        </w:tc>
        <w:tc>
          <w:tcPr>
            <w:tcW w:w="5844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233EE7BF" w14:textId="76E36094" w:rsidR="004025EE" w:rsidRPr="004C16C4" w:rsidRDefault="004025EE" w:rsidP="004025EE">
            <w:pPr>
              <w:pStyle w:val="Tab"/>
              <w:keepNext/>
              <w:rPr>
                <w:b/>
                <w:bCs/>
              </w:rPr>
            </w:pPr>
            <w:r w:rsidRPr="004C16C4">
              <w:rPr>
                <w:b/>
                <w:bCs/>
              </w:rPr>
              <w:t>Správce stavby:</w:t>
            </w:r>
          </w:p>
          <w:p w14:paraId="3F4D5E15" w14:textId="2BD76E7E" w:rsidR="004025EE" w:rsidRPr="006443AA" w:rsidRDefault="003B052A" w:rsidP="004025EE">
            <w:pPr>
              <w:pStyle w:val="Tab"/>
            </w:pPr>
            <w:r w:rsidRPr="00D369BD">
              <w:t>PGP/INF Peroutkova</w:t>
            </w:r>
          </w:p>
          <w:p w14:paraId="161F215A" w14:textId="77777777" w:rsidR="004025EE" w:rsidRPr="006443AA" w:rsidRDefault="004025EE" w:rsidP="004025EE">
            <w:pPr>
              <w:pStyle w:val="Tab"/>
              <w:keepNext/>
            </w:pPr>
            <w:r w:rsidRPr="006443AA">
              <w:lastRenderedPageBreak/>
              <w:t>adresa:</w:t>
            </w:r>
          </w:p>
          <w:p w14:paraId="434F2561" w14:textId="0A049989" w:rsidR="004025EE" w:rsidRPr="006443AA" w:rsidRDefault="003B052A" w:rsidP="004025EE">
            <w:pPr>
              <w:pStyle w:val="Tab"/>
            </w:pPr>
            <w:r>
              <w:t>Praha 4, K Ryšánce 1668/16, PSČ 147 54</w:t>
            </w:r>
          </w:p>
          <w:p w14:paraId="4E59D01B" w14:textId="77777777" w:rsidR="004025EE" w:rsidRPr="006443AA" w:rsidRDefault="004025EE" w:rsidP="004025EE">
            <w:pPr>
              <w:pStyle w:val="Tab"/>
            </w:pPr>
          </w:p>
          <w:p w14:paraId="66917BCA" w14:textId="77777777" w:rsidR="004025EE" w:rsidRPr="006443AA" w:rsidRDefault="004025EE" w:rsidP="004025EE">
            <w:pPr>
              <w:pStyle w:val="Tab"/>
              <w:keepNext/>
            </w:pPr>
            <w:r w:rsidRPr="006443AA">
              <w:t>ID datové schránky:</w:t>
            </w:r>
          </w:p>
          <w:p w14:paraId="7646E85E" w14:textId="5942A005" w:rsidR="004025EE" w:rsidRPr="006443AA" w:rsidRDefault="003B052A" w:rsidP="004025EE">
            <w:pPr>
              <w:pStyle w:val="Tab"/>
            </w:pPr>
            <w:r w:rsidRPr="003B052A">
              <w:t>4kifr54</w:t>
            </w:r>
          </w:p>
          <w:p w14:paraId="194D653F" w14:textId="77777777" w:rsidR="004025EE" w:rsidRPr="006443AA" w:rsidRDefault="004025EE" w:rsidP="004025EE">
            <w:pPr>
              <w:pStyle w:val="Tab"/>
            </w:pPr>
          </w:p>
          <w:p w14:paraId="4931E88B" w14:textId="77777777" w:rsidR="004025EE" w:rsidRPr="00412166" w:rsidRDefault="004025EE" w:rsidP="004025EE">
            <w:pPr>
              <w:pStyle w:val="Tab"/>
              <w:keepNext/>
            </w:pPr>
            <w:r w:rsidRPr="00412166">
              <w:t>e-mailová adresa:</w:t>
            </w:r>
          </w:p>
          <w:p w14:paraId="781FDE9F" w14:textId="6565F122" w:rsidR="004025EE" w:rsidRPr="005750C6" w:rsidRDefault="00352C28" w:rsidP="004025EE">
            <w:pPr>
              <w:pStyle w:val="Tab"/>
              <w:rPr>
                <w:highlight w:val="magenta"/>
              </w:rPr>
            </w:pPr>
            <w:r>
              <w:t>xxxxxxxxxxxxxxx</w:t>
            </w:r>
          </w:p>
        </w:tc>
      </w:tr>
      <w:tr w:rsidR="004025EE" w:rsidRPr="00502C09" w14:paraId="0E947136" w14:textId="77777777" w:rsidTr="00B44865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2B2EDD62" w14:textId="77777777" w:rsidR="004025EE" w:rsidRPr="00502C09" w:rsidRDefault="004025EE" w:rsidP="004025EE">
            <w:pPr>
              <w:pStyle w:val="Tab"/>
            </w:pPr>
            <w:r w:rsidRPr="00502C09">
              <w:lastRenderedPageBreak/>
              <w:t>Rozhodné právo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FEFB3DF" w14:textId="77777777" w:rsidR="004025EE" w:rsidRPr="00502C09" w:rsidRDefault="004025EE" w:rsidP="004025EE">
            <w:pPr>
              <w:pStyle w:val="Tab"/>
            </w:pPr>
            <w:r w:rsidRPr="00502C09">
              <w:t>1.4</w:t>
            </w:r>
          </w:p>
        </w:tc>
        <w:tc>
          <w:tcPr>
            <w:tcW w:w="5844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69D43F7C" w14:textId="528CA499" w:rsidR="004025EE" w:rsidRPr="00502C09" w:rsidRDefault="004025EE" w:rsidP="004025EE">
            <w:pPr>
              <w:pStyle w:val="Tab"/>
            </w:pPr>
            <w:r>
              <w:t>p</w:t>
            </w:r>
            <w:r w:rsidRPr="00502C09">
              <w:t>rávo České republiky</w:t>
            </w:r>
          </w:p>
        </w:tc>
      </w:tr>
      <w:tr w:rsidR="004025EE" w:rsidRPr="00502C09" w14:paraId="7CE00621" w14:textId="77777777" w:rsidTr="00B44865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6FC7CD13" w14:textId="77777777" w:rsidR="004025EE" w:rsidRPr="00502C09" w:rsidRDefault="004025EE" w:rsidP="004025EE">
            <w:pPr>
              <w:pStyle w:val="Tab"/>
            </w:pPr>
            <w:r w:rsidRPr="00502C09">
              <w:t>Rozhodný jazyk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F135566" w14:textId="77777777" w:rsidR="004025EE" w:rsidRPr="00502C09" w:rsidRDefault="004025EE" w:rsidP="004025EE">
            <w:pPr>
              <w:pStyle w:val="Tab"/>
            </w:pPr>
            <w:r w:rsidRPr="00502C09">
              <w:t>1.4</w:t>
            </w:r>
          </w:p>
        </w:tc>
        <w:tc>
          <w:tcPr>
            <w:tcW w:w="5844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03C021DE" w14:textId="5E111315" w:rsidR="004025EE" w:rsidRPr="00502C09" w:rsidRDefault="004025EE" w:rsidP="004025EE">
            <w:pPr>
              <w:pStyle w:val="Tab"/>
            </w:pPr>
            <w:r>
              <w:t>č</w:t>
            </w:r>
            <w:r w:rsidRPr="00502C09">
              <w:t>eština</w:t>
            </w:r>
          </w:p>
        </w:tc>
      </w:tr>
      <w:tr w:rsidR="004025EE" w:rsidRPr="00502C09" w14:paraId="31B0B07A" w14:textId="77777777" w:rsidTr="00B44865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395820F1" w14:textId="77777777" w:rsidR="004025EE" w:rsidRPr="00502C09" w:rsidRDefault="004025EE" w:rsidP="004025EE">
            <w:pPr>
              <w:pStyle w:val="Tab"/>
            </w:pPr>
            <w:r w:rsidRPr="00502C09">
              <w:t>Jazyk pro komunikaci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4F48842" w14:textId="77777777" w:rsidR="004025EE" w:rsidRPr="00502C09" w:rsidRDefault="004025EE" w:rsidP="004025EE">
            <w:pPr>
              <w:pStyle w:val="Tab"/>
            </w:pPr>
            <w:r w:rsidRPr="00502C09">
              <w:t>1.4</w:t>
            </w:r>
          </w:p>
        </w:tc>
        <w:tc>
          <w:tcPr>
            <w:tcW w:w="5844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341C0320" w14:textId="6A7297E3" w:rsidR="004025EE" w:rsidRPr="00502C09" w:rsidRDefault="004025EE" w:rsidP="004025EE">
            <w:pPr>
              <w:pStyle w:val="Tab"/>
            </w:pPr>
            <w:r>
              <w:t>č</w:t>
            </w:r>
            <w:r w:rsidRPr="00502C09">
              <w:t>eština</w:t>
            </w:r>
          </w:p>
        </w:tc>
      </w:tr>
      <w:tr w:rsidR="004025EE" w:rsidRPr="00502C09" w14:paraId="0185139E" w14:textId="77777777" w:rsidTr="00B44865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385A0225" w14:textId="77777777" w:rsidR="004025EE" w:rsidRPr="00502C09" w:rsidRDefault="004025EE" w:rsidP="004025EE">
            <w:pPr>
              <w:pStyle w:val="Tab"/>
            </w:pPr>
            <w:r w:rsidRPr="00502C09">
              <w:t>Sociální odpovědnost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0110727" w14:textId="77777777" w:rsidR="004025EE" w:rsidRPr="00502C09" w:rsidRDefault="004025EE" w:rsidP="004025EE">
            <w:pPr>
              <w:pStyle w:val="Tab"/>
            </w:pPr>
            <w:r w:rsidRPr="00502C09">
              <w:t>1.15</w:t>
            </w:r>
          </w:p>
        </w:tc>
        <w:tc>
          <w:tcPr>
            <w:tcW w:w="5844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584C4878" w14:textId="3BC560BB" w:rsidR="004025EE" w:rsidRPr="00B8550A" w:rsidRDefault="004025EE" w:rsidP="004025EE">
            <w:pPr>
              <w:pStyle w:val="Tab"/>
            </w:pPr>
            <w:r>
              <w:t>V</w:t>
            </w:r>
            <w:r w:rsidRPr="00B8550A">
              <w:t xml:space="preserve"> rozsahu druhého odstavce se nepoužije</w:t>
            </w:r>
            <w:r>
              <w:t>.</w:t>
            </w:r>
          </w:p>
        </w:tc>
      </w:tr>
      <w:tr w:rsidR="004025EE" w:rsidRPr="00502C09" w14:paraId="58EFB0D4" w14:textId="77777777" w:rsidTr="00B44865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694E36B7" w14:textId="095B21A5" w:rsidR="004025EE" w:rsidRPr="008A3E4A" w:rsidRDefault="004025EE" w:rsidP="004025EE">
            <w:pPr>
              <w:pStyle w:val="Tab"/>
            </w:pPr>
            <w:r w:rsidRPr="008A3E4A">
              <w:t>Doba pro přístup na staveniště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895EBA9" w14:textId="77777777" w:rsidR="004025EE" w:rsidRPr="008A3E4A" w:rsidRDefault="004025EE" w:rsidP="004025EE">
            <w:pPr>
              <w:pStyle w:val="Tab"/>
            </w:pPr>
            <w:r w:rsidRPr="008A3E4A">
              <w:t>2.1</w:t>
            </w:r>
          </w:p>
        </w:tc>
        <w:tc>
          <w:tcPr>
            <w:tcW w:w="5844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694C2371" w14:textId="77777777" w:rsidR="004025EE" w:rsidRPr="000C72D3" w:rsidRDefault="004025EE" w:rsidP="004025EE">
            <w:pPr>
              <w:pStyle w:val="Tab"/>
            </w:pPr>
            <w:r w:rsidRPr="000C72D3">
              <w:t>Staveniště je veřejně přístupné.</w:t>
            </w:r>
          </w:p>
          <w:p w14:paraId="09C00E39" w14:textId="77777777" w:rsidR="004025EE" w:rsidRPr="000C72D3" w:rsidRDefault="004025EE" w:rsidP="004025EE">
            <w:pPr>
              <w:pStyle w:val="Tab"/>
            </w:pPr>
          </w:p>
          <w:p w14:paraId="2A7EAE41" w14:textId="7338E50A" w:rsidR="004025EE" w:rsidRPr="00694184" w:rsidRDefault="00A4362A" w:rsidP="004025EE">
            <w:pPr>
              <w:pStyle w:val="Tab"/>
              <w:rPr>
                <w:highlight w:val="yellow"/>
              </w:rPr>
            </w:pPr>
            <w:r w:rsidRPr="000C72D3">
              <w:t>Správce stavby</w:t>
            </w:r>
            <w:r w:rsidR="004025EE" w:rsidRPr="000C72D3">
              <w:t xml:space="preserve"> musí oznámit Zhotoviteli datum předání Staveniště nejméně 7 dní předem, pokud se Strany nedohodnou na zkrácení této lhůty.</w:t>
            </w:r>
          </w:p>
        </w:tc>
      </w:tr>
      <w:tr w:rsidR="004025EE" w:rsidRPr="00502C09" w14:paraId="636997C3" w14:textId="77777777" w:rsidTr="00B44865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111FE281" w14:textId="091B75F3" w:rsidR="004025EE" w:rsidRPr="00502C09" w:rsidRDefault="004025EE" w:rsidP="004025EE">
            <w:pPr>
              <w:pStyle w:val="Tab"/>
            </w:pPr>
            <w:r>
              <w:t>Správce stavby (</w:t>
            </w:r>
            <w:r w:rsidRPr="00392E14">
              <w:t>schválení Objednatele před výkonem určité konkrétní pravomoci</w:t>
            </w:r>
            <w:r>
              <w:t>)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F41281D" w14:textId="7D889981" w:rsidR="004025EE" w:rsidRPr="00502C09" w:rsidRDefault="004025EE" w:rsidP="004025EE">
            <w:pPr>
              <w:pStyle w:val="Tab"/>
            </w:pPr>
            <w:r>
              <w:t>3.1</w:t>
            </w:r>
          </w:p>
        </w:tc>
        <w:tc>
          <w:tcPr>
            <w:tcW w:w="5844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1228B739" w14:textId="77777777" w:rsidR="004025EE" w:rsidRDefault="004025EE" w:rsidP="004025EE">
            <w:pPr>
              <w:pStyle w:val="Tab"/>
              <w:keepNext/>
            </w:pPr>
            <w:r>
              <w:t>Správce stavby musí získat schválení Objednatele, než přistoupí:</w:t>
            </w:r>
          </w:p>
          <w:p w14:paraId="3F09AFD1" w14:textId="1CAFA0ED" w:rsidR="004025EE" w:rsidRPr="009E1BFC" w:rsidRDefault="004025EE" w:rsidP="004025EE">
            <w:pPr>
              <w:pStyle w:val="TabPsm"/>
              <w:numPr>
                <w:ilvl w:val="0"/>
                <w:numId w:val="28"/>
              </w:numPr>
            </w:pPr>
            <w:r w:rsidRPr="009E1BFC">
              <w:t>k iniciaci nebo ke schválení Variace nebo návrhu na zlepšení podle Pod-článku 13.2 [Návrh na zlepšení]; nebo</w:t>
            </w:r>
          </w:p>
          <w:p w14:paraId="71AAC1E9" w14:textId="523F6D0C" w:rsidR="004025EE" w:rsidRDefault="004025EE" w:rsidP="004025EE">
            <w:pPr>
              <w:pStyle w:val="TabPsm"/>
              <w:numPr>
                <w:ilvl w:val="0"/>
                <w:numId w:val="28"/>
              </w:numPr>
            </w:pPr>
            <w:r w:rsidRPr="009E1BFC">
              <w:t>k určení záležitosti podle Pod-článku 3.5 [Určení],</w:t>
            </w:r>
          </w:p>
          <w:p w14:paraId="51AC8B52" w14:textId="2BC5B616" w:rsidR="004025EE" w:rsidRPr="00D248D4" w:rsidRDefault="004025EE" w:rsidP="004025EE">
            <w:pPr>
              <w:pStyle w:val="Tab"/>
              <w:rPr>
                <w:rFonts w:eastAsia="Calibri" w:cs="Arial"/>
                <w:highlight w:val="yellow"/>
              </w:rPr>
            </w:pPr>
            <w:r w:rsidRPr="009E1BFC">
              <w:t>pokud zvyšují Smluvní cenu.</w:t>
            </w:r>
          </w:p>
        </w:tc>
      </w:tr>
      <w:tr w:rsidR="004025EE" w:rsidRPr="00502C09" w14:paraId="4CC4ED06" w14:textId="77777777" w:rsidTr="00B44865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7E5F9E36" w14:textId="77777777" w:rsidR="004025EE" w:rsidRPr="005A0184" w:rsidRDefault="004025EE" w:rsidP="004025EE">
            <w:pPr>
              <w:pStyle w:val="Tab"/>
            </w:pPr>
            <w:r w:rsidRPr="005A0184">
              <w:t>Zajištění splnění smlouvy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5457EB8" w14:textId="77777777" w:rsidR="004025EE" w:rsidRPr="005A0184" w:rsidRDefault="004025EE" w:rsidP="004025EE">
            <w:pPr>
              <w:pStyle w:val="Tab"/>
            </w:pPr>
            <w:r w:rsidRPr="005A0184">
              <w:t>4.2</w:t>
            </w:r>
          </w:p>
        </w:tc>
        <w:tc>
          <w:tcPr>
            <w:tcW w:w="5844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1C463751" w14:textId="319AF697" w:rsidR="004025EE" w:rsidRPr="005A0184" w:rsidRDefault="004025EE" w:rsidP="004025EE">
            <w:pPr>
              <w:pStyle w:val="Tab"/>
            </w:pPr>
            <w:r>
              <w:t>N</w:t>
            </w:r>
            <w:r w:rsidRPr="005A0184">
              <w:t>epoužije se</w:t>
            </w:r>
            <w:r>
              <w:t>.</w:t>
            </w:r>
          </w:p>
        </w:tc>
      </w:tr>
      <w:tr w:rsidR="004025EE" w:rsidRPr="00502C09" w14:paraId="23CB5E99" w14:textId="77777777" w:rsidTr="00B44865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1E7EC380" w14:textId="0F7D6604" w:rsidR="004025EE" w:rsidRPr="00502C09" w:rsidRDefault="004025EE" w:rsidP="004025EE">
            <w:pPr>
              <w:pStyle w:val="Tab"/>
            </w:pPr>
            <w:r w:rsidRPr="00502C09">
              <w:t>Povinnost zhotovitele zaplatit objednateli smluvní pokutu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01ED4EE" w14:textId="77777777" w:rsidR="004025EE" w:rsidRPr="00502C09" w:rsidRDefault="004025EE" w:rsidP="004025EE">
            <w:pPr>
              <w:pStyle w:val="Tab"/>
            </w:pPr>
            <w:r w:rsidRPr="00502C09">
              <w:t>4.28</w:t>
            </w:r>
          </w:p>
        </w:tc>
        <w:tc>
          <w:tcPr>
            <w:tcW w:w="5844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5260813B" w14:textId="578E0360" w:rsidR="004025EE" w:rsidRDefault="004025EE" w:rsidP="004025EE">
            <w:pPr>
              <w:pStyle w:val="Tab"/>
            </w:pPr>
            <w:r>
              <w:t>Jestliže Zhotovitel:</w:t>
            </w:r>
          </w:p>
          <w:p w14:paraId="130A6137" w14:textId="16B7F580" w:rsidR="004025EE" w:rsidRPr="008666A1" w:rsidRDefault="004025EE" w:rsidP="004025EE">
            <w:pPr>
              <w:pStyle w:val="TabPsm"/>
              <w:numPr>
                <w:ilvl w:val="0"/>
                <w:numId w:val="29"/>
              </w:numPr>
            </w:pPr>
            <w:r w:rsidRPr="005A0184">
              <w:t>nahradil Podzhotovitele, kterým prokazoval část kvalifikace v Zadávacím řízení, v rozporu s posledním odstavcem Pod</w:t>
            </w:r>
            <w:r w:rsidRPr="005A0184">
              <w:noBreakHyphen/>
              <w:t>článku 4.4 [Podzhotovitelé], zaplatí Objednateli smluvní pokutu ve výši 0,1 % Přijaté smluvní částky (bez DPH) za každý jednotlivý případ porušení a započatý kalendářní měsíc, ve kterém bylo takové porušení zjištěno;</w:t>
            </w:r>
          </w:p>
          <w:p w14:paraId="104036B4" w14:textId="4F3EEBA7" w:rsidR="004025EE" w:rsidRPr="008666A1" w:rsidRDefault="004025EE" w:rsidP="004025EE">
            <w:pPr>
              <w:pStyle w:val="TabPsm"/>
              <w:numPr>
                <w:ilvl w:val="0"/>
                <w:numId w:val="29"/>
              </w:numPr>
            </w:pPr>
            <w:r w:rsidRPr="005A0184">
              <w:t xml:space="preserve">nezajistil, aby se provádění Díla účastnila osoba podle třetího odstavce Pod-článku 6.9 [Personál zhotovitele], přičemž se nejedná o případy jejího dočasného zastoupení nebo dlouhodobého nahrazení v souladu se Smlouvou, zaplatí Objednateli smluvní pokutu ve výši 0,1 % Přijaté smluvní částky (bez DPH) za každý jednotlivý případ porušení a započatý kalendářní </w:t>
            </w:r>
            <w:r w:rsidRPr="005A0184">
              <w:lastRenderedPageBreak/>
              <w:t>měsíc, ve kterém bylo takové porušení zjištěno; Zhotovitel musí zaplatit tuto pokutu pouze v případě, že je vyšší než finanční kompenzace určená v důsledku takového porušení Smlouvy podle Pod-článku 4.29 [</w:t>
            </w:r>
            <w:r w:rsidR="00B056C5">
              <w:t>Nové hodnocení a f</w:t>
            </w:r>
            <w:r w:rsidRPr="005A0184">
              <w:t>inanční kompenzace];</w:t>
            </w:r>
          </w:p>
          <w:p w14:paraId="6101F717" w14:textId="1DEA307A" w:rsidR="004025EE" w:rsidRPr="00942287" w:rsidRDefault="004025EE" w:rsidP="004025EE">
            <w:pPr>
              <w:pStyle w:val="TabPsm"/>
              <w:numPr>
                <w:ilvl w:val="0"/>
                <w:numId w:val="29"/>
              </w:numPr>
            </w:pPr>
            <w:r w:rsidRPr="005A0184">
              <w:t xml:space="preserve">nedodržel lhůtu nebo jiné časové určení stanovené v individuálním právním aktu orgánu veřejné moci podle Pod-článku 4.25 [Podmínky omezení provozu na pozemních komunikacích], zaplatí Objednateli smluvní pokutu ve výši 0,02 % Přijaté smluvní částky (bez DPH) za každý jednotlivý případ </w:t>
            </w:r>
            <w:r w:rsidRPr="00942287">
              <w:t>porušení a započatý den prodlení;</w:t>
            </w:r>
          </w:p>
          <w:p w14:paraId="205F80E5" w14:textId="34DC4F4D" w:rsidR="004025EE" w:rsidRPr="00942287" w:rsidRDefault="004025EE" w:rsidP="004025EE">
            <w:pPr>
              <w:pStyle w:val="TabPsm"/>
              <w:numPr>
                <w:ilvl w:val="0"/>
                <w:numId w:val="29"/>
              </w:numPr>
            </w:pPr>
            <w:r w:rsidRPr="00942287">
              <w:t>nedodržel Dobu pro dokončení Díla podle Pod</w:t>
            </w:r>
            <w:r w:rsidRPr="00942287">
              <w:noBreakHyphen/>
              <w:t>článku 8.2 [Doba pro dokončení], zaplatí Objednateli smluvní pokutu ve výši 0,02 % Přijaté smluvní částky (bez DPH) za každý jednotlivý případ porušení a započatý den prodlení;</w:t>
            </w:r>
          </w:p>
          <w:p w14:paraId="0E1474A2" w14:textId="2D5E7C0E" w:rsidR="004025EE" w:rsidRPr="00B710C0" w:rsidRDefault="004025EE" w:rsidP="004025EE">
            <w:pPr>
              <w:pStyle w:val="TabPsm"/>
              <w:numPr>
                <w:ilvl w:val="0"/>
                <w:numId w:val="29"/>
              </w:numPr>
            </w:pPr>
            <w:r w:rsidRPr="00942287">
              <w:t>nesplnil milník podle Pod-článku 8.13 [Milníky] ve</w:t>
            </w:r>
            <w:r w:rsidR="00F42179">
              <w:t> </w:t>
            </w:r>
            <w:r w:rsidRPr="00942287">
              <w:t>stanovené době, zaplatí Objednateli smluvní pokutu ve</w:t>
            </w:r>
            <w:r w:rsidR="00F42179">
              <w:t> </w:t>
            </w:r>
            <w:r w:rsidRPr="00942287">
              <w:t xml:space="preserve">výši 0,02 % Přijaté smluvní částky (bez DPH) za každý započatý první až pátý den prodlení a 0,04 % Přijaté smluvní částky (bez DPH) za každý započatý šestý a další </w:t>
            </w:r>
            <w:r w:rsidRPr="00B710C0">
              <w:t>den prodlení</w:t>
            </w:r>
            <w:r w:rsidR="0048126B" w:rsidRPr="00B710C0">
              <w:t>, pokud není dále stanoveno jinak</w:t>
            </w:r>
            <w:r w:rsidRPr="00B710C0">
              <w:t>;</w:t>
            </w:r>
            <w:r w:rsidR="001B42FB" w:rsidRPr="00B710C0">
              <w:t xml:space="preserve"> v případě Milníku 2 [Zprůjezdnění]</w:t>
            </w:r>
            <w:r w:rsidR="00FF744C" w:rsidRPr="00B710C0">
              <w:t xml:space="preserve">, pokud </w:t>
            </w:r>
            <w:r w:rsidR="00511731" w:rsidRPr="00B710C0">
              <w:t xml:space="preserve">byla doba mezi </w:t>
            </w:r>
            <w:r w:rsidR="00B94971" w:rsidRPr="00B710C0">
              <w:t>dnem, ve</w:t>
            </w:r>
            <w:r w:rsidR="0048126B" w:rsidRPr="00B710C0">
              <w:t> </w:t>
            </w:r>
            <w:r w:rsidR="00B94971" w:rsidRPr="00B710C0">
              <w:t>kterém mohl Zhotovitel v</w:t>
            </w:r>
            <w:r w:rsidR="002C1426" w:rsidRPr="00B710C0">
              <w:t> </w:t>
            </w:r>
            <w:r w:rsidR="00B94971" w:rsidRPr="00B710C0">
              <w:t>souladu s vydaným DIR začít provádět práce na</w:t>
            </w:r>
            <w:r w:rsidR="00F42179" w:rsidRPr="00B710C0">
              <w:t> </w:t>
            </w:r>
            <w:r w:rsidR="00B94971" w:rsidRPr="00B710C0">
              <w:t>komunikaci v ul. Peroutkova, které vyžadují dopravní omezení,</w:t>
            </w:r>
            <w:r w:rsidR="00511731" w:rsidRPr="00B710C0">
              <w:t xml:space="preserve"> a </w:t>
            </w:r>
            <w:r w:rsidR="00F63A4E" w:rsidRPr="00B710C0">
              <w:t xml:space="preserve">stanoveným termínem </w:t>
            </w:r>
            <w:r w:rsidR="002E53E5" w:rsidRPr="00B710C0">
              <w:t xml:space="preserve">kratší než </w:t>
            </w:r>
            <w:r w:rsidR="00F34358" w:rsidRPr="00B710C0">
              <w:t>9</w:t>
            </w:r>
            <w:r w:rsidR="002E53E5" w:rsidRPr="00B710C0">
              <w:t xml:space="preserve"> měsíců</w:t>
            </w:r>
            <w:r w:rsidR="00FA4173" w:rsidRPr="00B710C0">
              <w:t>,</w:t>
            </w:r>
            <w:r w:rsidR="00C40F87" w:rsidRPr="00B710C0">
              <w:t xml:space="preserve"> </w:t>
            </w:r>
            <w:r w:rsidR="00636941" w:rsidRPr="00B710C0">
              <w:t xml:space="preserve">a Zhotovitel takový milník </w:t>
            </w:r>
            <w:r w:rsidR="00D36A36" w:rsidRPr="00B710C0">
              <w:t xml:space="preserve">nesplnil ve stanovené době, </w:t>
            </w:r>
            <w:r w:rsidR="00C40F87" w:rsidRPr="00B710C0">
              <w:t>zaplatí Objednateli smluvní pokutu ve</w:t>
            </w:r>
            <w:r w:rsidR="00D36A36" w:rsidRPr="00B710C0">
              <w:t> </w:t>
            </w:r>
            <w:r w:rsidR="00C40F87" w:rsidRPr="00B710C0">
              <w:t>výši 0,02 % Přijaté smluvní částky (bez DPH) za každý započatý první až pátý den prodlení a 0,04 % Přijaté smluvní částky (bez DPH) za každý započatý šestý a další den prodlení</w:t>
            </w:r>
            <w:r w:rsidR="0048126B" w:rsidRPr="00B710C0">
              <w:t xml:space="preserve"> </w:t>
            </w:r>
            <w:r w:rsidR="008B4377" w:rsidRPr="00B710C0">
              <w:t xml:space="preserve">teprve </w:t>
            </w:r>
            <w:r w:rsidR="00D36A36" w:rsidRPr="00B710C0">
              <w:t xml:space="preserve">až </w:t>
            </w:r>
            <w:r w:rsidR="0048126B" w:rsidRPr="00B710C0">
              <w:t xml:space="preserve">po </w:t>
            </w:r>
            <w:r w:rsidR="008B4377" w:rsidRPr="00B710C0">
              <w:t xml:space="preserve">případném </w:t>
            </w:r>
            <w:r w:rsidR="0048126B" w:rsidRPr="00B710C0">
              <w:t>uplynutí 9 měsíců ode dne, ve</w:t>
            </w:r>
            <w:r w:rsidR="008B4377" w:rsidRPr="00B710C0">
              <w:t> </w:t>
            </w:r>
            <w:r w:rsidR="0048126B" w:rsidRPr="00B710C0">
              <w:t>kterém mohl Zhotovitel v souladu s vydaným DIR začít provádět práce na komunikaci v ul. Peroutkova, které</w:t>
            </w:r>
            <w:r w:rsidR="008B4377" w:rsidRPr="00B710C0">
              <w:t> </w:t>
            </w:r>
            <w:r w:rsidR="0048126B" w:rsidRPr="00B710C0">
              <w:t>vyžadují dopravní omezení</w:t>
            </w:r>
            <w:r w:rsidR="00C40F87" w:rsidRPr="00B710C0">
              <w:t>;</w:t>
            </w:r>
          </w:p>
          <w:p w14:paraId="01C7D784" w14:textId="49E5CFB0" w:rsidR="004025EE" w:rsidRPr="00942287" w:rsidRDefault="004025EE" w:rsidP="004025EE">
            <w:pPr>
              <w:pStyle w:val="TabPsm"/>
              <w:numPr>
                <w:ilvl w:val="0"/>
                <w:numId w:val="29"/>
              </w:numPr>
            </w:pPr>
            <w:r w:rsidRPr="00B710C0">
              <w:t>nedodržel lhůtu pro odstranění omezení provozu podle Pod</w:t>
            </w:r>
            <w:r w:rsidRPr="00B710C0">
              <w:noBreakHyphen/>
              <w:t>článku 10.5 [Předčasné užívání], zaplatí</w:t>
            </w:r>
            <w:r w:rsidRPr="00942287">
              <w:t xml:space="preserve"> Objednateli smluvní pokutu ve výši 0,02 % Přijaté smluvní částky (bez DPH) za každý jednotlivý případ porušení a započatou hodinu prodlení; nebo</w:t>
            </w:r>
          </w:p>
          <w:p w14:paraId="2159105C" w14:textId="4E639B9B" w:rsidR="004025EE" w:rsidRPr="008666A1" w:rsidRDefault="004025EE" w:rsidP="004025EE">
            <w:pPr>
              <w:pStyle w:val="TabPsm"/>
              <w:numPr>
                <w:ilvl w:val="0"/>
                <w:numId w:val="29"/>
              </w:numPr>
            </w:pPr>
            <w:r w:rsidRPr="00942287">
              <w:t>neodstranil vadu nebo poškození do data oznámeného Objednatelem podle Pod článku 11.4 [Neúspěšné odstraňování vady]</w:t>
            </w:r>
            <w:r w:rsidR="00B056C5">
              <w:t>,</w:t>
            </w:r>
            <w:r w:rsidRPr="00942287">
              <w:t xml:space="preserve"> zaplatí Objednateli smluvní pokutu ve výši 0,002 % Přijaté smluvní</w:t>
            </w:r>
            <w:r w:rsidRPr="008666A1">
              <w:t xml:space="preserve"> částky (bez DPH) za každý jednotlivý případ porušení a započatý den prodlení.</w:t>
            </w:r>
          </w:p>
          <w:p w14:paraId="67E86EB0" w14:textId="64453FD1" w:rsidR="004025EE" w:rsidRPr="008666A1" w:rsidRDefault="004025EE" w:rsidP="004025EE">
            <w:pPr>
              <w:pStyle w:val="Tab"/>
            </w:pPr>
          </w:p>
          <w:p w14:paraId="71DADB29" w14:textId="06C9553D" w:rsidR="004025EE" w:rsidRPr="008666A1" w:rsidRDefault="004025EE" w:rsidP="004025EE">
            <w:pPr>
              <w:pStyle w:val="Tab"/>
            </w:pPr>
            <w:r w:rsidRPr="008666A1">
              <w:lastRenderedPageBreak/>
              <w:t>Jestliže Zhotovitel ani po obdržení výzvy Správce stavby podle Pod-článku 15.1 [Výzva k nápravě] v čase stanoveném v takové výzvě:</w:t>
            </w:r>
          </w:p>
          <w:p w14:paraId="6051BC84" w14:textId="7D1AAD45" w:rsidR="004025EE" w:rsidRPr="004D3707" w:rsidRDefault="004025EE" w:rsidP="004025EE">
            <w:pPr>
              <w:pStyle w:val="TabPsm"/>
              <w:numPr>
                <w:ilvl w:val="0"/>
                <w:numId w:val="30"/>
              </w:numPr>
            </w:pPr>
            <w:r w:rsidRPr="008666A1">
              <w:t>nesplnil podmínku stanovenou koordinátorem bezpečnosti a ochrany zdraví při práci na Staveništi nebo mu neposkytl potřebnou součinnost pro výkon jeho funkce podle Pod</w:t>
            </w:r>
            <w:r w:rsidRPr="008666A1">
              <w:noBreakHyphen/>
              <w:t xml:space="preserve">článku 4.8 [Bezpečnost práce], zaplatí Objednateli smluvní pokutu ve </w:t>
            </w:r>
            <w:r w:rsidRPr="004D3707">
              <w:t>výši 0,002 % Přijaté smluvní částky (bez DPH) za každý jednotlivý případ porušení a započatý den prodlení;</w:t>
            </w:r>
          </w:p>
          <w:p w14:paraId="5E60D0C9" w14:textId="2ABE5234" w:rsidR="004025EE" w:rsidRPr="004D3707" w:rsidRDefault="004025EE" w:rsidP="004025EE">
            <w:pPr>
              <w:pStyle w:val="TabPsm"/>
              <w:numPr>
                <w:ilvl w:val="0"/>
                <w:numId w:val="30"/>
              </w:numPr>
            </w:pPr>
            <w:r>
              <w:t>j</w:t>
            </w:r>
            <w:r w:rsidRPr="004D3707">
              <w:t>inou než časovou podmínku stanovenou v individuálním právním aktu orgánu veřejné moci podle Pod-článku 4.25 [Podmínky omezení provozu na pozemních komunikacích], zaplatí Objednateli smluvní pokutu ve výši 0,02 % Přijaté smluvní částky (bez DPH) za každý jednotlivý případ porušení a započatý den prodlení; nebo</w:t>
            </w:r>
          </w:p>
          <w:p w14:paraId="381D3D96" w14:textId="3369A514" w:rsidR="004025EE" w:rsidRPr="004D3707" w:rsidRDefault="004025EE" w:rsidP="004025EE">
            <w:pPr>
              <w:pStyle w:val="TabPsm"/>
              <w:numPr>
                <w:ilvl w:val="0"/>
                <w:numId w:val="30"/>
              </w:numPr>
            </w:pPr>
            <w:r>
              <w:t>n</w:t>
            </w:r>
            <w:r w:rsidRPr="004D3707">
              <w:t>epředložil:</w:t>
            </w:r>
          </w:p>
          <w:p w14:paraId="54D0710B" w14:textId="326BF86E" w:rsidR="004025EE" w:rsidRPr="004D3707" w:rsidRDefault="004025EE" w:rsidP="004025EE">
            <w:pPr>
              <w:pStyle w:val="Tabm"/>
            </w:pPr>
            <w:r w:rsidRPr="004D3707">
              <w:t>počáteční harmonogram podle Pod</w:t>
            </w:r>
            <w:r w:rsidRPr="004D3707">
              <w:noBreakHyphen/>
              <w:t>článku 8.3 [Harmonogram]; nebo</w:t>
            </w:r>
          </w:p>
          <w:p w14:paraId="746AFE46" w14:textId="55C08FEE" w:rsidR="004025EE" w:rsidRPr="004D3707" w:rsidRDefault="004025EE" w:rsidP="004025EE">
            <w:pPr>
              <w:pStyle w:val="Tabm"/>
            </w:pPr>
            <w:r w:rsidRPr="004D3707">
              <w:t>aktualizovaný harmonogram podle Pod článku 8.3 [Harmonogram] nebo Pod-článku 8.6 [Míra postupu prací],</w:t>
            </w:r>
          </w:p>
          <w:p w14:paraId="47A9CA9A" w14:textId="3A25F130" w:rsidR="004025EE" w:rsidRPr="00634706" w:rsidRDefault="004025EE" w:rsidP="004025EE">
            <w:pPr>
              <w:pStyle w:val="TabpodTabPsm"/>
            </w:pPr>
            <w:r w:rsidRPr="004D3707">
              <w:t>zaplatí Objednateli smluvní pokutu ve výši 0,02 % Přijaté smluvní částky (bez DPH) za každý jednotlivý případ</w:t>
            </w:r>
            <w:r w:rsidRPr="008666A1">
              <w:t xml:space="preserve"> porušení a započatý den prodlení.</w:t>
            </w:r>
          </w:p>
          <w:p w14:paraId="61133284" w14:textId="77777777" w:rsidR="004025EE" w:rsidRPr="00634706" w:rsidRDefault="004025EE" w:rsidP="004025EE">
            <w:pPr>
              <w:pStyle w:val="Tab"/>
            </w:pPr>
          </w:p>
          <w:p w14:paraId="05A7BF05" w14:textId="77777777" w:rsidR="004025EE" w:rsidRDefault="004025EE" w:rsidP="004025EE">
            <w:pPr>
              <w:pStyle w:val="Tab"/>
            </w:pPr>
            <w:r w:rsidRPr="00157D82">
              <w:t>Pokud byla za určitý případ porušení povinnosti utvrzené smluvní pokutou zadržena platba podle Pod-článku 14.6 [Vydání potvrzení průběžné platby], Zhotovitel musí zaplatit takovou smluvní pokutu, pouze pokud povinnost nesplnil ani do dne uvolnění platby.</w:t>
            </w:r>
          </w:p>
          <w:p w14:paraId="3A792CD6" w14:textId="77777777" w:rsidR="004025EE" w:rsidRDefault="004025EE" w:rsidP="004025EE">
            <w:pPr>
              <w:pStyle w:val="Tab"/>
            </w:pPr>
          </w:p>
          <w:p w14:paraId="0099B542" w14:textId="0F7B60CF" w:rsidR="004025EE" w:rsidRPr="00502C09" w:rsidRDefault="004025EE" w:rsidP="004025EE">
            <w:pPr>
              <w:pStyle w:val="Tab"/>
            </w:pPr>
            <w:r w:rsidRPr="00F73155">
              <w:t>Další smluvní pokuty mohou být stanoveny ve Smlouvě o dílo včetně jejích příloh.</w:t>
            </w:r>
          </w:p>
        </w:tc>
      </w:tr>
      <w:tr w:rsidR="004025EE" w:rsidRPr="00502C09" w14:paraId="613E9DA6" w14:textId="77777777" w:rsidTr="00B44865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29E7E5EE" w14:textId="000BC274" w:rsidR="004025EE" w:rsidRPr="00502C09" w:rsidRDefault="004025EE" w:rsidP="004025EE">
            <w:pPr>
              <w:pStyle w:val="Tab"/>
            </w:pPr>
            <w:r w:rsidRPr="006A20DC">
              <w:lastRenderedPageBreak/>
              <w:t>Maximální možná celková výše smluvních pokut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06CA1E5" w14:textId="5E3C3464" w:rsidR="004025EE" w:rsidRPr="00502C09" w:rsidRDefault="004025EE" w:rsidP="004025EE">
            <w:pPr>
              <w:pStyle w:val="Tab"/>
            </w:pPr>
            <w:r>
              <w:t>4.28</w:t>
            </w:r>
          </w:p>
        </w:tc>
        <w:tc>
          <w:tcPr>
            <w:tcW w:w="5844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228B9E24" w14:textId="06F29423" w:rsidR="004025EE" w:rsidRPr="002D3B40" w:rsidRDefault="004025EE" w:rsidP="004025EE">
            <w:pPr>
              <w:pStyle w:val="Tab"/>
            </w:pPr>
            <w:r w:rsidRPr="002D3B40">
              <w:t>Maximální možná celková výše smluvních pokut, které musí Zhotovitel zaplatit, je 10 % Přijaté smluvní částky (bez DPH); tento limit se nijak netýká finanční kompenzace podle Pod</w:t>
            </w:r>
            <w:r w:rsidRPr="002D3B40">
              <w:noBreakHyphen/>
              <w:t>článku 4.29 [Nové hodnocení a finanční kompenzace].</w:t>
            </w:r>
          </w:p>
        </w:tc>
      </w:tr>
      <w:tr w:rsidR="004025EE" w:rsidRPr="00502C09" w14:paraId="0EF39119" w14:textId="77777777" w:rsidTr="00B44865">
        <w:trPr>
          <w:gridAfter w:val="1"/>
          <w:wAfter w:w="175" w:type="dxa"/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0D889A97" w14:textId="1CB69C5E" w:rsidR="004025EE" w:rsidRPr="006A20DC" w:rsidRDefault="004025EE" w:rsidP="004025EE">
            <w:pPr>
              <w:pStyle w:val="Tab"/>
            </w:pPr>
            <w:r w:rsidRPr="00261F3A">
              <w:t>Nové hodnocení a</w:t>
            </w:r>
            <w:r>
              <w:t> </w:t>
            </w:r>
            <w:r w:rsidRPr="00261F3A">
              <w:t>finanční kompenzace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C9F4342" w14:textId="7E757A49" w:rsidR="004025EE" w:rsidRDefault="004025EE" w:rsidP="004025EE">
            <w:pPr>
              <w:pStyle w:val="Tab"/>
            </w:pPr>
            <w:r>
              <w:t>4.29</w:t>
            </w:r>
          </w:p>
        </w:tc>
        <w:tc>
          <w:tcPr>
            <w:tcW w:w="5669" w:type="dxa"/>
            <w:shd w:val="clear" w:color="auto" w:fill="auto"/>
            <w:tcMar>
              <w:right w:w="0" w:type="dxa"/>
            </w:tcMar>
            <w:vAlign w:val="center"/>
          </w:tcPr>
          <w:p w14:paraId="366CE1BE" w14:textId="7A07B81D" w:rsidR="004025EE" w:rsidRPr="005F1118" w:rsidRDefault="004025EE" w:rsidP="004025EE">
            <w:pPr>
              <w:pStyle w:val="Tab"/>
            </w:pPr>
            <w:r w:rsidRPr="008E2F96">
              <w:t>Výše finanční kompenzace odpovídá rozdílu hodnoty Přijaté smluvní částky (bez DPH) a hodnoty nejvyšší možné výše nabídkové ceny, jakou by mohl Zhotovitel nabídnout ve své hypotetické nabídce, aby podle pravidel stanovených v</w:t>
            </w:r>
            <w:r>
              <w:t> </w:t>
            </w:r>
            <w:r w:rsidRPr="008E2F96">
              <w:t>zadávací dok</w:t>
            </w:r>
            <w:r w:rsidRPr="005F1118">
              <w:t xml:space="preserve">umentaci Zadávacího řízení při hodnocení nabídek, které by zahrnovalo takovou hypotetickou nabídku, Nabídku a všechny případné ostatní hodnocené nabídky </w:t>
            </w:r>
            <w:r w:rsidRPr="005F1118">
              <w:lastRenderedPageBreak/>
              <w:t>v</w:t>
            </w:r>
            <w:r>
              <w:t> </w:t>
            </w:r>
            <w:r w:rsidRPr="005F1118">
              <w:t>Zadávacím řízení, byla taková hypotetická nabídka vyhodnocena jako ekonomicky nejvýhodnější.</w:t>
            </w:r>
          </w:p>
          <w:p w14:paraId="0A1D11E4" w14:textId="77777777" w:rsidR="004025EE" w:rsidRPr="005F1118" w:rsidRDefault="004025EE" w:rsidP="004025EE">
            <w:pPr>
              <w:pStyle w:val="Tab"/>
            </w:pPr>
          </w:p>
          <w:p w14:paraId="1A8E6900" w14:textId="3CA91E81" w:rsidR="004025EE" w:rsidRDefault="004025EE" w:rsidP="004025EE">
            <w:pPr>
              <w:pStyle w:val="Tab"/>
            </w:pPr>
            <w:r w:rsidRPr="008944C0">
              <w:t>Jestliže je to s ohledem na povahu skutečných hodnot a údajů relevantní</w:t>
            </w:r>
            <w:r>
              <w:t>,</w:t>
            </w:r>
            <w:r>
              <w:rPr>
                <w:rStyle w:val="Znakapoznpodarou"/>
              </w:rPr>
              <w:footnoteReference w:id="6"/>
            </w:r>
            <w:r w:rsidRPr="008944C0">
              <w:t xml:space="preserve">  bude při určení konečné výše finanční kompenzace</w:t>
            </w:r>
            <w:r>
              <w:t xml:space="preserve"> </w:t>
            </w:r>
            <w:r w:rsidRPr="008944C0">
              <w:t>zohledněna též doba, po kterou Zhotovitel dodržel hodnoty</w:t>
            </w:r>
            <w:r>
              <w:t xml:space="preserve"> </w:t>
            </w:r>
            <w:r w:rsidRPr="008944C0">
              <w:t>a údaje uvedené v nabídce Zhotovitele pro</w:t>
            </w:r>
            <w:r>
              <w:t> </w:t>
            </w:r>
            <w:r w:rsidRPr="008944C0">
              <w:t>účely jejího hodnocení, a to tak, že se od hodnoty vypočtené podle prvního odstavce dále odečte násobek takové</w:t>
            </w:r>
            <w:r>
              <w:t> </w:t>
            </w:r>
            <w:r w:rsidRPr="008944C0">
              <w:t>hodnoty a podílu počtu dnů, po které Zhotovitel dodržel hodnoty a údaje uvedené v nabídce Zhotovitele pro</w:t>
            </w:r>
            <w:r>
              <w:t> </w:t>
            </w:r>
            <w:r w:rsidRPr="008944C0">
              <w:t>účely jejího hodnocení, a počtu dnů Doby pro dokončení Díla stanovené ke dni uzavření Smlouvy.</w:t>
            </w:r>
          </w:p>
          <w:p w14:paraId="25E243ED" w14:textId="77777777" w:rsidR="004025EE" w:rsidRDefault="004025EE" w:rsidP="004025EE">
            <w:pPr>
              <w:pStyle w:val="Tab"/>
            </w:pPr>
          </w:p>
          <w:p w14:paraId="16BAA436" w14:textId="2B1AB6AB" w:rsidR="004025EE" w:rsidRDefault="004025EE" w:rsidP="004025EE">
            <w:pPr>
              <w:pStyle w:val="Tab"/>
            </w:pPr>
            <w:r w:rsidRPr="00AE715D">
              <w:t>Jestliže je v návaznosti na postup podle prvního odstavce zjištěno, že by hypotetická nabídka Zhotovitele nemohla být vyhodnocena jako ekonomicky nejvýhodnější s ohledem na</w:t>
            </w:r>
            <w:r>
              <w:t> </w:t>
            </w:r>
            <w:r w:rsidRPr="00AE715D">
              <w:t>minimální hodnotitelnou nabídkovou cenu stanovenou v</w:t>
            </w:r>
            <w:r>
              <w:t> </w:t>
            </w:r>
            <w:r w:rsidRPr="00AE715D">
              <w:t>zadávací dokumentaci Zadávacího řízení, musí Zhotovitel Objednateli zaplatit pouze finanční kompenzaci, která odpovídá rozdílu hodnoty Přijaté smluvní částky (bez DPH) a</w:t>
            </w:r>
            <w:r>
              <w:t> </w:t>
            </w:r>
            <w:r w:rsidRPr="00AE715D">
              <w:t>hodnoty takové minimální hodnotitelné nabídkové ceny.</w:t>
            </w:r>
          </w:p>
          <w:p w14:paraId="1798B210" w14:textId="77777777" w:rsidR="004025EE" w:rsidRPr="00C973F2" w:rsidRDefault="004025EE" w:rsidP="004025EE">
            <w:pPr>
              <w:pStyle w:val="Tab"/>
            </w:pPr>
          </w:p>
          <w:p w14:paraId="14E421DB" w14:textId="7127DC6B" w:rsidR="004025EE" w:rsidRPr="008E2F96" w:rsidRDefault="004025EE" w:rsidP="004025EE">
            <w:pPr>
              <w:pStyle w:val="Tab"/>
            </w:pPr>
            <w:r w:rsidRPr="008E2F96">
              <w:t>V případě porušení Smlouvy, které je zároveň utvrzeno smluvní pokutou podle Pod-článku 4.28 [Povinnost zhotovitele zaplatit objednateli smluvní pokutu], musí Zhotovitel zaplatit finanční kompenzaci pouze v případě, že je vyšší než taková smluvní pokuta.</w:t>
            </w:r>
          </w:p>
        </w:tc>
      </w:tr>
      <w:tr w:rsidR="004025EE" w:rsidRPr="00502C09" w14:paraId="20097B4D" w14:textId="77777777" w:rsidTr="00B44865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614A386E" w14:textId="7490EED0" w:rsidR="004025EE" w:rsidRDefault="004025EE" w:rsidP="004025EE">
            <w:pPr>
              <w:pStyle w:val="Tab"/>
            </w:pPr>
            <w:r w:rsidRPr="00EA7EAB">
              <w:lastRenderedPageBreak/>
              <w:t>Pracovní doba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763B511" w14:textId="5906DD24" w:rsidR="004025EE" w:rsidRPr="003431E2" w:rsidRDefault="004025EE" w:rsidP="004025EE">
            <w:pPr>
              <w:pStyle w:val="Tab"/>
              <w:rPr>
                <w:highlight w:val="yellow"/>
              </w:rPr>
            </w:pPr>
            <w:r w:rsidRPr="00A51738">
              <w:t>6.5, 4.14</w:t>
            </w:r>
          </w:p>
        </w:tc>
        <w:tc>
          <w:tcPr>
            <w:tcW w:w="5844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3366FADD" w14:textId="112B8EF5" w:rsidR="004025EE" w:rsidRPr="00A51738" w:rsidRDefault="004025EE" w:rsidP="004025EE">
            <w:pPr>
              <w:pStyle w:val="Tab"/>
              <w:jc w:val="both"/>
              <w:rPr>
                <w:rFonts w:eastAsia="Tahoma" w:cs="Tahoma"/>
              </w:rPr>
            </w:pPr>
            <w:r w:rsidRPr="00A51738">
              <w:rPr>
                <w:rFonts w:eastAsia="Tahoma" w:cs="Tahoma"/>
              </w:rPr>
              <w:t xml:space="preserve">Při provádění všech stavebních prací musí být postup Zhotovitele přizpůsoben, tak aby byla minimalizována doba, po kterou bude svou činností negativně působit na okolí </w:t>
            </w:r>
            <w:r w:rsidR="00564E37">
              <w:rPr>
                <w:rFonts w:eastAsia="Tahoma" w:cs="Tahoma"/>
              </w:rPr>
              <w:t>S</w:t>
            </w:r>
            <w:r w:rsidRPr="00A51738">
              <w:rPr>
                <w:rFonts w:eastAsia="Tahoma" w:cs="Tahoma"/>
              </w:rPr>
              <w:t>taveniště (hluk, vibrace, staveništní doprava, omezení pohybu veřejnosti apod) – viz Pod-článek 4.14 [Předcházení obtěžování výstavbou].</w:t>
            </w:r>
          </w:p>
          <w:p w14:paraId="28602281" w14:textId="77777777" w:rsidR="004025EE" w:rsidRPr="00A51738" w:rsidRDefault="004025EE" w:rsidP="004025EE">
            <w:pPr>
              <w:pStyle w:val="Tab"/>
              <w:jc w:val="both"/>
              <w:rPr>
                <w:rFonts w:eastAsia="Tahoma" w:cs="Tahoma"/>
              </w:rPr>
            </w:pPr>
          </w:p>
          <w:p w14:paraId="4F65547F" w14:textId="2109CCF6" w:rsidR="004025EE" w:rsidRPr="00A51738" w:rsidRDefault="004025EE" w:rsidP="004025EE">
            <w:pPr>
              <w:pStyle w:val="Tab"/>
              <w:jc w:val="both"/>
              <w:rPr>
                <w:rFonts w:eastAsia="Tahoma" w:cs="Tahoma"/>
              </w:rPr>
            </w:pPr>
            <w:r w:rsidRPr="00A51738">
              <w:rPr>
                <w:rFonts w:eastAsia="Tahoma" w:cs="Tahoma"/>
              </w:rPr>
              <w:t>Zhotovitel musí na základě případného pokynu Správce stavby v rozsahu, v jakém je to možné s ohledem na právní předpisy a podmínky stanovené příslušnými orgány veřejné moci, zajistit při provádění prací na Staveništi dvou- nebo vícesměnný provoz za účelem maximálního využití možné pracovní doby.</w:t>
            </w:r>
          </w:p>
          <w:p w14:paraId="185480ED" w14:textId="77777777" w:rsidR="004025EE" w:rsidRPr="00A51738" w:rsidRDefault="004025EE" w:rsidP="004025EE">
            <w:pPr>
              <w:pStyle w:val="Tab"/>
              <w:jc w:val="both"/>
              <w:rPr>
                <w:rFonts w:eastAsia="Tahoma" w:cs="Tahoma"/>
              </w:rPr>
            </w:pPr>
          </w:p>
          <w:p w14:paraId="2B398600" w14:textId="1E10877A" w:rsidR="004025EE" w:rsidRPr="00A51738" w:rsidRDefault="004025EE" w:rsidP="004025EE">
            <w:pPr>
              <w:pStyle w:val="Tab"/>
              <w:jc w:val="both"/>
              <w:rPr>
                <w:rFonts w:eastAsia="Tahoma" w:cs="Tahoma"/>
              </w:rPr>
            </w:pPr>
            <w:r w:rsidRPr="00A51738">
              <w:rPr>
                <w:rFonts w:eastAsia="Tahoma" w:cs="Tahoma"/>
              </w:rPr>
              <w:t>V období po dokončení ostatních koordinovaných staveb, musí Zhotovitel nasadit takové kapacity a učinit taková opatření, aby práce ukončil co nejdříve podle technologických možností.</w:t>
            </w:r>
          </w:p>
          <w:p w14:paraId="6381A650" w14:textId="77777777" w:rsidR="004025EE" w:rsidRPr="00A51738" w:rsidRDefault="004025EE" w:rsidP="004025EE">
            <w:pPr>
              <w:pStyle w:val="Tab"/>
              <w:jc w:val="both"/>
              <w:rPr>
                <w:rFonts w:eastAsia="Tahoma" w:cs="Tahoma"/>
              </w:rPr>
            </w:pPr>
          </w:p>
          <w:p w14:paraId="4726369A" w14:textId="3D15C2CF" w:rsidR="004025EE" w:rsidRPr="003431E2" w:rsidRDefault="004025EE" w:rsidP="004025EE">
            <w:pPr>
              <w:pStyle w:val="Tab"/>
              <w:rPr>
                <w:highlight w:val="yellow"/>
              </w:rPr>
            </w:pPr>
            <w:r w:rsidRPr="00A51738">
              <w:rPr>
                <w:rFonts w:eastAsia="Tahoma" w:cs="Tahoma"/>
              </w:rPr>
              <w:lastRenderedPageBreak/>
              <w:t>Výše uvedený přístup musí být zohledněn v harmonogramu podle Pod-článku 8.3 [Harmonogram]. Správce stavby může vyžadovat takovou aktualizaci harmonogramu, která bude v souladu s výše uvedeným.</w:t>
            </w:r>
          </w:p>
        </w:tc>
      </w:tr>
      <w:tr w:rsidR="004025EE" w:rsidRPr="00502C09" w14:paraId="3BD33EEE" w14:textId="77777777" w:rsidTr="00B44865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400B700D" w14:textId="524D3B62" w:rsidR="004025EE" w:rsidRPr="00502C09" w:rsidRDefault="004025EE" w:rsidP="004025EE">
            <w:pPr>
              <w:pStyle w:val="Tab"/>
            </w:pPr>
            <w:r>
              <w:lastRenderedPageBreak/>
              <w:t>Oznámení data zahájení prací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1D66E2E" w14:textId="05E1716F" w:rsidR="004025EE" w:rsidRPr="00502C09" w:rsidRDefault="004025EE" w:rsidP="004025EE">
            <w:pPr>
              <w:pStyle w:val="Tab"/>
            </w:pPr>
            <w:r>
              <w:t>8.1</w:t>
            </w:r>
          </w:p>
        </w:tc>
        <w:tc>
          <w:tcPr>
            <w:tcW w:w="5844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6A4D8AD0" w14:textId="2A41CCC1" w:rsidR="004025EE" w:rsidRPr="00624E62" w:rsidRDefault="004025EE" w:rsidP="004025EE">
            <w:pPr>
              <w:pStyle w:val="Tab"/>
              <w:keepNext/>
            </w:pPr>
            <w:r w:rsidRPr="00207002">
              <w:t>V souladu s Pod-článkem 8.1 [Zahájení prací na díle] se oznamuje Datum zahájení prací</w:t>
            </w:r>
            <w:r>
              <w:t xml:space="preserve">, které je </w:t>
            </w:r>
            <w:r w:rsidR="00A76B40">
              <w:t>stanoveno</w:t>
            </w:r>
            <w:r>
              <w:t xml:space="preserve"> výše v údajích k Pod-článku 1.1.3.2 [Datum zahájení prací].</w:t>
            </w:r>
          </w:p>
        </w:tc>
      </w:tr>
      <w:tr w:rsidR="004025EE" w:rsidRPr="00502C09" w14:paraId="6D1BA520" w14:textId="77777777" w:rsidTr="00B44865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6E8DC37B" w14:textId="77777777" w:rsidR="004025EE" w:rsidRPr="00502C09" w:rsidRDefault="004025EE" w:rsidP="004025EE">
            <w:pPr>
              <w:pStyle w:val="Tab"/>
            </w:pPr>
            <w:r w:rsidRPr="00502C09">
              <w:t>Harmonogram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F912870" w14:textId="77777777" w:rsidR="004025EE" w:rsidRPr="00502C09" w:rsidRDefault="004025EE" w:rsidP="004025EE">
            <w:pPr>
              <w:pStyle w:val="Tab"/>
            </w:pPr>
            <w:r w:rsidRPr="00502C09">
              <w:t>8.3</w:t>
            </w:r>
          </w:p>
        </w:tc>
        <w:tc>
          <w:tcPr>
            <w:tcW w:w="5844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228C2917" w14:textId="6E58BC36" w:rsidR="004025EE" w:rsidRDefault="004025EE" w:rsidP="004025EE">
            <w:pPr>
              <w:pStyle w:val="Tab"/>
            </w:pPr>
            <w:r w:rsidRPr="00502C09">
              <w:t xml:space="preserve">Harmonogram </w:t>
            </w:r>
            <w:r>
              <w:t>musí být</w:t>
            </w:r>
            <w:r w:rsidRPr="00502C09">
              <w:t xml:space="preserve"> vytvořen v souladu s </w:t>
            </w:r>
            <w:r w:rsidRPr="00502C09">
              <w:rPr>
                <w:i/>
              </w:rPr>
              <w:t>Metodikou pro</w:t>
            </w:r>
            <w:r>
              <w:rPr>
                <w:i/>
              </w:rPr>
              <w:t> </w:t>
            </w:r>
            <w:r w:rsidRPr="00502C09">
              <w:rPr>
                <w:i/>
              </w:rPr>
              <w:t xml:space="preserve">časové řízení u stavebních zakázek podle smluvních podmínek FIDIC </w:t>
            </w:r>
            <w:r w:rsidRPr="00502C09">
              <w:t>vydanou SFDI v aktuálním znění, která je dostupná na</w:t>
            </w:r>
            <w:r>
              <w:t>:</w:t>
            </w:r>
          </w:p>
          <w:p w14:paraId="741E8BDB" w14:textId="458990A6" w:rsidR="004025EE" w:rsidRDefault="00352C28" w:rsidP="004025EE">
            <w:pPr>
              <w:pStyle w:val="Tab"/>
              <w:rPr>
                <w:rStyle w:val="Hypertextovodkaz"/>
              </w:rPr>
            </w:pPr>
            <w:hyperlink r:id="rId19" w:history="1">
              <w:r w:rsidR="004025EE" w:rsidRPr="003F782F">
                <w:rPr>
                  <w:rStyle w:val="Hypertextovodkaz"/>
                </w:rPr>
                <w:t>https://www.sfdi.cz/pravidla-metodiky-a-ceniky/metodiky/</w:t>
              </w:r>
            </w:hyperlink>
          </w:p>
          <w:p w14:paraId="497F0247" w14:textId="77777777" w:rsidR="004025EE" w:rsidRDefault="004025EE" w:rsidP="004025EE">
            <w:pPr>
              <w:pStyle w:val="Tab"/>
            </w:pPr>
          </w:p>
          <w:p w14:paraId="58C733D0" w14:textId="02021411" w:rsidR="004025EE" w:rsidRPr="00502C09" w:rsidRDefault="004025EE" w:rsidP="004025EE">
            <w:pPr>
              <w:pStyle w:val="Tab"/>
            </w:pPr>
            <w:r w:rsidRPr="00502C09">
              <w:t xml:space="preserve">Harmonogram </w:t>
            </w:r>
            <w:r>
              <w:t>v elektronické formě musí být</w:t>
            </w:r>
            <w:r w:rsidRPr="00502C09">
              <w:t xml:space="preserve"> předkládán v otevřeném formátu</w:t>
            </w:r>
            <w:r>
              <w:t xml:space="preserve"> </w:t>
            </w:r>
            <w:r w:rsidRPr="00502C09">
              <w:t>.mpp</w:t>
            </w:r>
            <w:r>
              <w:t>.</w:t>
            </w:r>
          </w:p>
        </w:tc>
      </w:tr>
      <w:tr w:rsidR="004025EE" w:rsidRPr="003A7E58" w14:paraId="31C2732A" w14:textId="77777777" w:rsidTr="00B44865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5EF301C7" w14:textId="7BFE957A" w:rsidR="004025EE" w:rsidRPr="00CC16DB" w:rsidRDefault="004025EE" w:rsidP="004025EE">
            <w:pPr>
              <w:pStyle w:val="Tab"/>
            </w:pPr>
            <w:r w:rsidRPr="00CC16DB">
              <w:t>Milníky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B9805FD" w14:textId="63187D42" w:rsidR="004025EE" w:rsidRPr="00CC16DB" w:rsidRDefault="004025EE" w:rsidP="004025EE">
            <w:pPr>
              <w:pStyle w:val="Tab"/>
            </w:pPr>
            <w:r w:rsidRPr="00CC16DB">
              <w:t>8.13</w:t>
            </w:r>
          </w:p>
        </w:tc>
        <w:tc>
          <w:tcPr>
            <w:tcW w:w="5844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022A7476" w14:textId="2524264D" w:rsidR="004025EE" w:rsidRPr="00CC16DB" w:rsidRDefault="004025EE" w:rsidP="004025EE">
            <w:pPr>
              <w:pStyle w:val="Tab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Viz údaje k tomuto Pod-článku </w:t>
            </w:r>
            <w:r w:rsidR="00A76B40">
              <w:rPr>
                <w:rFonts w:eastAsia="Calibri" w:cs="Arial"/>
                <w:szCs w:val="20"/>
              </w:rPr>
              <w:t>stanovené</w:t>
            </w:r>
            <w:r>
              <w:rPr>
                <w:rFonts w:eastAsia="Calibri" w:cs="Arial"/>
                <w:szCs w:val="20"/>
              </w:rPr>
              <w:t xml:space="preserve"> výše v návaznosti na údaje k Pod-článku 1.1.3.3 [Doba pro dokončení].</w:t>
            </w:r>
          </w:p>
        </w:tc>
      </w:tr>
      <w:tr w:rsidR="004025EE" w:rsidRPr="00502C09" w14:paraId="7B64327B" w14:textId="77777777" w:rsidTr="00B44865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03CCD37D" w14:textId="77777777" w:rsidR="004025EE" w:rsidRPr="00502C09" w:rsidRDefault="004025EE" w:rsidP="004025EE">
            <w:pPr>
              <w:pStyle w:val="Tab"/>
            </w:pPr>
            <w:r w:rsidRPr="00502C09">
              <w:t>Metoda měření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3DA2146" w14:textId="77777777" w:rsidR="004025EE" w:rsidRPr="00502C09" w:rsidRDefault="004025EE" w:rsidP="004025EE">
            <w:pPr>
              <w:pStyle w:val="Tab"/>
            </w:pPr>
            <w:r w:rsidRPr="00502C09">
              <w:t>12.2</w:t>
            </w:r>
          </w:p>
        </w:tc>
        <w:tc>
          <w:tcPr>
            <w:tcW w:w="5844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3F469014" w14:textId="223EFD72" w:rsidR="004025EE" w:rsidRPr="00B20398" w:rsidRDefault="004025EE" w:rsidP="004025EE">
            <w:pPr>
              <w:pStyle w:val="Tab"/>
            </w:pPr>
            <w:r w:rsidRPr="00B20398">
              <w:t xml:space="preserve">Postup měření a evidence bude v souladu s </w:t>
            </w:r>
            <w:r w:rsidRPr="00B20398">
              <w:rPr>
                <w:i/>
                <w:iCs/>
              </w:rPr>
              <w:t xml:space="preserve">Metodikou měření pro účely článku 12 Červené knihy FIDIC </w:t>
            </w:r>
            <w:r w:rsidRPr="00B20398">
              <w:t>v aktuálním znění, která je dostupná na:</w:t>
            </w:r>
          </w:p>
          <w:p w14:paraId="423B637B" w14:textId="316B109E" w:rsidR="004025EE" w:rsidRPr="004F4FDA" w:rsidRDefault="00352C28" w:rsidP="004025EE">
            <w:pPr>
              <w:pStyle w:val="Tab"/>
              <w:rPr>
                <w:color w:val="0563C1" w:themeColor="hyperlink"/>
                <w:u w:val="single"/>
              </w:rPr>
            </w:pPr>
            <w:hyperlink r:id="rId20" w:history="1">
              <w:r w:rsidR="004025EE" w:rsidRPr="00B20398">
                <w:rPr>
                  <w:rStyle w:val="Hypertextovodkaz"/>
                </w:rPr>
                <w:t>https://www.sfdi.cz/pravidla-metodiky-a-ceniky/metodiky/</w:t>
              </w:r>
            </w:hyperlink>
          </w:p>
        </w:tc>
      </w:tr>
      <w:tr w:rsidR="004025EE" w:rsidRPr="00502C09" w14:paraId="2EDAB33E" w14:textId="77777777" w:rsidTr="00B44865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51579D35" w14:textId="069EC755" w:rsidR="004025EE" w:rsidRPr="00502C09" w:rsidRDefault="004025EE" w:rsidP="004025EE">
            <w:pPr>
              <w:pStyle w:val="Tab"/>
            </w:pPr>
            <w:r>
              <w:t>Oceňování – cenová databáze/soustava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936E0C2" w14:textId="7645EE79" w:rsidR="004025EE" w:rsidRPr="00502C09" w:rsidRDefault="004025EE" w:rsidP="004025EE">
            <w:pPr>
              <w:pStyle w:val="Tab"/>
            </w:pPr>
            <w:r>
              <w:t>12.3</w:t>
            </w:r>
          </w:p>
        </w:tc>
        <w:tc>
          <w:tcPr>
            <w:tcW w:w="5844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39593889" w14:textId="628C6F9A" w:rsidR="004025EE" w:rsidRPr="00B20398" w:rsidRDefault="004025EE" w:rsidP="004025EE">
            <w:pPr>
              <w:pStyle w:val="Tab"/>
            </w:pPr>
            <w:r w:rsidRPr="00A44196">
              <w:t>Oborový třídník stavebních konstrukcí a prací (OTSKP)</w:t>
            </w:r>
          </w:p>
        </w:tc>
      </w:tr>
      <w:tr w:rsidR="004025EE" w:rsidRPr="00502C09" w14:paraId="2EAD0347" w14:textId="77777777" w:rsidTr="00B44865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50387F01" w14:textId="77777777" w:rsidR="004025EE" w:rsidRPr="00D350C6" w:rsidRDefault="004025EE" w:rsidP="004025EE">
            <w:pPr>
              <w:pStyle w:val="Tab"/>
            </w:pPr>
            <w:r w:rsidRPr="00D350C6">
              <w:t>Urychlení dokončení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26D1A96" w14:textId="77777777" w:rsidR="004025EE" w:rsidRPr="00D350C6" w:rsidRDefault="004025EE" w:rsidP="004025EE">
            <w:pPr>
              <w:pStyle w:val="Tab"/>
            </w:pPr>
            <w:r w:rsidRPr="00D350C6">
              <w:t>13.2 (i)</w:t>
            </w:r>
          </w:p>
        </w:tc>
        <w:tc>
          <w:tcPr>
            <w:tcW w:w="5844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4EA1C26F" w14:textId="77777777" w:rsidR="004025EE" w:rsidRPr="00561F4E" w:rsidRDefault="004025EE" w:rsidP="004025EE">
            <w:pPr>
              <w:pStyle w:val="Tab"/>
            </w:pPr>
            <w:r w:rsidRPr="00D350C6">
              <w:t xml:space="preserve">Vyčíslení Ocenění akcelerace (definice pojmu je obsažena v dále uvedené metodice) se provede podle vzorce stanoveného v souladu s </w:t>
            </w:r>
            <w:r w:rsidRPr="00D350C6">
              <w:rPr>
                <w:i/>
                <w:iCs/>
              </w:rPr>
              <w:t>Metodikou pro akceleraci</w:t>
            </w:r>
            <w:r w:rsidRPr="00D350C6">
              <w:t xml:space="preserve"> v aktuálním znění, která je dostupná na: </w:t>
            </w:r>
            <w:hyperlink r:id="rId21" w:history="1">
              <w:r w:rsidRPr="00D350C6">
                <w:rPr>
                  <w:rStyle w:val="Hypertextovodkaz"/>
                </w:rPr>
                <w:t>https://www.sfdi.cz/pravidla-metodiky-a-ceniky/metodiky/</w:t>
              </w:r>
            </w:hyperlink>
          </w:p>
        </w:tc>
      </w:tr>
      <w:tr w:rsidR="004025EE" w:rsidRPr="00502C09" w14:paraId="7528B2E3" w14:textId="77777777" w:rsidTr="00B44865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4DF19FDB" w14:textId="6EE44254" w:rsidR="004025EE" w:rsidRPr="00502C09" w:rsidRDefault="004025EE" w:rsidP="004025EE">
            <w:pPr>
              <w:pStyle w:val="Tab"/>
            </w:pPr>
            <w:r>
              <w:t>Postup při variaci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98E621C" w14:textId="34A7D0AE" w:rsidR="004025EE" w:rsidRPr="00502C09" w:rsidRDefault="004025EE" w:rsidP="004025EE">
            <w:pPr>
              <w:pStyle w:val="Tab"/>
            </w:pPr>
            <w:r w:rsidRPr="00502C09">
              <w:t>13.</w:t>
            </w:r>
            <w:r>
              <w:t>3</w:t>
            </w:r>
          </w:p>
        </w:tc>
        <w:tc>
          <w:tcPr>
            <w:tcW w:w="5844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7656A5EF" w14:textId="223A9C73" w:rsidR="004025EE" w:rsidRPr="00561F4E" w:rsidRDefault="004025EE" w:rsidP="004025EE">
            <w:pPr>
              <w:pStyle w:val="Tab"/>
            </w:pPr>
            <w:r w:rsidRPr="00561F4E">
              <w:t xml:space="preserve">Postup při Variacích může být konkretizován Správcem stavby v souladu s </w:t>
            </w:r>
            <w:r w:rsidRPr="00561F4E">
              <w:rPr>
                <w:i/>
                <w:iCs/>
              </w:rPr>
              <w:t>Metodikou pro správu změn díla (variací) u stavebních zakázek financovaných z rozpočtu SFDI podle smluvních podmínek FIDIC (Červené knihy) ve vztahu k úpravě zadávání veřejných zakázek</w:t>
            </w:r>
            <w:r w:rsidRPr="00561F4E">
              <w:t xml:space="preserve"> v aktuálním znění a </w:t>
            </w:r>
            <w:r w:rsidRPr="00561F4E">
              <w:rPr>
                <w:i/>
                <w:iCs/>
              </w:rPr>
              <w:t>Metodikou pro zlepšení díla (Value Engineering)</w:t>
            </w:r>
            <w:r w:rsidRPr="00561F4E">
              <w:t xml:space="preserve"> v aktuálním znění, které jsou dostupné na: </w:t>
            </w:r>
            <w:hyperlink r:id="rId22" w:history="1">
              <w:r w:rsidRPr="00561F4E">
                <w:rPr>
                  <w:rStyle w:val="Hypertextovodkaz"/>
                </w:rPr>
                <w:t>https://www.sfdi.cz/pravidla-metodiky-a-ceniky/metodiky/</w:t>
              </w:r>
            </w:hyperlink>
          </w:p>
        </w:tc>
      </w:tr>
      <w:tr w:rsidR="004025EE" w:rsidRPr="00502C09" w14:paraId="4FB450F8" w14:textId="77777777" w:rsidTr="00B44865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3563B26A" w14:textId="7EC59297" w:rsidR="004025EE" w:rsidRPr="00502C09" w:rsidRDefault="004025EE" w:rsidP="004025EE">
            <w:pPr>
              <w:pStyle w:val="Tab"/>
            </w:pPr>
            <w:r w:rsidRPr="00502C09">
              <w:t xml:space="preserve">Procento </w:t>
            </w:r>
            <w:r>
              <w:t>p</w:t>
            </w:r>
            <w:r w:rsidRPr="00502C09">
              <w:t>odmíněných obnosů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CC06167" w14:textId="6C579C6F" w:rsidR="004025EE" w:rsidRPr="00502C09" w:rsidRDefault="004025EE" w:rsidP="004025EE">
            <w:pPr>
              <w:pStyle w:val="Tab"/>
            </w:pPr>
            <w:r w:rsidRPr="00502C09">
              <w:t>13.5</w:t>
            </w:r>
            <w:r>
              <w:t xml:space="preserve"> </w:t>
            </w:r>
            <w:r w:rsidRPr="00502C09">
              <w:t>(b) (ii)</w:t>
            </w:r>
          </w:p>
        </w:tc>
        <w:tc>
          <w:tcPr>
            <w:tcW w:w="5844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0B657E8B" w14:textId="31314A34" w:rsidR="004025EE" w:rsidRPr="00526131" w:rsidRDefault="004025EE" w:rsidP="004025EE">
            <w:pPr>
              <w:pStyle w:val="Tab"/>
              <w:rPr>
                <w:rFonts w:eastAsia="Calibri" w:cs="Arial"/>
                <w:szCs w:val="20"/>
              </w:rPr>
            </w:pPr>
            <w:r w:rsidRPr="00526131">
              <w:t>10 %</w:t>
            </w:r>
          </w:p>
        </w:tc>
      </w:tr>
      <w:tr w:rsidR="004025EE" w:rsidRPr="00502C09" w14:paraId="3542475A" w14:textId="77777777" w:rsidTr="00B44865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4E3E2549" w14:textId="0F11AAD6" w:rsidR="004025EE" w:rsidRPr="007F4C1B" w:rsidRDefault="004025EE" w:rsidP="004025EE">
            <w:pPr>
              <w:pStyle w:val="Tab"/>
            </w:pPr>
            <w:r w:rsidRPr="007F4C1B">
              <w:t>Úpravy v důsledku změn nákladů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1292E2C" w14:textId="48D6D351" w:rsidR="004025EE" w:rsidRPr="007F4C1B" w:rsidRDefault="004025EE" w:rsidP="004025EE">
            <w:pPr>
              <w:pStyle w:val="Tab"/>
            </w:pPr>
            <w:r w:rsidRPr="007F4C1B">
              <w:t>13.8</w:t>
            </w:r>
          </w:p>
        </w:tc>
        <w:tc>
          <w:tcPr>
            <w:tcW w:w="5844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65087D44" w14:textId="77777777" w:rsidR="004025EE" w:rsidRPr="007F4C1B" w:rsidRDefault="004025EE" w:rsidP="004025EE">
            <w:pPr>
              <w:pStyle w:val="Tab"/>
            </w:pPr>
            <w:r w:rsidRPr="007F4C1B">
              <w:t>Použije se.</w:t>
            </w:r>
          </w:p>
          <w:p w14:paraId="271AE4A5" w14:textId="77777777" w:rsidR="004025EE" w:rsidRPr="007F4C1B" w:rsidRDefault="004025EE" w:rsidP="004025EE">
            <w:pPr>
              <w:pStyle w:val="Tab"/>
            </w:pPr>
          </w:p>
          <w:p w14:paraId="63DD20DA" w14:textId="3DD81E9B" w:rsidR="004025EE" w:rsidRPr="007F4C1B" w:rsidRDefault="004025EE" w:rsidP="004025EE">
            <w:pPr>
              <w:pStyle w:val="Tab"/>
            </w:pPr>
            <w:r w:rsidRPr="007F4C1B">
              <w:lastRenderedPageBreak/>
              <w:t>Tabulka údajů o úpravách je přiložena k Příloze k nabídce samostatně.</w:t>
            </w:r>
          </w:p>
        </w:tc>
      </w:tr>
      <w:tr w:rsidR="004025EE" w:rsidRPr="00502C09" w14:paraId="5AA8CCBE" w14:textId="77777777" w:rsidTr="00B44865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539315F4" w14:textId="4050E2B9" w:rsidR="004025EE" w:rsidRPr="00070B82" w:rsidDel="0029301B" w:rsidRDefault="004025EE" w:rsidP="004025EE">
            <w:pPr>
              <w:pStyle w:val="Tab"/>
            </w:pPr>
            <w:r w:rsidRPr="00070B82">
              <w:lastRenderedPageBreak/>
              <w:t xml:space="preserve">Zálohová platba při zahájení stavebních prací 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CBE2601" w14:textId="77777777" w:rsidR="004025EE" w:rsidRPr="00070B82" w:rsidRDefault="004025EE" w:rsidP="004025EE">
            <w:pPr>
              <w:pStyle w:val="Tab"/>
            </w:pPr>
            <w:r w:rsidRPr="00070B82">
              <w:t>14.2</w:t>
            </w:r>
          </w:p>
        </w:tc>
        <w:tc>
          <w:tcPr>
            <w:tcW w:w="5844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35C4D193" w14:textId="2D005F40" w:rsidR="004025EE" w:rsidRPr="00070B82" w:rsidRDefault="004025EE" w:rsidP="004025EE">
            <w:pPr>
              <w:pStyle w:val="Tab"/>
              <w:rPr>
                <w:rFonts w:eastAsia="Calibri" w:cs="Arial"/>
                <w:szCs w:val="20"/>
              </w:rPr>
            </w:pPr>
            <w:r>
              <w:t>N</w:t>
            </w:r>
            <w:r w:rsidRPr="00070B82">
              <w:t>epoužije se</w:t>
            </w:r>
            <w:r>
              <w:t>.</w:t>
            </w:r>
          </w:p>
        </w:tc>
      </w:tr>
      <w:tr w:rsidR="004025EE" w:rsidRPr="00070B82" w14:paraId="7B473001" w14:textId="77777777" w:rsidTr="00B44865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7C247E75" w14:textId="2CAB5A87" w:rsidR="004025EE" w:rsidRPr="00070B82" w:rsidRDefault="004025EE" w:rsidP="004025EE">
            <w:pPr>
              <w:pStyle w:val="Tab"/>
            </w:pPr>
            <w:r w:rsidRPr="00070B82">
              <w:t>Procento a limit Zádržného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F144245" w14:textId="3038C4B1" w:rsidR="004025EE" w:rsidRPr="00070B82" w:rsidRDefault="004025EE" w:rsidP="004025EE">
            <w:pPr>
              <w:pStyle w:val="Tab"/>
            </w:pPr>
            <w:r w:rsidRPr="00070B82">
              <w:t>14.3 (c)</w:t>
            </w:r>
          </w:p>
        </w:tc>
        <w:tc>
          <w:tcPr>
            <w:tcW w:w="5844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673F1CF7" w14:textId="1A40F8E7" w:rsidR="004025EE" w:rsidRPr="00070B82" w:rsidRDefault="004025EE" w:rsidP="004025EE">
            <w:pPr>
              <w:pStyle w:val="Tab"/>
            </w:pPr>
            <w:r>
              <w:t>N</w:t>
            </w:r>
            <w:r w:rsidRPr="00070B82">
              <w:t>epoužije se</w:t>
            </w:r>
            <w:r>
              <w:t>.</w:t>
            </w:r>
          </w:p>
        </w:tc>
      </w:tr>
      <w:tr w:rsidR="004025EE" w:rsidRPr="00070B82" w14:paraId="2E84D576" w14:textId="77777777" w:rsidTr="00B44865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073F3247" w14:textId="3C971E4B" w:rsidR="004025EE" w:rsidRPr="00070B82" w:rsidRDefault="004025EE" w:rsidP="004025EE">
            <w:pPr>
              <w:pStyle w:val="Tab"/>
            </w:pPr>
            <w:r w:rsidRPr="00070B82">
              <w:t>Technologická zařízení a materiály určené pro dílo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E788937" w14:textId="77777777" w:rsidR="004025EE" w:rsidRPr="00070B82" w:rsidRDefault="004025EE" w:rsidP="004025EE">
            <w:pPr>
              <w:pStyle w:val="Tab"/>
            </w:pPr>
            <w:r w:rsidRPr="00070B82">
              <w:t>14.5</w:t>
            </w:r>
          </w:p>
        </w:tc>
        <w:tc>
          <w:tcPr>
            <w:tcW w:w="5844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1134B808" w14:textId="1E1F5159" w:rsidR="004025EE" w:rsidRPr="00070B82" w:rsidRDefault="004025EE" w:rsidP="004025EE">
            <w:pPr>
              <w:pStyle w:val="Tab"/>
              <w:rPr>
                <w:rFonts w:eastAsia="Calibri" w:cs="Arial"/>
                <w:szCs w:val="20"/>
              </w:rPr>
            </w:pPr>
            <w:r>
              <w:t>N</w:t>
            </w:r>
            <w:r w:rsidRPr="00070B82">
              <w:t>epoužije se</w:t>
            </w:r>
            <w:r>
              <w:t>.</w:t>
            </w:r>
          </w:p>
        </w:tc>
      </w:tr>
      <w:tr w:rsidR="004025EE" w:rsidRPr="00502C09" w14:paraId="54D5AF2D" w14:textId="77777777" w:rsidTr="00B44865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7B092A8B" w14:textId="65EB3D36" w:rsidR="004025EE" w:rsidRPr="00070B82" w:rsidRDefault="004025EE" w:rsidP="004025EE">
            <w:pPr>
              <w:pStyle w:val="Tab"/>
            </w:pPr>
            <w:r w:rsidRPr="00070B82">
              <w:t>Minimální částka Potvrzení průběžné platby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9B20C96" w14:textId="40E08954" w:rsidR="004025EE" w:rsidRPr="00070B82" w:rsidRDefault="004025EE" w:rsidP="004025EE">
            <w:pPr>
              <w:pStyle w:val="Tab"/>
            </w:pPr>
            <w:r w:rsidRPr="00070B82">
              <w:t>14.6</w:t>
            </w:r>
          </w:p>
        </w:tc>
        <w:tc>
          <w:tcPr>
            <w:tcW w:w="5844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2E999429" w14:textId="073D9F26" w:rsidR="004025EE" w:rsidRPr="00070B82" w:rsidRDefault="004025EE" w:rsidP="004025EE">
            <w:pPr>
              <w:pStyle w:val="Tab"/>
              <w:rPr>
                <w:rFonts w:eastAsia="Calibri" w:cs="Arial"/>
                <w:szCs w:val="20"/>
              </w:rPr>
            </w:pPr>
            <w:r>
              <w:t>N</w:t>
            </w:r>
            <w:r w:rsidRPr="00070B82">
              <w:t>epoužije se</w:t>
            </w:r>
            <w:r>
              <w:t>.</w:t>
            </w:r>
          </w:p>
        </w:tc>
      </w:tr>
      <w:tr w:rsidR="004025EE" w:rsidRPr="00C10C2D" w14:paraId="69EB6F87" w14:textId="77777777" w:rsidTr="00B44865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17AEAA9C" w14:textId="16DF1B83" w:rsidR="004025EE" w:rsidRDefault="004025EE" w:rsidP="004025EE">
            <w:pPr>
              <w:pStyle w:val="Tab"/>
            </w:pPr>
            <w:r>
              <w:t>Zadržení částky při neplnění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2D3E609" w14:textId="76553EA8" w:rsidR="004025EE" w:rsidRDefault="004025EE" w:rsidP="004025EE">
            <w:pPr>
              <w:pStyle w:val="Tab"/>
            </w:pPr>
            <w:r>
              <w:t>14.6 (b)</w:t>
            </w:r>
          </w:p>
        </w:tc>
        <w:tc>
          <w:tcPr>
            <w:tcW w:w="5844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3D579843" w14:textId="0F6D5391" w:rsidR="004025EE" w:rsidRPr="00C10C2D" w:rsidRDefault="004025EE" w:rsidP="004025EE">
            <w:pPr>
              <w:pStyle w:val="Tab"/>
              <w:keepNext/>
            </w:pPr>
            <w:r w:rsidRPr="00C10C2D">
              <w:t>Jestliže Zhotovitel:</w:t>
            </w:r>
          </w:p>
          <w:p w14:paraId="0AC472CC" w14:textId="4FCBCD56" w:rsidR="004025EE" w:rsidRPr="00C10C2D" w:rsidRDefault="004025EE" w:rsidP="004025EE">
            <w:pPr>
              <w:pStyle w:val="TabPsm"/>
              <w:numPr>
                <w:ilvl w:val="0"/>
                <w:numId w:val="23"/>
              </w:numPr>
            </w:pPr>
            <w:r w:rsidRPr="00C10C2D">
              <w:t>nesplnil včas finanční závazky svému Podzhotoviteli podle Pod-článku 1.15 [Sociální odpovědnost], může být zadržena částka až do výše 2 % Přijaté smluvní částky (bez DPH) za každý jednotlivý případ porušení; nebo</w:t>
            </w:r>
          </w:p>
          <w:p w14:paraId="702B9526" w14:textId="7BB34776" w:rsidR="004025EE" w:rsidRPr="00C10C2D" w:rsidRDefault="004025EE" w:rsidP="004025EE">
            <w:pPr>
              <w:pStyle w:val="TabPsm"/>
            </w:pPr>
            <w:r w:rsidRPr="00C10C2D">
              <w:t>neprokázal nebo neudržuje pojištění podle Článku 18 [Pojištění], může být zadržena částka až do výše 2 % Přijaté smluvní částky (bez DPH).</w:t>
            </w:r>
          </w:p>
          <w:p w14:paraId="78468083" w14:textId="77777777" w:rsidR="004025EE" w:rsidRPr="00C10C2D" w:rsidRDefault="004025EE" w:rsidP="004025EE">
            <w:pPr>
              <w:pStyle w:val="Tab"/>
            </w:pPr>
          </w:p>
          <w:p w14:paraId="53452C1C" w14:textId="69020F3C" w:rsidR="004025EE" w:rsidRPr="00C10C2D" w:rsidRDefault="004025EE" w:rsidP="004025EE">
            <w:pPr>
              <w:pStyle w:val="Tab"/>
            </w:pPr>
            <w:r w:rsidRPr="00C10C2D">
              <w:t>Jestliže Zhotovitel ani po obdržení výzvy Správce stavby podle Pod-článku 15.1 [Výzva k nápravě] v čase stanoveném v takové výzvě:</w:t>
            </w:r>
          </w:p>
          <w:p w14:paraId="5F64F947" w14:textId="2553AE49" w:rsidR="004025EE" w:rsidRPr="00C10C2D" w:rsidRDefault="004025EE" w:rsidP="004025EE">
            <w:pPr>
              <w:pStyle w:val="TabPsm"/>
              <w:numPr>
                <w:ilvl w:val="0"/>
                <w:numId w:val="24"/>
              </w:numPr>
            </w:pPr>
            <w:r w:rsidRPr="00C10C2D">
              <w:t>nesplnil podmínku stanovenou koordinátorem bezpečnosti a ochrany zdraví při práci na Staveništi nebo mu neposkytl potřebnou součinnost pro výkon jeho funkce podle Pod-článku 4.8 [Bezpečnost práce], může být zadržena částka až do výše 1 % Přijaté smluvní částky (bez DPH) za každý jednotlivý případ porušení;</w:t>
            </w:r>
          </w:p>
          <w:p w14:paraId="092105A6" w14:textId="54D60FBC" w:rsidR="004025EE" w:rsidRPr="00C10C2D" w:rsidRDefault="004025EE" w:rsidP="004025EE">
            <w:pPr>
              <w:pStyle w:val="TabPsm"/>
            </w:pPr>
            <w:r w:rsidRPr="00C10C2D">
              <w:t>nesplnil jinou než časovou podmínku stanovenou v individuálním právním aktu orgánu veřejné moci podle Pod-článku 4.25 [Podmínky omezení provozu na pozemních komunikacích], může být zadržena částka až do výše 1 % Přijaté smluvní částky (bez DPH) za každý jednotlivý případ porušení; nebo</w:t>
            </w:r>
          </w:p>
          <w:p w14:paraId="6F956082" w14:textId="41C3F55B" w:rsidR="004025EE" w:rsidRPr="00C10C2D" w:rsidRDefault="004025EE" w:rsidP="004025EE">
            <w:pPr>
              <w:pStyle w:val="TabPsm"/>
            </w:pPr>
            <w:r w:rsidRPr="00C10C2D">
              <w:t>nepředložil:</w:t>
            </w:r>
          </w:p>
          <w:p w14:paraId="50A43FDB" w14:textId="60329E86" w:rsidR="004025EE" w:rsidRPr="00C10C2D" w:rsidRDefault="004025EE" w:rsidP="004025EE">
            <w:pPr>
              <w:pStyle w:val="Tabm"/>
              <w:numPr>
                <w:ilvl w:val="0"/>
                <w:numId w:val="31"/>
              </w:numPr>
            </w:pPr>
            <w:r w:rsidRPr="00C10C2D">
              <w:t>počáteční harmonogram podle Pod</w:t>
            </w:r>
            <w:r w:rsidRPr="00C10C2D">
              <w:noBreakHyphen/>
              <w:t>článku 8.3 [Harmonogram]; nebo</w:t>
            </w:r>
          </w:p>
          <w:p w14:paraId="48328C4D" w14:textId="7407C1DA" w:rsidR="004025EE" w:rsidRPr="00C10C2D" w:rsidRDefault="004025EE" w:rsidP="004025EE">
            <w:pPr>
              <w:pStyle w:val="Tabm"/>
            </w:pPr>
            <w:r w:rsidRPr="00C10C2D">
              <w:lastRenderedPageBreak/>
              <w:t>aktualizovaný harmonogram podle Pod-článku 8.3 [Harmonogram] nebo Pod-článku 8.6 [Míra postupu prací],</w:t>
            </w:r>
          </w:p>
          <w:p w14:paraId="2A9EA19E" w14:textId="3FFB9FE9" w:rsidR="004025EE" w:rsidRPr="00C10C2D" w:rsidRDefault="004025EE" w:rsidP="004025EE">
            <w:pPr>
              <w:pStyle w:val="TabpodTabPsm"/>
            </w:pPr>
            <w:r w:rsidRPr="00C10C2D">
              <w:t>může být zadržena částka až do výše 1 % Přijaté smluvní částky (bez DPH) za každý jednotlivý případ porušení; nebo</w:t>
            </w:r>
          </w:p>
          <w:p w14:paraId="1B35FF2F" w14:textId="61A6FB7D" w:rsidR="004025EE" w:rsidRPr="00C10C2D" w:rsidRDefault="004025EE" w:rsidP="004025EE">
            <w:pPr>
              <w:pStyle w:val="TabPsm"/>
            </w:pPr>
            <w:r w:rsidRPr="00C10C2D">
              <w:t>nezajistil Personál zhotovitele a Vybavení zhotovitele na Staveništi v rozsahu a počtech potřebných:</w:t>
            </w:r>
          </w:p>
          <w:p w14:paraId="2067F0EC" w14:textId="72CDB9FA" w:rsidR="004025EE" w:rsidRPr="00C10C2D" w:rsidRDefault="004025EE" w:rsidP="004025EE">
            <w:pPr>
              <w:pStyle w:val="Tabm"/>
              <w:numPr>
                <w:ilvl w:val="0"/>
                <w:numId w:val="26"/>
              </w:numPr>
            </w:pPr>
            <w:r w:rsidRPr="00C10C2D">
              <w:t>pro provádění Díla v souladu s harmonogramem podle Pod-článku 8.3 [Harmonogram];</w:t>
            </w:r>
          </w:p>
          <w:p w14:paraId="1F706CDB" w14:textId="3565EF23" w:rsidR="004025EE" w:rsidRPr="00C10C2D" w:rsidRDefault="004025EE" w:rsidP="004025EE">
            <w:pPr>
              <w:pStyle w:val="Tabm"/>
            </w:pPr>
            <w:r w:rsidRPr="00C10C2D">
              <w:t>pro splnění podmínek vyplývajících z údajů k Pod</w:t>
            </w:r>
            <w:r w:rsidRPr="00C10C2D">
              <w:noBreakHyphen/>
              <w:t>článku 6.5 [Pracovní doba] stanovených v Příloze k nabídce;</w:t>
            </w:r>
          </w:p>
          <w:p w14:paraId="3F2AA788" w14:textId="36B2A477" w:rsidR="004025EE" w:rsidRPr="00C10C2D" w:rsidRDefault="004025EE" w:rsidP="004025EE">
            <w:pPr>
              <w:pStyle w:val="Tabm"/>
            </w:pPr>
            <w:r w:rsidRPr="00C10C2D">
              <w:t xml:space="preserve">splnění </w:t>
            </w:r>
            <w:r>
              <w:t>m</w:t>
            </w:r>
            <w:r w:rsidRPr="00C10C2D">
              <w:t xml:space="preserve">ilníku </w:t>
            </w:r>
            <w:r w:rsidRPr="00646BDA">
              <w:t>podle Pod-článku 8.13 [Milníky]</w:t>
            </w:r>
            <w:r>
              <w:t xml:space="preserve"> </w:t>
            </w:r>
            <w:r w:rsidRPr="00C10C2D">
              <w:t>(je-li takový) ve stanovené době; nebo</w:t>
            </w:r>
          </w:p>
          <w:p w14:paraId="3C6FD4BC" w14:textId="0E5C0A5C" w:rsidR="004025EE" w:rsidRPr="00C10C2D" w:rsidRDefault="004025EE" w:rsidP="004025EE">
            <w:pPr>
              <w:pStyle w:val="Tabm"/>
            </w:pPr>
            <w:r w:rsidRPr="00C10C2D">
              <w:t>dokončení Díla v Době pro dokončení Díla nebo Sekce (je-li taková) v Době pro dokončení takové Sekce,</w:t>
            </w:r>
          </w:p>
          <w:p w14:paraId="362CA60F" w14:textId="420600E8" w:rsidR="004025EE" w:rsidRPr="00C10C2D" w:rsidRDefault="004025EE" w:rsidP="004025EE">
            <w:pPr>
              <w:pStyle w:val="TabpodTabPsm"/>
            </w:pPr>
            <w:r w:rsidRPr="00C10C2D">
              <w:t>může být zadržena částka až do výše 10 % Přijaté smluvní částky (bez DPH) za každý jednotlivý případ porušení.</w:t>
            </w:r>
          </w:p>
        </w:tc>
      </w:tr>
      <w:tr w:rsidR="004025EE" w:rsidRPr="00502C09" w14:paraId="0A8994A2" w14:textId="77777777" w:rsidTr="00B44865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36A3F322" w14:textId="35137567" w:rsidR="004025EE" w:rsidRDefault="004025EE" w:rsidP="004025EE">
            <w:pPr>
              <w:pStyle w:val="Tab"/>
            </w:pPr>
            <w:r>
              <w:lastRenderedPageBreak/>
              <w:t>Maximální možná celková výše zadržených nákladů, částek a hodnot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AB31FA4" w14:textId="6A9FEF81" w:rsidR="004025EE" w:rsidRDefault="004025EE" w:rsidP="004025EE">
            <w:pPr>
              <w:pStyle w:val="Tab"/>
            </w:pPr>
            <w:r>
              <w:t>14.6</w:t>
            </w:r>
          </w:p>
        </w:tc>
        <w:tc>
          <w:tcPr>
            <w:tcW w:w="5844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54D1AA92" w14:textId="301AF6FD" w:rsidR="004025EE" w:rsidRPr="00B9774B" w:rsidRDefault="004025EE" w:rsidP="004025EE">
            <w:pPr>
              <w:pStyle w:val="Tab"/>
              <w:rPr>
                <w:color w:val="767171" w:themeColor="background2" w:themeShade="80"/>
              </w:rPr>
            </w:pPr>
            <w:r w:rsidRPr="00B9774B">
              <w:t>30 % Přijaté smluvní částky (bez DPH)</w:t>
            </w:r>
          </w:p>
        </w:tc>
      </w:tr>
      <w:tr w:rsidR="004025EE" w:rsidRPr="00502C09" w14:paraId="6FDC8AD2" w14:textId="77777777" w:rsidTr="00B44865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0C107CDD" w14:textId="77777777" w:rsidR="004025EE" w:rsidRPr="00502C09" w:rsidRDefault="004025EE" w:rsidP="004025EE">
            <w:pPr>
              <w:pStyle w:val="Tab"/>
            </w:pPr>
            <w:r w:rsidRPr="00502C09">
              <w:t>Měny plateb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F92E840" w14:textId="77777777" w:rsidR="004025EE" w:rsidRPr="00502C09" w:rsidRDefault="004025EE" w:rsidP="004025EE">
            <w:pPr>
              <w:pStyle w:val="Tab"/>
            </w:pPr>
            <w:r w:rsidRPr="00502C09">
              <w:t>14.15</w:t>
            </w:r>
          </w:p>
        </w:tc>
        <w:tc>
          <w:tcPr>
            <w:tcW w:w="5844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71E4C167" w14:textId="77777777" w:rsidR="004025EE" w:rsidRPr="00502C09" w:rsidRDefault="004025EE" w:rsidP="004025EE">
            <w:pPr>
              <w:pStyle w:val="Tab"/>
            </w:pPr>
            <w:r w:rsidRPr="00502C09">
              <w:t>Koruna česká</w:t>
            </w:r>
          </w:p>
        </w:tc>
      </w:tr>
      <w:tr w:rsidR="004025EE" w:rsidRPr="00502C09" w14:paraId="6D0A34DF" w14:textId="77777777" w:rsidTr="00B44865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57CC83BC" w14:textId="0B08A2DB" w:rsidR="004025EE" w:rsidRPr="00502C09" w:rsidRDefault="004025EE" w:rsidP="004025EE">
            <w:pPr>
              <w:pStyle w:val="Tab"/>
            </w:pPr>
            <w:r>
              <w:t>Omezení odpovědnosti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BE69C0C" w14:textId="3FA05A71" w:rsidR="004025EE" w:rsidRPr="00502C09" w:rsidRDefault="004025EE" w:rsidP="004025EE">
            <w:pPr>
              <w:pStyle w:val="Tab"/>
            </w:pPr>
            <w:r>
              <w:t>17.6</w:t>
            </w:r>
          </w:p>
        </w:tc>
        <w:tc>
          <w:tcPr>
            <w:tcW w:w="5844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38FD6B4D" w14:textId="0DF3BEDA" w:rsidR="004025EE" w:rsidRPr="00EE2975" w:rsidRDefault="004025EE" w:rsidP="004025EE">
            <w:pPr>
              <w:pStyle w:val="Tab"/>
            </w:pPr>
            <w:r>
              <w:t>N</w:t>
            </w:r>
            <w:r w:rsidRPr="00EE2975">
              <w:t>epoužije se</w:t>
            </w:r>
            <w:r>
              <w:t xml:space="preserve"> </w:t>
            </w:r>
            <w:r w:rsidRPr="00EE2975">
              <w:t>(omezení odpovědnosti odpovídá Přijaté smluvní částce (bez</w:t>
            </w:r>
            <w:r>
              <w:t> </w:t>
            </w:r>
            <w:r w:rsidRPr="00EE2975">
              <w:t>DPH))</w:t>
            </w:r>
            <w:r>
              <w:t>.</w:t>
            </w:r>
          </w:p>
        </w:tc>
      </w:tr>
      <w:tr w:rsidR="004025EE" w:rsidRPr="00502C09" w14:paraId="057E33EA" w14:textId="77777777" w:rsidTr="00B44865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2CDA4B49" w14:textId="28881953" w:rsidR="004025EE" w:rsidRPr="00502C09" w:rsidRDefault="004025EE" w:rsidP="004025EE">
            <w:pPr>
              <w:pStyle w:val="Tab"/>
            </w:pPr>
            <w:r>
              <w:t>Lhůty pro předložení důkazu pojištění a kopií pojistek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D86F7AD" w14:textId="24916D77" w:rsidR="004025EE" w:rsidRPr="00502C09" w:rsidRDefault="004025EE" w:rsidP="004025EE">
            <w:pPr>
              <w:pStyle w:val="Tab"/>
            </w:pPr>
            <w:r>
              <w:t>18.1</w:t>
            </w:r>
          </w:p>
        </w:tc>
        <w:tc>
          <w:tcPr>
            <w:tcW w:w="5844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483013BE" w14:textId="77777777" w:rsidR="004025EE" w:rsidRPr="00CD3CC8" w:rsidRDefault="004025EE" w:rsidP="004025EE">
            <w:pPr>
              <w:pStyle w:val="Tab"/>
              <w:widowControl w:val="0"/>
            </w:pPr>
            <w:r>
              <w:t>Nejpozději při převzetí Staveniště (nebo jeho první části) Zhotovitelem.</w:t>
            </w:r>
          </w:p>
          <w:p w14:paraId="77722F5F" w14:textId="77777777" w:rsidR="004025EE" w:rsidRPr="00CD3CC8" w:rsidRDefault="004025EE" w:rsidP="004025EE">
            <w:pPr>
              <w:pStyle w:val="Tab"/>
              <w:widowControl w:val="0"/>
            </w:pPr>
          </w:p>
          <w:p w14:paraId="4DD87E9D" w14:textId="3E8060F9" w:rsidR="004025EE" w:rsidRPr="001910CA" w:rsidRDefault="004025EE" w:rsidP="004025EE">
            <w:pPr>
              <w:pStyle w:val="Tab"/>
              <w:rPr>
                <w:highlight w:val="cyan"/>
              </w:rPr>
            </w:pPr>
            <w:r>
              <w:t>Dále do 5 pracovních dní ode dne oznámení požadavku Objednatele na předložení důkazu pojištění nebo kopií pojistek.</w:t>
            </w:r>
          </w:p>
        </w:tc>
      </w:tr>
      <w:tr w:rsidR="00551D9E" w:rsidRPr="00502C09" w14:paraId="65BD3807" w14:textId="77777777" w:rsidTr="00B44865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6DF9FF50" w14:textId="7D64E2CF" w:rsidR="00551D9E" w:rsidRDefault="00551D9E" w:rsidP="00D96A1A">
            <w:pPr>
              <w:pStyle w:val="Tab"/>
            </w:pPr>
            <w:r w:rsidRPr="00502C09">
              <w:t>Pojištění díla a vybavení zhotovitele</w:t>
            </w:r>
            <w:r>
              <w:t xml:space="preserve"> (</w:t>
            </w:r>
            <w:r w:rsidR="00D96A1A">
              <w:t>osoba oprávněná k přijetí pojistného plnění</w:t>
            </w:r>
            <w:r>
              <w:t>)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AC49AF2" w14:textId="67BF21B6" w:rsidR="00551D9E" w:rsidRDefault="00D96A1A" w:rsidP="00551D9E">
            <w:pPr>
              <w:pStyle w:val="Tab"/>
            </w:pPr>
            <w:r>
              <w:t>18.2 (b)</w:t>
            </w:r>
          </w:p>
        </w:tc>
        <w:tc>
          <w:tcPr>
            <w:tcW w:w="5844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53790B8E" w14:textId="2768D81E" w:rsidR="00551D9E" w:rsidRDefault="00D96A1A" w:rsidP="00551D9E">
            <w:pPr>
              <w:pStyle w:val="Tab"/>
              <w:widowControl w:val="0"/>
            </w:pPr>
            <w:r>
              <w:t xml:space="preserve">Ustanovení </w:t>
            </w:r>
            <w:r w:rsidR="00E16AA4">
              <w:t xml:space="preserve">tohoto </w:t>
            </w:r>
            <w:r>
              <w:t>pod-odstavce se nepoužije v souvislosti s</w:t>
            </w:r>
            <w:r w:rsidR="00136938">
              <w:t> pojištěním Vybavení zhotovitele.</w:t>
            </w:r>
          </w:p>
        </w:tc>
      </w:tr>
      <w:tr w:rsidR="00551D9E" w:rsidRPr="00502C09" w14:paraId="0F356F00" w14:textId="77777777" w:rsidTr="00B44865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1D906BBA" w14:textId="429A55A4" w:rsidR="00551D9E" w:rsidRPr="00502C09" w:rsidRDefault="00551D9E" w:rsidP="00551D9E">
            <w:pPr>
              <w:pStyle w:val="Tab"/>
            </w:pPr>
            <w:r w:rsidRPr="00502C09">
              <w:t>Pojištění díla a vybavení zhotovitele</w:t>
            </w:r>
            <w:r>
              <w:t xml:space="preserve"> (pojistná částka)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8818142" w14:textId="6EF4563F" w:rsidR="00551D9E" w:rsidRPr="00502C09" w:rsidRDefault="00551D9E" w:rsidP="00551D9E">
            <w:pPr>
              <w:pStyle w:val="Tab"/>
            </w:pPr>
            <w:r w:rsidRPr="00502C09">
              <w:t>18.2</w:t>
            </w:r>
            <w:r>
              <w:t xml:space="preserve"> (c)</w:t>
            </w:r>
          </w:p>
        </w:tc>
        <w:tc>
          <w:tcPr>
            <w:tcW w:w="5844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1973EC1A" w14:textId="71DA6F01" w:rsidR="00551D9E" w:rsidRPr="001910CA" w:rsidRDefault="00551D9E" w:rsidP="00551D9E">
            <w:pPr>
              <w:pStyle w:val="Tab"/>
              <w:rPr>
                <w:highlight w:val="cyan"/>
              </w:rPr>
            </w:pPr>
            <w:r>
              <w:t>minimálně ve výši Přijaté smluvní částky (bez DPH)</w:t>
            </w:r>
          </w:p>
        </w:tc>
      </w:tr>
      <w:tr w:rsidR="00551D9E" w:rsidRPr="00502C09" w14:paraId="1CB006FA" w14:textId="77777777" w:rsidTr="00B44865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22C24600" w14:textId="77777777" w:rsidR="00551D9E" w:rsidRPr="00502C09" w:rsidRDefault="00551D9E" w:rsidP="00551D9E">
            <w:pPr>
              <w:pStyle w:val="Tab"/>
              <w:widowControl w:val="0"/>
            </w:pPr>
            <w:r w:rsidRPr="00502C09">
              <w:lastRenderedPageBreak/>
              <w:t>Pojištění díla a vybavení zhotovitele</w:t>
            </w:r>
          </w:p>
          <w:p w14:paraId="7FA66E55" w14:textId="12042826" w:rsidR="00551D9E" w:rsidRPr="00502C09" w:rsidDel="000309A9" w:rsidRDefault="00551D9E" w:rsidP="00551D9E">
            <w:pPr>
              <w:pStyle w:val="Tab"/>
            </w:pPr>
            <w:r w:rsidRPr="00502C09">
              <w:t>(výše pojistného plnění)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EE39EB4" w14:textId="4484EB7B" w:rsidR="00551D9E" w:rsidRPr="00502C09" w:rsidDel="000309A9" w:rsidRDefault="00551D9E" w:rsidP="00551D9E">
            <w:pPr>
              <w:pStyle w:val="Tab"/>
            </w:pPr>
            <w:r w:rsidRPr="00502C09">
              <w:t>18.2</w:t>
            </w:r>
            <w:r>
              <w:t xml:space="preserve"> (f)</w:t>
            </w:r>
          </w:p>
        </w:tc>
        <w:tc>
          <w:tcPr>
            <w:tcW w:w="5844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3A4AB7EF" w14:textId="77777777" w:rsidR="00551D9E" w:rsidRPr="00905F9E" w:rsidRDefault="00551D9E" w:rsidP="00551D9E">
            <w:pPr>
              <w:pStyle w:val="Tab"/>
              <w:widowControl w:val="0"/>
            </w:pPr>
            <w:r w:rsidRPr="00905F9E">
              <w:t>Pojistné plnění:</w:t>
            </w:r>
          </w:p>
          <w:p w14:paraId="5F7F1507" w14:textId="502A179E" w:rsidR="00551D9E" w:rsidRPr="00905F9E" w:rsidRDefault="00551D9E" w:rsidP="00551D9E">
            <w:pPr>
              <w:pStyle w:val="TabPsm"/>
              <w:numPr>
                <w:ilvl w:val="0"/>
                <w:numId w:val="27"/>
              </w:numPr>
            </w:pPr>
            <w:r w:rsidRPr="00905F9E">
              <w:t>v rozsahu krytí „All-risks“ ve výši Přijaté smluvní částky (bez DPH);</w:t>
            </w:r>
          </w:p>
          <w:p w14:paraId="29569924" w14:textId="3E4677F5" w:rsidR="00551D9E" w:rsidRPr="00905F9E" w:rsidRDefault="00551D9E" w:rsidP="00551D9E">
            <w:pPr>
              <w:pStyle w:val="TabPsm"/>
              <w:numPr>
                <w:ilvl w:val="0"/>
                <w:numId w:val="27"/>
              </w:numPr>
            </w:pPr>
            <w:r w:rsidRPr="00905F9E">
              <w:t>pro odcizení a vandalismus min. 2 mil. Kč;</w:t>
            </w:r>
          </w:p>
          <w:p w14:paraId="7A3DCD9F" w14:textId="2086DF63" w:rsidR="00551D9E" w:rsidRPr="00905F9E" w:rsidRDefault="00551D9E" w:rsidP="00551D9E">
            <w:pPr>
              <w:pStyle w:val="TabPsm"/>
              <w:numPr>
                <w:ilvl w:val="0"/>
                <w:numId w:val="27"/>
              </w:numPr>
            </w:pPr>
            <w:r w:rsidRPr="00905F9E">
              <w:t>pro pojištění rizika projektanta min. 10 mil. Kč;</w:t>
            </w:r>
          </w:p>
          <w:p w14:paraId="6D4C218D" w14:textId="1F32CAFA" w:rsidR="00551D9E" w:rsidRPr="00905F9E" w:rsidRDefault="00551D9E" w:rsidP="00551D9E">
            <w:pPr>
              <w:pStyle w:val="TabPsm"/>
              <w:numPr>
                <w:ilvl w:val="0"/>
                <w:numId w:val="27"/>
              </w:numPr>
            </w:pPr>
            <w:r w:rsidRPr="00905F9E">
              <w:t>jednotlivě pro ostatní rizika min. 50 mil. Kč.</w:t>
            </w:r>
          </w:p>
        </w:tc>
      </w:tr>
      <w:tr w:rsidR="00551D9E" w:rsidRPr="00502C09" w14:paraId="106C4E99" w14:textId="77777777" w:rsidTr="00B44865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280855E6" w14:textId="7A0EB0B7" w:rsidR="00551D9E" w:rsidRPr="00502C09" w:rsidDel="000309A9" w:rsidRDefault="00551D9E" w:rsidP="00551D9E">
            <w:pPr>
              <w:pStyle w:val="Tab"/>
            </w:pPr>
            <w:r w:rsidRPr="00502C09">
              <w:t>Pojištění díla a vybavení zhotovitele</w:t>
            </w:r>
            <w:r>
              <w:t xml:space="preserve"> (spoluúčast)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2D4316B" w14:textId="209E65E7" w:rsidR="00551D9E" w:rsidRPr="00502C09" w:rsidDel="000309A9" w:rsidRDefault="00551D9E" w:rsidP="00551D9E">
            <w:pPr>
              <w:pStyle w:val="Tab"/>
            </w:pPr>
            <w:r>
              <w:t>18.2 (h)</w:t>
            </w:r>
          </w:p>
        </w:tc>
        <w:tc>
          <w:tcPr>
            <w:tcW w:w="5844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0178C00C" w14:textId="5CEC990F" w:rsidR="00551D9E" w:rsidRPr="00905F9E" w:rsidRDefault="00551D9E" w:rsidP="00551D9E">
            <w:pPr>
              <w:pStyle w:val="Tab"/>
            </w:pPr>
            <w:r w:rsidRPr="00905F9E">
              <w:t>Maximálně 1 mil. Kč; pro živelná rizika lze sjednat spoluúčast ve výši 10 % z výše škody, maximálně však 5 mil. Kč.</w:t>
            </w:r>
            <w:r w:rsidRPr="00905F9E" w:rsidDel="00D87EB1">
              <w:t xml:space="preserve"> </w:t>
            </w:r>
          </w:p>
        </w:tc>
      </w:tr>
      <w:tr w:rsidR="00551D9E" w:rsidRPr="00502C09" w14:paraId="560239D9" w14:textId="77777777" w:rsidTr="00B44865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56C71CD9" w14:textId="6A042591" w:rsidR="00551D9E" w:rsidRPr="00502C09" w:rsidDel="000309A9" w:rsidRDefault="00551D9E" w:rsidP="00551D9E">
            <w:pPr>
              <w:pStyle w:val="Tab"/>
            </w:pPr>
            <w:r w:rsidRPr="00502C09">
              <w:t>Pojištění díla a vybavení zhotovitele</w:t>
            </w:r>
            <w:r>
              <w:t xml:space="preserve"> (okolní majetek)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FAA8CBC" w14:textId="3C221FE4" w:rsidR="00551D9E" w:rsidRPr="00502C09" w:rsidDel="000309A9" w:rsidRDefault="00551D9E" w:rsidP="00551D9E">
            <w:pPr>
              <w:pStyle w:val="Tab"/>
            </w:pPr>
            <w:r>
              <w:t>18.2 (j)</w:t>
            </w:r>
          </w:p>
        </w:tc>
        <w:tc>
          <w:tcPr>
            <w:tcW w:w="5844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470B8044" w14:textId="77777777" w:rsidR="00551D9E" w:rsidRPr="00905F9E" w:rsidRDefault="00551D9E" w:rsidP="00551D9E">
            <w:pPr>
              <w:pStyle w:val="Tab"/>
            </w:pPr>
            <w:r w:rsidRPr="00905F9E">
              <w:t>Škody na okolním majetku Objednatele s limitem plnění minimálně 50 mil. Kč.</w:t>
            </w:r>
          </w:p>
          <w:p w14:paraId="16A18246" w14:textId="77777777" w:rsidR="00551D9E" w:rsidRPr="00905F9E" w:rsidRDefault="00551D9E" w:rsidP="00551D9E">
            <w:pPr>
              <w:pStyle w:val="Tab"/>
            </w:pPr>
          </w:p>
          <w:p w14:paraId="3CE5C6A3" w14:textId="753DE8C0" w:rsidR="00551D9E" w:rsidRPr="00905F9E" w:rsidRDefault="00551D9E" w:rsidP="00551D9E">
            <w:pPr>
              <w:pStyle w:val="Tab"/>
            </w:pPr>
            <w:r w:rsidRPr="00905F9E">
              <w:t>Za majetek Objednatele se pro tyto účely považuje i majetek akcionáře Objednatele, který Objednatel spravuje (pozemní komunikace, jejich součásti a příslušenství včetně pozemků a další nemovitý majetek na území hlavního města Prahy).</w:t>
            </w:r>
          </w:p>
        </w:tc>
      </w:tr>
      <w:tr w:rsidR="00551D9E" w:rsidRPr="00502C09" w14:paraId="5C7018BE" w14:textId="77777777" w:rsidTr="00B44865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2E72237B" w14:textId="7CEAEF06" w:rsidR="00551D9E" w:rsidRPr="00502C09" w:rsidDel="000309A9" w:rsidRDefault="00551D9E" w:rsidP="00551D9E">
            <w:pPr>
              <w:pStyle w:val="Tab"/>
            </w:pPr>
            <w:r w:rsidRPr="00502C09">
              <w:t>Pojištění díla a vybavení zhotovitele</w:t>
            </w:r>
            <w:r>
              <w:t xml:space="preserve"> (možnost stanovit jinak požadavky na pojištění)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BE0BE8D" w14:textId="77777777" w:rsidR="00551D9E" w:rsidRDefault="00551D9E" w:rsidP="00551D9E">
            <w:pPr>
              <w:pStyle w:val="Tab"/>
              <w:widowControl w:val="0"/>
            </w:pPr>
            <w:r w:rsidRPr="00502C09">
              <w:t>18.2</w:t>
            </w:r>
          </w:p>
          <w:p w14:paraId="6BC803DE" w14:textId="57FB0D59" w:rsidR="00551D9E" w:rsidRPr="00502C09" w:rsidDel="000309A9" w:rsidRDefault="00551D9E" w:rsidP="00551D9E">
            <w:pPr>
              <w:pStyle w:val="Tab"/>
            </w:pPr>
            <w:r>
              <w:t>(a) - (k)</w:t>
            </w:r>
          </w:p>
        </w:tc>
        <w:tc>
          <w:tcPr>
            <w:tcW w:w="5844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734941D9" w14:textId="029C4CF5" w:rsidR="00551D9E" w:rsidRPr="00905F9E" w:rsidRDefault="00551D9E" w:rsidP="00551D9E">
            <w:pPr>
              <w:pStyle w:val="Tab"/>
            </w:pPr>
            <w:r w:rsidRPr="00905F9E">
              <w:t>Objednatel nestanovuje žádné/další odchylky od Smluvních podmínek.</w:t>
            </w:r>
          </w:p>
        </w:tc>
      </w:tr>
      <w:tr w:rsidR="00551D9E" w:rsidRPr="00502C09" w14:paraId="2095B57F" w14:textId="77777777" w:rsidTr="00B44865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5372150D" w14:textId="79BD0880" w:rsidR="00551D9E" w:rsidRPr="00502C09" w:rsidDel="000309A9" w:rsidRDefault="00551D9E" w:rsidP="00551D9E">
            <w:pPr>
              <w:pStyle w:val="Tab"/>
            </w:pPr>
            <w:r>
              <w:t>Pojištění pro případ úrazu osob a škod na majetku (limit na jednu škodnou událost)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A9E805E" w14:textId="63FC222A" w:rsidR="00551D9E" w:rsidRPr="00502C09" w:rsidDel="000309A9" w:rsidRDefault="00551D9E" w:rsidP="00551D9E">
            <w:pPr>
              <w:pStyle w:val="Tab"/>
            </w:pPr>
            <w:r>
              <w:t xml:space="preserve">18.3 </w:t>
            </w:r>
          </w:p>
        </w:tc>
        <w:tc>
          <w:tcPr>
            <w:tcW w:w="5844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0DAF7E87" w14:textId="264A0420" w:rsidR="00551D9E" w:rsidRPr="00905F9E" w:rsidRDefault="00551D9E" w:rsidP="00551D9E">
            <w:pPr>
              <w:pStyle w:val="Tab"/>
            </w:pPr>
            <w:r w:rsidRPr="00905F9E">
              <w:t>Limit na jednu škodnou událost musí být minimálně 100 mil. Kč.</w:t>
            </w:r>
          </w:p>
        </w:tc>
      </w:tr>
      <w:tr w:rsidR="00551D9E" w:rsidRPr="00502C09" w14:paraId="17792214" w14:textId="77777777" w:rsidTr="00B44865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2A60824F" w14:textId="26CD9F24" w:rsidR="00551D9E" w:rsidRPr="00502C09" w:rsidDel="000309A9" w:rsidRDefault="00551D9E" w:rsidP="00551D9E">
            <w:pPr>
              <w:pStyle w:val="Tab"/>
            </w:pPr>
            <w:r w:rsidRPr="00DD3146">
              <w:t>Pojištění pro případ úrazu osob a škod na</w:t>
            </w:r>
            <w:r>
              <w:t> </w:t>
            </w:r>
            <w:r w:rsidRPr="00DD3146">
              <w:t>majetku</w:t>
            </w:r>
            <w:r>
              <w:t xml:space="preserve"> (požadavky na pojištění)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ACE3C23" w14:textId="77777777" w:rsidR="00551D9E" w:rsidRDefault="00551D9E" w:rsidP="00551D9E">
            <w:pPr>
              <w:pStyle w:val="Tab"/>
              <w:widowControl w:val="0"/>
            </w:pPr>
            <w:r>
              <w:t>18.3</w:t>
            </w:r>
          </w:p>
          <w:p w14:paraId="5373DAE1" w14:textId="34E5FB1C" w:rsidR="00551D9E" w:rsidRPr="00502C09" w:rsidDel="000309A9" w:rsidRDefault="00551D9E" w:rsidP="00551D9E">
            <w:pPr>
              <w:pStyle w:val="Tab"/>
            </w:pPr>
            <w:r>
              <w:t>(a) - (e)</w:t>
            </w:r>
          </w:p>
        </w:tc>
        <w:tc>
          <w:tcPr>
            <w:tcW w:w="5844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75DF2654" w14:textId="77777777" w:rsidR="00551D9E" w:rsidRPr="00905F9E" w:rsidRDefault="00551D9E" w:rsidP="00551D9E">
            <w:pPr>
              <w:pStyle w:val="Tab"/>
              <w:widowControl w:val="0"/>
            </w:pPr>
            <w:r w:rsidRPr="00905F9E">
              <w:t>Objednatel nestanovuje žádné/další odchylky od Smluvních podmínek.</w:t>
            </w:r>
          </w:p>
          <w:p w14:paraId="0CCE5776" w14:textId="77777777" w:rsidR="00551D9E" w:rsidRPr="00905F9E" w:rsidRDefault="00551D9E" w:rsidP="00551D9E">
            <w:pPr>
              <w:pStyle w:val="Tab"/>
              <w:widowControl w:val="0"/>
            </w:pPr>
          </w:p>
          <w:p w14:paraId="62FDEF8E" w14:textId="17F42216" w:rsidR="00551D9E" w:rsidRPr="00905F9E" w:rsidRDefault="00551D9E" w:rsidP="00551D9E">
            <w:pPr>
              <w:pStyle w:val="Tab"/>
              <w:widowControl w:val="0"/>
            </w:pPr>
            <w:r w:rsidRPr="00905F9E">
              <w:t xml:space="preserve">Celkový limit pojistného plnění pro všechny pojistné události je 200 mil. Kč. </w:t>
            </w:r>
          </w:p>
          <w:p w14:paraId="42DC0270" w14:textId="77777777" w:rsidR="00551D9E" w:rsidRPr="00905F9E" w:rsidRDefault="00551D9E" w:rsidP="00551D9E">
            <w:pPr>
              <w:pStyle w:val="Tab"/>
              <w:widowControl w:val="0"/>
            </w:pPr>
          </w:p>
          <w:p w14:paraId="1EA0BCD6" w14:textId="0D565317" w:rsidR="00551D9E" w:rsidRPr="00905F9E" w:rsidRDefault="00551D9E" w:rsidP="00551D9E">
            <w:pPr>
              <w:pStyle w:val="Tab"/>
            </w:pPr>
            <w:r w:rsidRPr="00905F9E">
              <w:t>Spoluúčast Zhotovitele je maximálně 1 mil. Kč.</w:t>
            </w:r>
          </w:p>
        </w:tc>
      </w:tr>
      <w:tr w:rsidR="00551D9E" w:rsidRPr="00502C09" w14:paraId="79D19A95" w14:textId="77777777" w:rsidTr="00B44865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53E4ECAA" w14:textId="19338008" w:rsidR="00551D9E" w:rsidRPr="00502C09" w:rsidRDefault="00551D9E" w:rsidP="00551D9E">
            <w:pPr>
              <w:pStyle w:val="Tab"/>
            </w:pPr>
            <w:r>
              <w:t>Předložení claimu Zhotovitele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058155F" w14:textId="07F40027" w:rsidR="00551D9E" w:rsidRPr="00502C09" w:rsidRDefault="00551D9E" w:rsidP="00551D9E">
            <w:pPr>
              <w:pStyle w:val="Tab"/>
            </w:pPr>
            <w:r>
              <w:t>20.1</w:t>
            </w:r>
          </w:p>
        </w:tc>
        <w:tc>
          <w:tcPr>
            <w:tcW w:w="5844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2133BF0E" w14:textId="021AEAAC" w:rsidR="00551D9E" w:rsidRDefault="00551D9E" w:rsidP="00551D9E">
            <w:pPr>
              <w:pStyle w:val="Tab"/>
            </w:pPr>
            <w:r w:rsidRPr="005F4EBC">
              <w:rPr>
                <w:i/>
              </w:rPr>
              <w:t>Metodika pro kvantifikaci finančních nároků při zpoždění a</w:t>
            </w:r>
            <w:r>
              <w:rPr>
                <w:i/>
              </w:rPr>
              <w:t> </w:t>
            </w:r>
            <w:r w:rsidRPr="005F4EBC">
              <w:rPr>
                <w:i/>
              </w:rPr>
              <w:t>prodloužení</w:t>
            </w:r>
            <w:r w:rsidRPr="00502C09">
              <w:rPr>
                <w:i/>
              </w:rPr>
              <w:t xml:space="preserve"> </w:t>
            </w:r>
            <w:r w:rsidRPr="00502C09">
              <w:t>vydan</w:t>
            </w:r>
            <w:r>
              <w:t>á</w:t>
            </w:r>
            <w:r w:rsidRPr="00502C09">
              <w:t xml:space="preserve"> SFDI v aktuálním znění, která je dostupná na</w:t>
            </w:r>
            <w:r>
              <w:t>:</w:t>
            </w:r>
          </w:p>
          <w:p w14:paraId="1E38884C" w14:textId="59354644" w:rsidR="00551D9E" w:rsidRPr="00D41D7F" w:rsidRDefault="00352C28" w:rsidP="00551D9E">
            <w:pPr>
              <w:pStyle w:val="Tab"/>
              <w:rPr>
                <w:highlight w:val="yellow"/>
              </w:rPr>
            </w:pPr>
            <w:hyperlink r:id="rId23" w:history="1">
              <w:r w:rsidR="00551D9E" w:rsidRPr="003F782F">
                <w:rPr>
                  <w:rStyle w:val="Hypertextovodkaz"/>
                </w:rPr>
                <w:t>https://www.sfdi.cz/pravidla-metodiky-a-ceniky/metodiky/</w:t>
              </w:r>
            </w:hyperlink>
          </w:p>
        </w:tc>
      </w:tr>
    </w:tbl>
    <w:p w14:paraId="7849F5EB" w14:textId="7202B9E9" w:rsidR="00073BEA" w:rsidRDefault="00073BEA" w:rsidP="004C16C4"/>
    <w:sectPr w:rsidR="00073BEA" w:rsidSect="00B65950">
      <w:footerReference w:type="default" r:id="rId24"/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92347" w14:textId="77777777" w:rsidR="001C2F42" w:rsidRDefault="001C2F42" w:rsidP="00677FBA">
      <w:pPr>
        <w:spacing w:after="0" w:line="240" w:lineRule="auto"/>
      </w:pPr>
      <w:r>
        <w:separator/>
      </w:r>
    </w:p>
  </w:endnote>
  <w:endnote w:type="continuationSeparator" w:id="0">
    <w:p w14:paraId="2A48A573" w14:textId="77777777" w:rsidR="001C2F42" w:rsidRDefault="001C2F42" w:rsidP="00677FBA">
      <w:pPr>
        <w:spacing w:after="0" w:line="240" w:lineRule="auto"/>
      </w:pPr>
      <w:r>
        <w:continuationSeparator/>
      </w:r>
    </w:p>
  </w:endnote>
  <w:endnote w:type="continuationNotice" w:id="1">
    <w:p w14:paraId="589834C6" w14:textId="77777777" w:rsidR="001C2F42" w:rsidRDefault="001C2F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16355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43D984" w14:textId="30F93361" w:rsidR="00E020B6" w:rsidRPr="002E335D" w:rsidRDefault="00CA23E6" w:rsidP="002E335D">
            <w:pPr>
              <w:pStyle w:val="Zpat"/>
            </w:pPr>
            <w:r>
              <w:t>Technická specifikace</w:t>
            </w:r>
            <w:r w:rsidR="009021C9">
              <w:t xml:space="preserve"> |</w:t>
            </w:r>
            <w:r>
              <w:t xml:space="preserve"> P</w:t>
            </w:r>
            <w:r w:rsidR="00E57B9A">
              <w:t>růvodní list</w:t>
            </w:r>
            <w:r w:rsidR="00E020B6" w:rsidRPr="002E335D">
              <w:tab/>
              <w:t xml:space="preserve">Strana </w:t>
            </w:r>
            <w:r w:rsidR="00E020B6" w:rsidRPr="002E335D">
              <w:fldChar w:fldCharType="begin"/>
            </w:r>
            <w:r w:rsidR="00E020B6" w:rsidRPr="002E335D">
              <w:instrText>PAGE</w:instrText>
            </w:r>
            <w:r w:rsidR="00E020B6" w:rsidRPr="002E335D">
              <w:fldChar w:fldCharType="separate"/>
            </w:r>
            <w:r w:rsidR="00A24BBF">
              <w:rPr>
                <w:noProof/>
              </w:rPr>
              <w:t>18</w:t>
            </w:r>
            <w:r w:rsidR="00E020B6" w:rsidRPr="002E335D">
              <w:fldChar w:fldCharType="end"/>
            </w:r>
            <w:r w:rsidR="00E020B6"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5A7D00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88BAB" w14:textId="56B9562F" w:rsidR="0B5D4A3A" w:rsidRPr="00B923AB" w:rsidRDefault="00B923AB" w:rsidP="00B923AB">
    <w:pPr>
      <w:pStyle w:val="Zpat"/>
      <w:pBdr>
        <w:top w:val="none" w:sz="0" w:space="0" w:color="auto"/>
      </w:pBdr>
      <w:tabs>
        <w:tab w:val="clear" w:pos="9072"/>
        <w:tab w:val="left" w:pos="1817"/>
      </w:tabs>
      <w:jc w:val="left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5800773"/>
      <w:docPartObj>
        <w:docPartGallery w:val="Page Numbers (Bottom of Page)"/>
        <w:docPartUnique/>
      </w:docPartObj>
    </w:sdtPr>
    <w:sdtEndPr/>
    <w:sdtContent>
      <w:sdt>
        <w:sdtPr>
          <w:id w:val="-2062171052"/>
          <w:docPartObj>
            <w:docPartGallery w:val="Page Numbers (Top of Page)"/>
            <w:docPartUnique/>
          </w:docPartObj>
        </w:sdtPr>
        <w:sdtEndPr/>
        <w:sdtContent>
          <w:p w14:paraId="2219394D" w14:textId="3512963B" w:rsidR="00E82BEB" w:rsidRPr="002E335D" w:rsidRDefault="003D468B" w:rsidP="002E335D">
            <w:pPr>
              <w:pStyle w:val="Zpat"/>
            </w:pPr>
            <w:r>
              <w:t>Příloha k nabídce</w:t>
            </w:r>
            <w:r w:rsidR="00E82BEB" w:rsidRPr="002E335D">
              <w:tab/>
              <w:t xml:space="preserve">Strana </w:t>
            </w:r>
            <w:r w:rsidR="00E82BEB" w:rsidRPr="002E335D">
              <w:fldChar w:fldCharType="begin"/>
            </w:r>
            <w:r w:rsidR="00E82BEB" w:rsidRPr="002E335D">
              <w:instrText>PAGE</w:instrText>
            </w:r>
            <w:r w:rsidR="00E82BEB" w:rsidRPr="002E335D">
              <w:fldChar w:fldCharType="separate"/>
            </w:r>
            <w:r w:rsidR="0031635B">
              <w:rPr>
                <w:noProof/>
              </w:rPr>
              <w:t>12</w:t>
            </w:r>
            <w:r w:rsidR="00E82BEB" w:rsidRPr="002E335D">
              <w:fldChar w:fldCharType="end"/>
            </w:r>
            <w:r w:rsidR="00E82BEB"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352C28">
              <w:rPr>
                <w:noProof/>
              </w:rPr>
              <w:t>12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DC3D4" w14:textId="77777777" w:rsidR="001C2F42" w:rsidRDefault="001C2F42" w:rsidP="00677FBA">
      <w:pPr>
        <w:spacing w:after="0" w:line="240" w:lineRule="auto"/>
      </w:pPr>
      <w:r>
        <w:separator/>
      </w:r>
    </w:p>
  </w:footnote>
  <w:footnote w:type="continuationSeparator" w:id="0">
    <w:p w14:paraId="424A02F4" w14:textId="77777777" w:rsidR="001C2F42" w:rsidRDefault="001C2F42" w:rsidP="00677FBA">
      <w:pPr>
        <w:spacing w:after="0" w:line="240" w:lineRule="auto"/>
      </w:pPr>
      <w:r>
        <w:continuationSeparator/>
      </w:r>
    </w:p>
  </w:footnote>
  <w:footnote w:type="continuationNotice" w:id="1">
    <w:p w14:paraId="7FE5AE88" w14:textId="77777777" w:rsidR="001C2F42" w:rsidRDefault="001C2F42">
      <w:pPr>
        <w:spacing w:after="0" w:line="240" w:lineRule="auto"/>
      </w:pPr>
    </w:p>
  </w:footnote>
  <w:footnote w:id="2">
    <w:p w14:paraId="0E875546" w14:textId="75406B98" w:rsidR="0071363B" w:rsidRPr="007A117B" w:rsidRDefault="0071363B" w:rsidP="007A117B">
      <w:pPr>
        <w:pStyle w:val="Textpoznpodarou"/>
        <w:rPr>
          <w:szCs w:val="18"/>
        </w:rPr>
      </w:pPr>
      <w:r w:rsidRPr="007A117B">
        <w:rPr>
          <w:rStyle w:val="Znakapoznpodarou"/>
          <w:szCs w:val="18"/>
        </w:rPr>
        <w:footnoteRef/>
      </w:r>
      <w:r w:rsidR="007A117B" w:rsidRPr="007A117B">
        <w:rPr>
          <w:szCs w:val="18"/>
        </w:rPr>
        <w:tab/>
      </w:r>
      <w:r w:rsidR="00804B79">
        <w:rPr>
          <w:szCs w:val="18"/>
        </w:rPr>
        <w:t>n</w:t>
      </w:r>
      <w:r w:rsidRPr="007A117B">
        <w:rPr>
          <w:szCs w:val="18"/>
        </w:rPr>
        <w:t>ázev dotčeného Pod-článku Smluvních podmínek nebo název odpovídající položky</w:t>
      </w:r>
    </w:p>
  </w:footnote>
  <w:footnote w:id="3">
    <w:p w14:paraId="35924B34" w14:textId="423E301C" w:rsidR="0071363B" w:rsidRPr="007A117B" w:rsidRDefault="0071363B" w:rsidP="007A117B">
      <w:pPr>
        <w:pStyle w:val="Textpoznpodarou"/>
        <w:rPr>
          <w:szCs w:val="18"/>
        </w:rPr>
      </w:pPr>
      <w:r w:rsidRPr="007A117B">
        <w:rPr>
          <w:rStyle w:val="Znakapoznpodarou"/>
          <w:szCs w:val="18"/>
        </w:rPr>
        <w:footnoteRef/>
      </w:r>
      <w:r w:rsidR="007A117B" w:rsidRPr="007A117B">
        <w:rPr>
          <w:szCs w:val="18"/>
        </w:rPr>
        <w:tab/>
      </w:r>
      <w:r w:rsidR="00804B79">
        <w:rPr>
          <w:szCs w:val="18"/>
        </w:rPr>
        <w:t>č</w:t>
      </w:r>
      <w:r w:rsidRPr="007A117B">
        <w:rPr>
          <w:szCs w:val="18"/>
        </w:rPr>
        <w:t>íslo dotčeného Pod-článku Smluvních podmínek</w:t>
      </w:r>
    </w:p>
  </w:footnote>
  <w:footnote w:id="4">
    <w:p w14:paraId="23060512" w14:textId="12BF165F" w:rsidR="0071363B" w:rsidRPr="007A117B" w:rsidRDefault="0071363B" w:rsidP="007A117B">
      <w:pPr>
        <w:pStyle w:val="Textpoznpodarou"/>
        <w:rPr>
          <w:szCs w:val="18"/>
        </w:rPr>
      </w:pPr>
      <w:r w:rsidRPr="007A117B">
        <w:rPr>
          <w:rStyle w:val="Znakapoznpodarou"/>
          <w:szCs w:val="18"/>
        </w:rPr>
        <w:footnoteRef/>
      </w:r>
      <w:r w:rsidR="007A117B" w:rsidRPr="007A117B">
        <w:rPr>
          <w:szCs w:val="18"/>
        </w:rPr>
        <w:tab/>
      </w:r>
      <w:r w:rsidR="008E3BE0">
        <w:rPr>
          <w:szCs w:val="18"/>
        </w:rPr>
        <w:t>ú</w:t>
      </w:r>
      <w:r w:rsidR="00FC4E75" w:rsidRPr="007A117B">
        <w:rPr>
          <w:szCs w:val="18"/>
        </w:rPr>
        <w:t xml:space="preserve">daje konkretizující </w:t>
      </w:r>
      <w:r w:rsidR="00D660B0" w:rsidRPr="007A117B">
        <w:rPr>
          <w:szCs w:val="18"/>
        </w:rPr>
        <w:t>Smluvní podmínky</w:t>
      </w:r>
      <w:r w:rsidR="008E3BE0">
        <w:rPr>
          <w:szCs w:val="18"/>
        </w:rPr>
        <w:t>;</w:t>
      </w:r>
      <w:r w:rsidR="00D660B0" w:rsidRPr="007A117B">
        <w:rPr>
          <w:szCs w:val="18"/>
        </w:rPr>
        <w:t xml:space="preserve"> </w:t>
      </w:r>
      <w:r w:rsidR="008E3BE0">
        <w:rPr>
          <w:szCs w:val="18"/>
        </w:rPr>
        <w:t>p</w:t>
      </w:r>
      <w:r w:rsidR="00D660B0" w:rsidRPr="007A117B">
        <w:rPr>
          <w:szCs w:val="18"/>
        </w:rPr>
        <w:t>okud je uveden odkaz na Článek</w:t>
      </w:r>
      <w:r w:rsidR="007A117B" w:rsidRPr="007A117B">
        <w:rPr>
          <w:szCs w:val="18"/>
        </w:rPr>
        <w:t>/Pod-článek, rozumí se tím vždy Článek/Pod-článek Smluvních podmínek</w:t>
      </w:r>
    </w:p>
  </w:footnote>
  <w:footnote w:id="5">
    <w:p w14:paraId="07F243CA" w14:textId="7B1E83A3" w:rsidR="00CE5944" w:rsidRDefault="00CE594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F6995">
        <w:tab/>
      </w:r>
      <w:r w:rsidR="007F6995" w:rsidRPr="0003668A">
        <w:rPr>
          <w:szCs w:val="18"/>
        </w:rPr>
        <w:t>Záměrem Objednatel</w:t>
      </w:r>
      <w:r w:rsidR="002C3DCA">
        <w:rPr>
          <w:szCs w:val="18"/>
        </w:rPr>
        <w:t>e</w:t>
      </w:r>
      <w:r w:rsidR="007F6995" w:rsidRPr="0003668A">
        <w:rPr>
          <w:szCs w:val="18"/>
        </w:rPr>
        <w:t xml:space="preserve"> je zajistit výkon funkce Správce stavby prostřednictvím třetí osoby, a to co nejdříve po</w:t>
      </w:r>
      <w:r w:rsidR="00D916DD">
        <w:rPr>
          <w:szCs w:val="18"/>
        </w:rPr>
        <w:t> </w:t>
      </w:r>
      <w:r w:rsidR="007F6995" w:rsidRPr="0003668A">
        <w:rPr>
          <w:szCs w:val="18"/>
        </w:rPr>
        <w:t>uzavření Smlouvy. Do té doby bude funkci Správce stavby vykonávat zaměstnanec Objednatele.</w:t>
      </w:r>
    </w:p>
  </w:footnote>
  <w:footnote w:id="6">
    <w:p w14:paraId="65CD1826" w14:textId="7368BC58" w:rsidR="004025EE" w:rsidRDefault="004025EE" w:rsidP="00184633">
      <w:pPr>
        <w:pStyle w:val="Textpoznpodarou"/>
      </w:pPr>
      <w:r>
        <w:rPr>
          <w:rStyle w:val="Znakapoznpodarou"/>
        </w:rPr>
        <w:footnoteRef/>
      </w:r>
      <w:r>
        <w:tab/>
      </w:r>
      <w:r w:rsidRPr="00184633">
        <w:t>Např. v případě dlouhodobého nahrazení osoby z personálu Zhotovitele, jejíž zkušenosti byly předmětem hodnocení v Zadávacím řízení a která se podílela na provádění Díla určitou část Doby pro dokončení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DFE36" w14:textId="10D5C448" w:rsidR="00E020B6" w:rsidRPr="001124C4" w:rsidRDefault="001124C4" w:rsidP="001124C4">
    <w:pPr>
      <w:pStyle w:val="Zhlav"/>
    </w:pPr>
    <w:r>
      <w:rPr>
        <w:noProof/>
        <w:lang w:eastAsia="cs-CZ"/>
      </w:rPr>
      <w:drawing>
        <wp:inline distT="0" distB="0" distL="0" distR="0" wp14:anchorId="289234BA" wp14:editId="0BFD84E9">
          <wp:extent cx="920750" cy="926465"/>
          <wp:effectExtent l="0" t="0" r="0" b="6985"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37114"/>
    <w:multiLevelType w:val="hybridMultilevel"/>
    <w:tmpl w:val="E7A8B992"/>
    <w:lvl w:ilvl="0" w:tplc="2E003012">
      <w:start w:val="1"/>
      <w:numFmt w:val="lowerLetter"/>
      <w:pStyle w:val="TabPsm"/>
      <w:lvlText w:val="(%1)"/>
      <w:lvlJc w:val="left"/>
      <w:pPr>
        <w:ind w:left="567" w:hanging="567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7D43442"/>
    <w:multiLevelType w:val="hybridMultilevel"/>
    <w:tmpl w:val="5608DB86"/>
    <w:lvl w:ilvl="0" w:tplc="82AC6F84">
      <w:start w:val="1"/>
      <w:numFmt w:val="lowerRoman"/>
      <w:pStyle w:val="Tabm"/>
      <w:lvlText w:val="(%1)"/>
      <w:lvlJc w:val="left"/>
      <w:pPr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C7067"/>
    <w:multiLevelType w:val="multilevel"/>
    <w:tmpl w:val="1D0A7762"/>
    <w:lvl w:ilvl="0">
      <w:start w:val="1"/>
      <w:numFmt w:val="decimal"/>
      <w:pStyle w:val="Seznamsodrkami2"/>
      <w:lvlText w:val="%1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ordinal"/>
      <w:lvlText w:val="%1.%2.%3"/>
      <w:lvlJc w:val="left"/>
      <w:pPr>
        <w:ind w:left="1134" w:hanging="567"/>
      </w:pPr>
    </w:lvl>
    <w:lvl w:ilvl="3">
      <w:start w:val="1"/>
      <w:numFmt w:val="lowerLetter"/>
      <w:lvlText w:val="%4)"/>
      <w:lvlJc w:val="left"/>
      <w:pPr>
        <w:ind w:left="1701" w:hanging="567"/>
      </w:pPr>
    </w:lvl>
    <w:lvl w:ilvl="4">
      <w:start w:val="1"/>
      <w:numFmt w:val="bullet"/>
      <w:lvlText w:val="-"/>
      <w:lvlJc w:val="left"/>
      <w:pPr>
        <w:ind w:left="2268" w:hanging="56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D3A3A74"/>
    <w:multiLevelType w:val="multilevel"/>
    <w:tmpl w:val="6630A694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ascii="Tahoma" w:hAnsi="Tahoma" w:cs="Tahoma" w:hint="default"/>
        <w:b w:val="0"/>
        <w:bCs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B346A9E"/>
    <w:multiLevelType w:val="hybridMultilevel"/>
    <w:tmpl w:val="1E8C6700"/>
    <w:lvl w:ilvl="0" w:tplc="B4906C24">
      <w:start w:val="1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71DD1"/>
    <w:multiLevelType w:val="multilevel"/>
    <w:tmpl w:val="51E67954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lvlRestart w:val="2"/>
      <w:lvlText w:val="%1.%2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%4.%5"/>
      <w:lvlJc w:val="left"/>
      <w:pPr>
        <w:ind w:left="1701" w:hanging="850"/>
      </w:pPr>
      <w:rPr>
        <w:rFonts w:hint="default"/>
      </w:rPr>
    </w:lvl>
    <w:lvl w:ilvl="5">
      <w:start w:val="1"/>
      <w:numFmt w:val="lowerLetter"/>
      <w:lvlRestart w:val="4"/>
      <w:lvlText w:val="(%6)"/>
      <w:lvlJc w:val="left"/>
      <w:pPr>
        <w:ind w:left="1701" w:hanging="850"/>
      </w:pPr>
      <w:rPr>
        <w:rFonts w:hint="default"/>
      </w:rPr>
    </w:lvl>
    <w:lvl w:ilvl="6">
      <w:start w:val="1"/>
      <w:numFmt w:val="lowerLetter"/>
      <w:lvlRestart w:val="4"/>
      <w:lvlText w:val="%7)"/>
      <w:lvlJc w:val="left"/>
      <w:pPr>
        <w:ind w:left="1701" w:hanging="850"/>
      </w:pPr>
      <w:rPr>
        <w:rFonts w:hint="default"/>
      </w:rPr>
    </w:lvl>
    <w:lvl w:ilvl="7">
      <w:start w:val="1"/>
      <w:numFmt w:val="lowerRoman"/>
      <w:lvlRestart w:val="6"/>
      <w:lvlText w:val="(%8)"/>
      <w:lvlJc w:val="left"/>
      <w:pPr>
        <w:ind w:left="2552" w:hanging="851"/>
      </w:pPr>
      <w:rPr>
        <w:rFonts w:hint="default"/>
      </w:rPr>
    </w:lvl>
    <w:lvl w:ilvl="8">
      <w:start w:val="1"/>
      <w:numFmt w:val="lowerLetter"/>
      <w:lvlRestart w:val="5"/>
      <w:lvlText w:val="(%9)"/>
      <w:lvlJc w:val="left"/>
      <w:pPr>
        <w:ind w:left="2552" w:hanging="851"/>
      </w:pPr>
      <w:rPr>
        <w:rFonts w:hint="default"/>
      </w:rPr>
    </w:lvl>
  </w:abstractNum>
  <w:abstractNum w:abstractNumId="8" w15:restartNumberingAfterBreak="0">
    <w:nsid w:val="7FC44E5A"/>
    <w:multiLevelType w:val="hybridMultilevel"/>
    <w:tmpl w:val="1EF2AE8E"/>
    <w:lvl w:ilvl="0" w:tplc="FFFFFFFF">
      <w:start w:val="1"/>
      <w:numFmt w:val="bullet"/>
      <w:pStyle w:val="Odrkyod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048152">
    <w:abstractNumId w:val="5"/>
  </w:num>
  <w:num w:numId="2" w16cid:durableId="644235289">
    <w:abstractNumId w:val="4"/>
  </w:num>
  <w:num w:numId="3" w16cid:durableId="7960974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77812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5662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67775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26356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19585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44736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3778568">
    <w:abstractNumId w:val="1"/>
  </w:num>
  <w:num w:numId="11" w16cid:durableId="2391439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8094964">
    <w:abstractNumId w:val="3"/>
  </w:num>
  <w:num w:numId="13" w16cid:durableId="1594514826">
    <w:abstractNumId w:val="8"/>
  </w:num>
  <w:num w:numId="14" w16cid:durableId="360522129">
    <w:abstractNumId w:val="7"/>
  </w:num>
  <w:num w:numId="15" w16cid:durableId="8114799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95643611">
    <w:abstractNumId w:val="6"/>
  </w:num>
  <w:num w:numId="17" w16cid:durableId="1177698688">
    <w:abstractNumId w:val="0"/>
  </w:num>
  <w:num w:numId="18" w16cid:durableId="1016736011">
    <w:abstractNumId w:val="2"/>
  </w:num>
  <w:num w:numId="19" w16cid:durableId="1508640317">
    <w:abstractNumId w:val="0"/>
    <w:lvlOverride w:ilvl="0">
      <w:startOverride w:val="1"/>
    </w:lvlOverride>
  </w:num>
  <w:num w:numId="20" w16cid:durableId="936643068">
    <w:abstractNumId w:val="0"/>
    <w:lvlOverride w:ilvl="0">
      <w:startOverride w:val="1"/>
    </w:lvlOverride>
  </w:num>
  <w:num w:numId="21" w16cid:durableId="532619655">
    <w:abstractNumId w:val="0"/>
    <w:lvlOverride w:ilvl="0">
      <w:startOverride w:val="1"/>
    </w:lvlOverride>
  </w:num>
  <w:num w:numId="22" w16cid:durableId="140654105">
    <w:abstractNumId w:val="0"/>
    <w:lvlOverride w:ilvl="0">
      <w:startOverride w:val="1"/>
    </w:lvlOverride>
  </w:num>
  <w:num w:numId="23" w16cid:durableId="305673331">
    <w:abstractNumId w:val="0"/>
    <w:lvlOverride w:ilvl="0">
      <w:startOverride w:val="1"/>
    </w:lvlOverride>
  </w:num>
  <w:num w:numId="24" w16cid:durableId="1014769327">
    <w:abstractNumId w:val="0"/>
    <w:lvlOverride w:ilvl="0">
      <w:startOverride w:val="1"/>
    </w:lvlOverride>
  </w:num>
  <w:num w:numId="25" w16cid:durableId="489951042">
    <w:abstractNumId w:val="2"/>
    <w:lvlOverride w:ilvl="0">
      <w:startOverride w:val="1"/>
    </w:lvlOverride>
  </w:num>
  <w:num w:numId="26" w16cid:durableId="1460955942">
    <w:abstractNumId w:val="2"/>
    <w:lvlOverride w:ilvl="0">
      <w:startOverride w:val="1"/>
    </w:lvlOverride>
  </w:num>
  <w:num w:numId="27" w16cid:durableId="1295526688">
    <w:abstractNumId w:val="0"/>
    <w:lvlOverride w:ilvl="0">
      <w:startOverride w:val="1"/>
    </w:lvlOverride>
  </w:num>
  <w:num w:numId="28" w16cid:durableId="1997100527">
    <w:abstractNumId w:val="0"/>
    <w:lvlOverride w:ilvl="0">
      <w:startOverride w:val="1"/>
    </w:lvlOverride>
  </w:num>
  <w:num w:numId="29" w16cid:durableId="713967690">
    <w:abstractNumId w:val="0"/>
    <w:lvlOverride w:ilvl="0">
      <w:startOverride w:val="1"/>
    </w:lvlOverride>
  </w:num>
  <w:num w:numId="30" w16cid:durableId="1608585707">
    <w:abstractNumId w:val="0"/>
    <w:lvlOverride w:ilvl="0">
      <w:startOverride w:val="1"/>
    </w:lvlOverride>
  </w:num>
  <w:num w:numId="31" w16cid:durableId="1824738912">
    <w:abstractNumId w:val="2"/>
    <w:lvlOverride w:ilvl="0">
      <w:startOverride w:val="1"/>
    </w:lvlOverride>
  </w:num>
  <w:num w:numId="32" w16cid:durableId="1850556213">
    <w:abstractNumId w:val="0"/>
    <w:lvlOverride w:ilvl="0">
      <w:startOverride w:val="1"/>
    </w:lvlOverride>
  </w:num>
  <w:num w:numId="33" w16cid:durableId="298147980">
    <w:abstractNumId w:val="0"/>
    <w:lvlOverride w:ilvl="0">
      <w:startOverride w:val="1"/>
    </w:lvlOverride>
  </w:num>
  <w:num w:numId="34" w16cid:durableId="1999964585">
    <w:abstractNumId w:val="0"/>
  </w:num>
  <w:num w:numId="35" w16cid:durableId="20594022">
    <w:abstractNumId w:val="0"/>
    <w:lvlOverride w:ilvl="0">
      <w:startOverride w:val="1"/>
    </w:lvlOverride>
  </w:num>
  <w:num w:numId="36" w16cid:durableId="1916011464">
    <w:abstractNumId w:val="0"/>
    <w:lvlOverride w:ilvl="0">
      <w:startOverride w:val="1"/>
    </w:lvlOverride>
  </w:num>
  <w:num w:numId="37" w16cid:durableId="2009748404">
    <w:abstractNumId w:val="0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080F"/>
    <w:rsid w:val="00001274"/>
    <w:rsid w:val="00001AFB"/>
    <w:rsid w:val="00002B23"/>
    <w:rsid w:val="0000305B"/>
    <w:rsid w:val="0000314D"/>
    <w:rsid w:val="00004012"/>
    <w:rsid w:val="00004D20"/>
    <w:rsid w:val="00004D7D"/>
    <w:rsid w:val="000051BD"/>
    <w:rsid w:val="0000608D"/>
    <w:rsid w:val="00006171"/>
    <w:rsid w:val="00006379"/>
    <w:rsid w:val="00006937"/>
    <w:rsid w:val="00007292"/>
    <w:rsid w:val="000073D1"/>
    <w:rsid w:val="00007841"/>
    <w:rsid w:val="00010355"/>
    <w:rsid w:val="0001047F"/>
    <w:rsid w:val="000105E4"/>
    <w:rsid w:val="0001080D"/>
    <w:rsid w:val="00010A8C"/>
    <w:rsid w:val="00011342"/>
    <w:rsid w:val="000113E2"/>
    <w:rsid w:val="00011B85"/>
    <w:rsid w:val="00012944"/>
    <w:rsid w:val="00012D2F"/>
    <w:rsid w:val="0001309D"/>
    <w:rsid w:val="0001330C"/>
    <w:rsid w:val="000135C2"/>
    <w:rsid w:val="0001361C"/>
    <w:rsid w:val="000136A3"/>
    <w:rsid w:val="00013D52"/>
    <w:rsid w:val="000140CE"/>
    <w:rsid w:val="00014347"/>
    <w:rsid w:val="00014EAA"/>
    <w:rsid w:val="00014EC5"/>
    <w:rsid w:val="000152C4"/>
    <w:rsid w:val="0001537F"/>
    <w:rsid w:val="00015531"/>
    <w:rsid w:val="0001596A"/>
    <w:rsid w:val="000159D1"/>
    <w:rsid w:val="00015C2B"/>
    <w:rsid w:val="00015E9C"/>
    <w:rsid w:val="000160C5"/>
    <w:rsid w:val="0001638F"/>
    <w:rsid w:val="000171E9"/>
    <w:rsid w:val="0001777F"/>
    <w:rsid w:val="000178D7"/>
    <w:rsid w:val="00017FBD"/>
    <w:rsid w:val="00020253"/>
    <w:rsid w:val="000202EC"/>
    <w:rsid w:val="0002143D"/>
    <w:rsid w:val="000214FA"/>
    <w:rsid w:val="00021D91"/>
    <w:rsid w:val="00022017"/>
    <w:rsid w:val="0002286A"/>
    <w:rsid w:val="00023839"/>
    <w:rsid w:val="00023A14"/>
    <w:rsid w:val="00023EE8"/>
    <w:rsid w:val="000240B8"/>
    <w:rsid w:val="00024300"/>
    <w:rsid w:val="00024DCB"/>
    <w:rsid w:val="00024DE9"/>
    <w:rsid w:val="00024E34"/>
    <w:rsid w:val="00025EAF"/>
    <w:rsid w:val="0002611E"/>
    <w:rsid w:val="00026D0C"/>
    <w:rsid w:val="0002788F"/>
    <w:rsid w:val="000279E3"/>
    <w:rsid w:val="00027CEC"/>
    <w:rsid w:val="000301C0"/>
    <w:rsid w:val="00030A87"/>
    <w:rsid w:val="00030B22"/>
    <w:rsid w:val="00031102"/>
    <w:rsid w:val="00031330"/>
    <w:rsid w:val="000317D0"/>
    <w:rsid w:val="00031826"/>
    <w:rsid w:val="0003197D"/>
    <w:rsid w:val="00031FE5"/>
    <w:rsid w:val="00032312"/>
    <w:rsid w:val="0003258B"/>
    <w:rsid w:val="000326F5"/>
    <w:rsid w:val="00033196"/>
    <w:rsid w:val="000337B7"/>
    <w:rsid w:val="00033FB3"/>
    <w:rsid w:val="00033FED"/>
    <w:rsid w:val="00034387"/>
    <w:rsid w:val="000349D5"/>
    <w:rsid w:val="000354AA"/>
    <w:rsid w:val="00035956"/>
    <w:rsid w:val="00035B66"/>
    <w:rsid w:val="00035F93"/>
    <w:rsid w:val="00036352"/>
    <w:rsid w:val="00036620"/>
    <w:rsid w:val="0003668A"/>
    <w:rsid w:val="00036832"/>
    <w:rsid w:val="0003695F"/>
    <w:rsid w:val="000369A6"/>
    <w:rsid w:val="00036E41"/>
    <w:rsid w:val="00037256"/>
    <w:rsid w:val="00037623"/>
    <w:rsid w:val="00037709"/>
    <w:rsid w:val="000378AA"/>
    <w:rsid w:val="00037FBC"/>
    <w:rsid w:val="000402E5"/>
    <w:rsid w:val="00040398"/>
    <w:rsid w:val="00040816"/>
    <w:rsid w:val="00040C7B"/>
    <w:rsid w:val="000412FD"/>
    <w:rsid w:val="000414D6"/>
    <w:rsid w:val="00041600"/>
    <w:rsid w:val="000420B2"/>
    <w:rsid w:val="000422AE"/>
    <w:rsid w:val="000423F6"/>
    <w:rsid w:val="0004244D"/>
    <w:rsid w:val="00042711"/>
    <w:rsid w:val="00042A4A"/>
    <w:rsid w:val="00042BCD"/>
    <w:rsid w:val="00042E0F"/>
    <w:rsid w:val="00042F25"/>
    <w:rsid w:val="00042F67"/>
    <w:rsid w:val="000430A0"/>
    <w:rsid w:val="000432D2"/>
    <w:rsid w:val="000438BA"/>
    <w:rsid w:val="000439DD"/>
    <w:rsid w:val="00043C15"/>
    <w:rsid w:val="00043D03"/>
    <w:rsid w:val="000442AF"/>
    <w:rsid w:val="00044522"/>
    <w:rsid w:val="000448FC"/>
    <w:rsid w:val="00044BE0"/>
    <w:rsid w:val="00044CF2"/>
    <w:rsid w:val="00044E4E"/>
    <w:rsid w:val="00044EF0"/>
    <w:rsid w:val="00045021"/>
    <w:rsid w:val="0004581B"/>
    <w:rsid w:val="00046ADE"/>
    <w:rsid w:val="00047862"/>
    <w:rsid w:val="00050224"/>
    <w:rsid w:val="0005024E"/>
    <w:rsid w:val="00050849"/>
    <w:rsid w:val="00050AB9"/>
    <w:rsid w:val="00050E61"/>
    <w:rsid w:val="000511BF"/>
    <w:rsid w:val="000512F5"/>
    <w:rsid w:val="000515CA"/>
    <w:rsid w:val="00051632"/>
    <w:rsid w:val="00052128"/>
    <w:rsid w:val="00052A5A"/>
    <w:rsid w:val="00052CE0"/>
    <w:rsid w:val="000533FE"/>
    <w:rsid w:val="00053AA3"/>
    <w:rsid w:val="00053B7E"/>
    <w:rsid w:val="00054532"/>
    <w:rsid w:val="0005464C"/>
    <w:rsid w:val="00054972"/>
    <w:rsid w:val="000549BF"/>
    <w:rsid w:val="00055362"/>
    <w:rsid w:val="00055C01"/>
    <w:rsid w:val="00055C38"/>
    <w:rsid w:val="00055DF8"/>
    <w:rsid w:val="00055E15"/>
    <w:rsid w:val="000566FD"/>
    <w:rsid w:val="000569C9"/>
    <w:rsid w:val="00056DDA"/>
    <w:rsid w:val="0005748F"/>
    <w:rsid w:val="000575EC"/>
    <w:rsid w:val="00057CE9"/>
    <w:rsid w:val="000603D4"/>
    <w:rsid w:val="000604B7"/>
    <w:rsid w:val="00060624"/>
    <w:rsid w:val="00060C69"/>
    <w:rsid w:val="00060F9B"/>
    <w:rsid w:val="000610ED"/>
    <w:rsid w:val="00061340"/>
    <w:rsid w:val="0006142B"/>
    <w:rsid w:val="00061895"/>
    <w:rsid w:val="00061900"/>
    <w:rsid w:val="00061A3B"/>
    <w:rsid w:val="00061E08"/>
    <w:rsid w:val="000626AC"/>
    <w:rsid w:val="00062A79"/>
    <w:rsid w:val="0006334C"/>
    <w:rsid w:val="000637D0"/>
    <w:rsid w:val="00063A7A"/>
    <w:rsid w:val="00063B2B"/>
    <w:rsid w:val="00063FFB"/>
    <w:rsid w:val="00065101"/>
    <w:rsid w:val="000651FA"/>
    <w:rsid w:val="00065244"/>
    <w:rsid w:val="00065630"/>
    <w:rsid w:val="000656A3"/>
    <w:rsid w:val="00065C67"/>
    <w:rsid w:val="00065ED6"/>
    <w:rsid w:val="00066230"/>
    <w:rsid w:val="000662CB"/>
    <w:rsid w:val="00066EA6"/>
    <w:rsid w:val="000670EA"/>
    <w:rsid w:val="00067470"/>
    <w:rsid w:val="00067870"/>
    <w:rsid w:val="000707FC"/>
    <w:rsid w:val="00070B82"/>
    <w:rsid w:val="00070E72"/>
    <w:rsid w:val="00071184"/>
    <w:rsid w:val="000716D9"/>
    <w:rsid w:val="000718F4"/>
    <w:rsid w:val="00071E9E"/>
    <w:rsid w:val="00072272"/>
    <w:rsid w:val="00072607"/>
    <w:rsid w:val="000729AB"/>
    <w:rsid w:val="00072CE9"/>
    <w:rsid w:val="000735E8"/>
    <w:rsid w:val="00073824"/>
    <w:rsid w:val="00073BEA"/>
    <w:rsid w:val="00073D8F"/>
    <w:rsid w:val="00073DFF"/>
    <w:rsid w:val="000741C4"/>
    <w:rsid w:val="000751C7"/>
    <w:rsid w:val="00075260"/>
    <w:rsid w:val="00075637"/>
    <w:rsid w:val="00075981"/>
    <w:rsid w:val="00076029"/>
    <w:rsid w:val="00076217"/>
    <w:rsid w:val="00076477"/>
    <w:rsid w:val="00076EF1"/>
    <w:rsid w:val="0007731F"/>
    <w:rsid w:val="00080941"/>
    <w:rsid w:val="0008186E"/>
    <w:rsid w:val="00081B5E"/>
    <w:rsid w:val="00081C89"/>
    <w:rsid w:val="00081CA5"/>
    <w:rsid w:val="00081CA8"/>
    <w:rsid w:val="000820E9"/>
    <w:rsid w:val="000826F9"/>
    <w:rsid w:val="000830F3"/>
    <w:rsid w:val="000833B4"/>
    <w:rsid w:val="000834FB"/>
    <w:rsid w:val="00083796"/>
    <w:rsid w:val="000838D9"/>
    <w:rsid w:val="00083AD2"/>
    <w:rsid w:val="00084481"/>
    <w:rsid w:val="00084F64"/>
    <w:rsid w:val="000854D5"/>
    <w:rsid w:val="00085A58"/>
    <w:rsid w:val="00085D93"/>
    <w:rsid w:val="0008645D"/>
    <w:rsid w:val="000869AB"/>
    <w:rsid w:val="0008705A"/>
    <w:rsid w:val="0008716C"/>
    <w:rsid w:val="000873E8"/>
    <w:rsid w:val="0008768D"/>
    <w:rsid w:val="000878CD"/>
    <w:rsid w:val="000902E8"/>
    <w:rsid w:val="0009060A"/>
    <w:rsid w:val="0009085B"/>
    <w:rsid w:val="00090927"/>
    <w:rsid w:val="000914F6"/>
    <w:rsid w:val="00091502"/>
    <w:rsid w:val="000925E4"/>
    <w:rsid w:val="00092A32"/>
    <w:rsid w:val="00093609"/>
    <w:rsid w:val="00093A0F"/>
    <w:rsid w:val="00093B05"/>
    <w:rsid w:val="0009446B"/>
    <w:rsid w:val="00094750"/>
    <w:rsid w:val="0009485C"/>
    <w:rsid w:val="00094ACE"/>
    <w:rsid w:val="00094C84"/>
    <w:rsid w:val="000954AD"/>
    <w:rsid w:val="00095B52"/>
    <w:rsid w:val="00095BF5"/>
    <w:rsid w:val="000966EE"/>
    <w:rsid w:val="00096F6E"/>
    <w:rsid w:val="0009726E"/>
    <w:rsid w:val="00097529"/>
    <w:rsid w:val="00097580"/>
    <w:rsid w:val="00097723"/>
    <w:rsid w:val="000A0032"/>
    <w:rsid w:val="000A009A"/>
    <w:rsid w:val="000A08AE"/>
    <w:rsid w:val="000A0CC6"/>
    <w:rsid w:val="000A1FF7"/>
    <w:rsid w:val="000A23AE"/>
    <w:rsid w:val="000A24D6"/>
    <w:rsid w:val="000A291F"/>
    <w:rsid w:val="000A2A27"/>
    <w:rsid w:val="000A2C73"/>
    <w:rsid w:val="000A2F49"/>
    <w:rsid w:val="000A3B2C"/>
    <w:rsid w:val="000A3D6D"/>
    <w:rsid w:val="000A40E1"/>
    <w:rsid w:val="000A471B"/>
    <w:rsid w:val="000A4DCF"/>
    <w:rsid w:val="000A5851"/>
    <w:rsid w:val="000A5966"/>
    <w:rsid w:val="000A6A9E"/>
    <w:rsid w:val="000A6FC7"/>
    <w:rsid w:val="000A75EA"/>
    <w:rsid w:val="000A7748"/>
    <w:rsid w:val="000A7EA8"/>
    <w:rsid w:val="000B09A4"/>
    <w:rsid w:val="000B168B"/>
    <w:rsid w:val="000B1775"/>
    <w:rsid w:val="000B1881"/>
    <w:rsid w:val="000B1E08"/>
    <w:rsid w:val="000B1F38"/>
    <w:rsid w:val="000B205D"/>
    <w:rsid w:val="000B2691"/>
    <w:rsid w:val="000B2A42"/>
    <w:rsid w:val="000B2CBD"/>
    <w:rsid w:val="000B2D79"/>
    <w:rsid w:val="000B2EBB"/>
    <w:rsid w:val="000B355C"/>
    <w:rsid w:val="000B3752"/>
    <w:rsid w:val="000B4594"/>
    <w:rsid w:val="000B46A5"/>
    <w:rsid w:val="000B4ADC"/>
    <w:rsid w:val="000B53D1"/>
    <w:rsid w:val="000B581C"/>
    <w:rsid w:val="000B593D"/>
    <w:rsid w:val="000B5A95"/>
    <w:rsid w:val="000B61A1"/>
    <w:rsid w:val="000B66EC"/>
    <w:rsid w:val="000B7195"/>
    <w:rsid w:val="000B7419"/>
    <w:rsid w:val="000B76C6"/>
    <w:rsid w:val="000B77DD"/>
    <w:rsid w:val="000C050A"/>
    <w:rsid w:val="000C0841"/>
    <w:rsid w:val="000C0979"/>
    <w:rsid w:val="000C0AB1"/>
    <w:rsid w:val="000C1336"/>
    <w:rsid w:val="000C150D"/>
    <w:rsid w:val="000C1567"/>
    <w:rsid w:val="000C17F6"/>
    <w:rsid w:val="000C1A8B"/>
    <w:rsid w:val="000C1D63"/>
    <w:rsid w:val="000C1EA5"/>
    <w:rsid w:val="000C212F"/>
    <w:rsid w:val="000C25B7"/>
    <w:rsid w:val="000C2D75"/>
    <w:rsid w:val="000C3313"/>
    <w:rsid w:val="000C35AF"/>
    <w:rsid w:val="000C35E8"/>
    <w:rsid w:val="000C3B13"/>
    <w:rsid w:val="000C3DBA"/>
    <w:rsid w:val="000C41B3"/>
    <w:rsid w:val="000C476F"/>
    <w:rsid w:val="000C4801"/>
    <w:rsid w:val="000C48A2"/>
    <w:rsid w:val="000C5176"/>
    <w:rsid w:val="000C51CC"/>
    <w:rsid w:val="000C5432"/>
    <w:rsid w:val="000C5451"/>
    <w:rsid w:val="000C57C3"/>
    <w:rsid w:val="000C5A43"/>
    <w:rsid w:val="000C5C82"/>
    <w:rsid w:val="000C5C9C"/>
    <w:rsid w:val="000C72D3"/>
    <w:rsid w:val="000C7D84"/>
    <w:rsid w:val="000C7E2C"/>
    <w:rsid w:val="000C7F05"/>
    <w:rsid w:val="000D02EB"/>
    <w:rsid w:val="000D056D"/>
    <w:rsid w:val="000D0A18"/>
    <w:rsid w:val="000D1048"/>
    <w:rsid w:val="000D17B6"/>
    <w:rsid w:val="000D24A8"/>
    <w:rsid w:val="000D26E0"/>
    <w:rsid w:val="000D2B10"/>
    <w:rsid w:val="000D2C1E"/>
    <w:rsid w:val="000D2D3F"/>
    <w:rsid w:val="000D2F51"/>
    <w:rsid w:val="000D399D"/>
    <w:rsid w:val="000D4996"/>
    <w:rsid w:val="000D4B48"/>
    <w:rsid w:val="000D4CC1"/>
    <w:rsid w:val="000D5BB9"/>
    <w:rsid w:val="000D62C9"/>
    <w:rsid w:val="000D6A5C"/>
    <w:rsid w:val="000E0470"/>
    <w:rsid w:val="000E04B4"/>
    <w:rsid w:val="000E0761"/>
    <w:rsid w:val="000E0CCC"/>
    <w:rsid w:val="000E1042"/>
    <w:rsid w:val="000E1398"/>
    <w:rsid w:val="000E14CB"/>
    <w:rsid w:val="000E14DC"/>
    <w:rsid w:val="000E1617"/>
    <w:rsid w:val="000E195B"/>
    <w:rsid w:val="000E1A70"/>
    <w:rsid w:val="000E1DC5"/>
    <w:rsid w:val="000E24B0"/>
    <w:rsid w:val="000E28FF"/>
    <w:rsid w:val="000E293B"/>
    <w:rsid w:val="000E2C4B"/>
    <w:rsid w:val="000E2D30"/>
    <w:rsid w:val="000E2DBE"/>
    <w:rsid w:val="000E3301"/>
    <w:rsid w:val="000E3457"/>
    <w:rsid w:val="000E364C"/>
    <w:rsid w:val="000E3D3F"/>
    <w:rsid w:val="000E4FF7"/>
    <w:rsid w:val="000E51D3"/>
    <w:rsid w:val="000E54AC"/>
    <w:rsid w:val="000E5D11"/>
    <w:rsid w:val="000E5DB1"/>
    <w:rsid w:val="000E61B0"/>
    <w:rsid w:val="000E62A6"/>
    <w:rsid w:val="000E67AC"/>
    <w:rsid w:val="000E722E"/>
    <w:rsid w:val="000E743C"/>
    <w:rsid w:val="000E76C4"/>
    <w:rsid w:val="000E77D2"/>
    <w:rsid w:val="000F06B9"/>
    <w:rsid w:val="000F07C4"/>
    <w:rsid w:val="000F0EB5"/>
    <w:rsid w:val="000F0FEF"/>
    <w:rsid w:val="000F1417"/>
    <w:rsid w:val="000F1B3C"/>
    <w:rsid w:val="000F1BF5"/>
    <w:rsid w:val="000F1E5D"/>
    <w:rsid w:val="000F2087"/>
    <w:rsid w:val="000F2226"/>
    <w:rsid w:val="000F254F"/>
    <w:rsid w:val="000F2DCE"/>
    <w:rsid w:val="000F35F3"/>
    <w:rsid w:val="000F4031"/>
    <w:rsid w:val="000F46CB"/>
    <w:rsid w:val="000F48FF"/>
    <w:rsid w:val="000F5780"/>
    <w:rsid w:val="000F6421"/>
    <w:rsid w:val="000F6668"/>
    <w:rsid w:val="000F67D5"/>
    <w:rsid w:val="000F6F5D"/>
    <w:rsid w:val="000F6F8A"/>
    <w:rsid w:val="000F718C"/>
    <w:rsid w:val="000F7FD8"/>
    <w:rsid w:val="0010003F"/>
    <w:rsid w:val="00100A42"/>
    <w:rsid w:val="00100A9F"/>
    <w:rsid w:val="00100B32"/>
    <w:rsid w:val="00100DF7"/>
    <w:rsid w:val="001014AB"/>
    <w:rsid w:val="00101E3D"/>
    <w:rsid w:val="0010259D"/>
    <w:rsid w:val="00102A4D"/>
    <w:rsid w:val="001035FA"/>
    <w:rsid w:val="0010378F"/>
    <w:rsid w:val="00104212"/>
    <w:rsid w:val="001046A5"/>
    <w:rsid w:val="00104A3A"/>
    <w:rsid w:val="0010612F"/>
    <w:rsid w:val="001071E1"/>
    <w:rsid w:val="0010728B"/>
    <w:rsid w:val="00110819"/>
    <w:rsid w:val="001109B8"/>
    <w:rsid w:val="00110C50"/>
    <w:rsid w:val="00111CB3"/>
    <w:rsid w:val="00112028"/>
    <w:rsid w:val="001124C4"/>
    <w:rsid w:val="00112B59"/>
    <w:rsid w:val="00112D90"/>
    <w:rsid w:val="001131E6"/>
    <w:rsid w:val="001135D9"/>
    <w:rsid w:val="001139F7"/>
    <w:rsid w:val="00113FD4"/>
    <w:rsid w:val="00114126"/>
    <w:rsid w:val="0011426A"/>
    <w:rsid w:val="00114E12"/>
    <w:rsid w:val="001155E4"/>
    <w:rsid w:val="00116756"/>
    <w:rsid w:val="00116911"/>
    <w:rsid w:val="001169A5"/>
    <w:rsid w:val="00116D52"/>
    <w:rsid w:val="00117147"/>
    <w:rsid w:val="00117220"/>
    <w:rsid w:val="00117452"/>
    <w:rsid w:val="00117947"/>
    <w:rsid w:val="00117957"/>
    <w:rsid w:val="0012008A"/>
    <w:rsid w:val="001201DA"/>
    <w:rsid w:val="00120329"/>
    <w:rsid w:val="001203F5"/>
    <w:rsid w:val="001207DA"/>
    <w:rsid w:val="00121A1F"/>
    <w:rsid w:val="00122318"/>
    <w:rsid w:val="001223EE"/>
    <w:rsid w:val="00122C6C"/>
    <w:rsid w:val="00123858"/>
    <w:rsid w:val="00124312"/>
    <w:rsid w:val="0012448D"/>
    <w:rsid w:val="001245C8"/>
    <w:rsid w:val="001249A5"/>
    <w:rsid w:val="00124EFD"/>
    <w:rsid w:val="001253C9"/>
    <w:rsid w:val="0012588C"/>
    <w:rsid w:val="001261FE"/>
    <w:rsid w:val="00126628"/>
    <w:rsid w:val="00126933"/>
    <w:rsid w:val="00126F31"/>
    <w:rsid w:val="001272AD"/>
    <w:rsid w:val="00127437"/>
    <w:rsid w:val="0012749B"/>
    <w:rsid w:val="001279E9"/>
    <w:rsid w:val="00127A5E"/>
    <w:rsid w:val="00127D52"/>
    <w:rsid w:val="00127DB2"/>
    <w:rsid w:val="00127FE3"/>
    <w:rsid w:val="0013014E"/>
    <w:rsid w:val="0013018C"/>
    <w:rsid w:val="00130BFB"/>
    <w:rsid w:val="001313F5"/>
    <w:rsid w:val="0013189A"/>
    <w:rsid w:val="00131AC1"/>
    <w:rsid w:val="00131BE7"/>
    <w:rsid w:val="00131EEF"/>
    <w:rsid w:val="0013216B"/>
    <w:rsid w:val="001322E7"/>
    <w:rsid w:val="00133041"/>
    <w:rsid w:val="00133463"/>
    <w:rsid w:val="00133B1F"/>
    <w:rsid w:val="00133C37"/>
    <w:rsid w:val="00134B22"/>
    <w:rsid w:val="00134DB2"/>
    <w:rsid w:val="00135853"/>
    <w:rsid w:val="00136677"/>
    <w:rsid w:val="00136938"/>
    <w:rsid w:val="00136CBF"/>
    <w:rsid w:val="00137208"/>
    <w:rsid w:val="00137365"/>
    <w:rsid w:val="001373AA"/>
    <w:rsid w:val="001375C1"/>
    <w:rsid w:val="00137643"/>
    <w:rsid w:val="00137F4E"/>
    <w:rsid w:val="00140004"/>
    <w:rsid w:val="00140308"/>
    <w:rsid w:val="0014075A"/>
    <w:rsid w:val="001407D4"/>
    <w:rsid w:val="00140823"/>
    <w:rsid w:val="00140E29"/>
    <w:rsid w:val="0014124B"/>
    <w:rsid w:val="00141DAC"/>
    <w:rsid w:val="00141E75"/>
    <w:rsid w:val="00142567"/>
    <w:rsid w:val="001426D6"/>
    <w:rsid w:val="00142FA8"/>
    <w:rsid w:val="001436F9"/>
    <w:rsid w:val="001443AA"/>
    <w:rsid w:val="001443AD"/>
    <w:rsid w:val="001445A2"/>
    <w:rsid w:val="001452A0"/>
    <w:rsid w:val="00145542"/>
    <w:rsid w:val="00145817"/>
    <w:rsid w:val="001458C5"/>
    <w:rsid w:val="00145AFD"/>
    <w:rsid w:val="001460A2"/>
    <w:rsid w:val="0014634F"/>
    <w:rsid w:val="0014679B"/>
    <w:rsid w:val="00147017"/>
    <w:rsid w:val="0014705C"/>
    <w:rsid w:val="00147A1C"/>
    <w:rsid w:val="00147C20"/>
    <w:rsid w:val="00147E41"/>
    <w:rsid w:val="00147F6A"/>
    <w:rsid w:val="00147F77"/>
    <w:rsid w:val="001508E0"/>
    <w:rsid w:val="00150A47"/>
    <w:rsid w:val="00150D24"/>
    <w:rsid w:val="001510AE"/>
    <w:rsid w:val="00151164"/>
    <w:rsid w:val="001512C8"/>
    <w:rsid w:val="001514F2"/>
    <w:rsid w:val="00151FC1"/>
    <w:rsid w:val="00152130"/>
    <w:rsid w:val="00152441"/>
    <w:rsid w:val="00152C6A"/>
    <w:rsid w:val="00153148"/>
    <w:rsid w:val="0015365F"/>
    <w:rsid w:val="001536E0"/>
    <w:rsid w:val="00154037"/>
    <w:rsid w:val="00154904"/>
    <w:rsid w:val="00154B29"/>
    <w:rsid w:val="001550E8"/>
    <w:rsid w:val="0015631B"/>
    <w:rsid w:val="00156B76"/>
    <w:rsid w:val="00156BB9"/>
    <w:rsid w:val="00157A06"/>
    <w:rsid w:val="00157D82"/>
    <w:rsid w:val="0016055E"/>
    <w:rsid w:val="0016111E"/>
    <w:rsid w:val="0016112B"/>
    <w:rsid w:val="001611C4"/>
    <w:rsid w:val="0016144B"/>
    <w:rsid w:val="0016193E"/>
    <w:rsid w:val="00161B13"/>
    <w:rsid w:val="00161C04"/>
    <w:rsid w:val="00162C8A"/>
    <w:rsid w:val="00162CF2"/>
    <w:rsid w:val="0016310F"/>
    <w:rsid w:val="001632ED"/>
    <w:rsid w:val="00163722"/>
    <w:rsid w:val="00163914"/>
    <w:rsid w:val="00163A0B"/>
    <w:rsid w:val="001645B8"/>
    <w:rsid w:val="001647A9"/>
    <w:rsid w:val="00164801"/>
    <w:rsid w:val="001648F8"/>
    <w:rsid w:val="001650B0"/>
    <w:rsid w:val="001652D1"/>
    <w:rsid w:val="001657DD"/>
    <w:rsid w:val="00166384"/>
    <w:rsid w:val="001663A5"/>
    <w:rsid w:val="00167590"/>
    <w:rsid w:val="00167AA2"/>
    <w:rsid w:val="00167B3A"/>
    <w:rsid w:val="001701AA"/>
    <w:rsid w:val="00170658"/>
    <w:rsid w:val="00170C0D"/>
    <w:rsid w:val="00171162"/>
    <w:rsid w:val="001713ED"/>
    <w:rsid w:val="00171A9A"/>
    <w:rsid w:val="00171F21"/>
    <w:rsid w:val="0017205A"/>
    <w:rsid w:val="00172CA4"/>
    <w:rsid w:val="001736BB"/>
    <w:rsid w:val="00174493"/>
    <w:rsid w:val="00174736"/>
    <w:rsid w:val="001760F6"/>
    <w:rsid w:val="00176374"/>
    <w:rsid w:val="0017650C"/>
    <w:rsid w:val="0017658C"/>
    <w:rsid w:val="00177016"/>
    <w:rsid w:val="001770B0"/>
    <w:rsid w:val="0017796E"/>
    <w:rsid w:val="00180472"/>
    <w:rsid w:val="001806DA"/>
    <w:rsid w:val="00180D72"/>
    <w:rsid w:val="00180E25"/>
    <w:rsid w:val="001810E0"/>
    <w:rsid w:val="0018163F"/>
    <w:rsid w:val="00181AD5"/>
    <w:rsid w:val="00181B0D"/>
    <w:rsid w:val="00181E33"/>
    <w:rsid w:val="00181FB6"/>
    <w:rsid w:val="00182420"/>
    <w:rsid w:val="0018295D"/>
    <w:rsid w:val="00182B02"/>
    <w:rsid w:val="00182C6E"/>
    <w:rsid w:val="00183070"/>
    <w:rsid w:val="001831DC"/>
    <w:rsid w:val="00183BAB"/>
    <w:rsid w:val="0018405A"/>
    <w:rsid w:val="00184466"/>
    <w:rsid w:val="00184633"/>
    <w:rsid w:val="00184BCE"/>
    <w:rsid w:val="0018599E"/>
    <w:rsid w:val="00186020"/>
    <w:rsid w:val="00186BB5"/>
    <w:rsid w:val="00187104"/>
    <w:rsid w:val="00187265"/>
    <w:rsid w:val="001875F1"/>
    <w:rsid w:val="00187DF8"/>
    <w:rsid w:val="00190F67"/>
    <w:rsid w:val="00191050"/>
    <w:rsid w:val="001910CA"/>
    <w:rsid w:val="00191687"/>
    <w:rsid w:val="0019188E"/>
    <w:rsid w:val="00191C65"/>
    <w:rsid w:val="00191ECB"/>
    <w:rsid w:val="00191EE2"/>
    <w:rsid w:val="00192063"/>
    <w:rsid w:val="001923A7"/>
    <w:rsid w:val="001936B0"/>
    <w:rsid w:val="001939ED"/>
    <w:rsid w:val="00193ECC"/>
    <w:rsid w:val="001943AD"/>
    <w:rsid w:val="00195690"/>
    <w:rsid w:val="00195776"/>
    <w:rsid w:val="00196006"/>
    <w:rsid w:val="00196C49"/>
    <w:rsid w:val="00197241"/>
    <w:rsid w:val="001978F9"/>
    <w:rsid w:val="00197E1C"/>
    <w:rsid w:val="001A0186"/>
    <w:rsid w:val="001A06BB"/>
    <w:rsid w:val="001A1D0C"/>
    <w:rsid w:val="001A1E85"/>
    <w:rsid w:val="001A204E"/>
    <w:rsid w:val="001A24F0"/>
    <w:rsid w:val="001A2D4C"/>
    <w:rsid w:val="001A3097"/>
    <w:rsid w:val="001A32D0"/>
    <w:rsid w:val="001A3F7C"/>
    <w:rsid w:val="001A4766"/>
    <w:rsid w:val="001A4A79"/>
    <w:rsid w:val="001A52A2"/>
    <w:rsid w:val="001A54F9"/>
    <w:rsid w:val="001A5547"/>
    <w:rsid w:val="001A597B"/>
    <w:rsid w:val="001A63F9"/>
    <w:rsid w:val="001A6548"/>
    <w:rsid w:val="001A6B4C"/>
    <w:rsid w:val="001A6CED"/>
    <w:rsid w:val="001A6DC2"/>
    <w:rsid w:val="001A6E67"/>
    <w:rsid w:val="001A6EAC"/>
    <w:rsid w:val="001A6FE0"/>
    <w:rsid w:val="001A7B32"/>
    <w:rsid w:val="001A7DCE"/>
    <w:rsid w:val="001B014E"/>
    <w:rsid w:val="001B039D"/>
    <w:rsid w:val="001B08A9"/>
    <w:rsid w:val="001B0D22"/>
    <w:rsid w:val="001B0EC2"/>
    <w:rsid w:val="001B118C"/>
    <w:rsid w:val="001B131E"/>
    <w:rsid w:val="001B1D3C"/>
    <w:rsid w:val="001B2365"/>
    <w:rsid w:val="001B255D"/>
    <w:rsid w:val="001B282E"/>
    <w:rsid w:val="001B30BD"/>
    <w:rsid w:val="001B34AB"/>
    <w:rsid w:val="001B37C4"/>
    <w:rsid w:val="001B42FB"/>
    <w:rsid w:val="001B46E6"/>
    <w:rsid w:val="001B49AE"/>
    <w:rsid w:val="001B4A72"/>
    <w:rsid w:val="001B52D4"/>
    <w:rsid w:val="001B57EF"/>
    <w:rsid w:val="001B5CC8"/>
    <w:rsid w:val="001B746C"/>
    <w:rsid w:val="001B7ADA"/>
    <w:rsid w:val="001B7EA2"/>
    <w:rsid w:val="001C24DF"/>
    <w:rsid w:val="001C2B1B"/>
    <w:rsid w:val="001C2CBF"/>
    <w:rsid w:val="001C2F42"/>
    <w:rsid w:val="001C3032"/>
    <w:rsid w:val="001C318C"/>
    <w:rsid w:val="001C34F1"/>
    <w:rsid w:val="001C3AA0"/>
    <w:rsid w:val="001C3AE9"/>
    <w:rsid w:val="001C4C30"/>
    <w:rsid w:val="001C514A"/>
    <w:rsid w:val="001C581E"/>
    <w:rsid w:val="001C584D"/>
    <w:rsid w:val="001C5F38"/>
    <w:rsid w:val="001C64BC"/>
    <w:rsid w:val="001C671C"/>
    <w:rsid w:val="001C67C0"/>
    <w:rsid w:val="001C6F9F"/>
    <w:rsid w:val="001C7FD1"/>
    <w:rsid w:val="001D005B"/>
    <w:rsid w:val="001D04B7"/>
    <w:rsid w:val="001D0724"/>
    <w:rsid w:val="001D1ACC"/>
    <w:rsid w:val="001D1D7F"/>
    <w:rsid w:val="001D221C"/>
    <w:rsid w:val="001D27C0"/>
    <w:rsid w:val="001D2F52"/>
    <w:rsid w:val="001D2F7B"/>
    <w:rsid w:val="001D3259"/>
    <w:rsid w:val="001D3331"/>
    <w:rsid w:val="001D33AD"/>
    <w:rsid w:val="001D389C"/>
    <w:rsid w:val="001D3BCA"/>
    <w:rsid w:val="001D451E"/>
    <w:rsid w:val="001D4CA0"/>
    <w:rsid w:val="001D5CD6"/>
    <w:rsid w:val="001D5E06"/>
    <w:rsid w:val="001D63BA"/>
    <w:rsid w:val="001D65B6"/>
    <w:rsid w:val="001D6C13"/>
    <w:rsid w:val="001D6F10"/>
    <w:rsid w:val="001D72CE"/>
    <w:rsid w:val="001D745D"/>
    <w:rsid w:val="001D75A8"/>
    <w:rsid w:val="001D763A"/>
    <w:rsid w:val="001D7937"/>
    <w:rsid w:val="001D79AB"/>
    <w:rsid w:val="001D7D96"/>
    <w:rsid w:val="001E0B7F"/>
    <w:rsid w:val="001E1E35"/>
    <w:rsid w:val="001E1F4A"/>
    <w:rsid w:val="001E2087"/>
    <w:rsid w:val="001E22F1"/>
    <w:rsid w:val="001E27A8"/>
    <w:rsid w:val="001E28AB"/>
    <w:rsid w:val="001E3027"/>
    <w:rsid w:val="001E3664"/>
    <w:rsid w:val="001E3B45"/>
    <w:rsid w:val="001E4146"/>
    <w:rsid w:val="001E4391"/>
    <w:rsid w:val="001E4B5D"/>
    <w:rsid w:val="001E4D6E"/>
    <w:rsid w:val="001E4F3D"/>
    <w:rsid w:val="001E5521"/>
    <w:rsid w:val="001E56AB"/>
    <w:rsid w:val="001E5AD5"/>
    <w:rsid w:val="001E5E09"/>
    <w:rsid w:val="001E6067"/>
    <w:rsid w:val="001E65E5"/>
    <w:rsid w:val="001E7561"/>
    <w:rsid w:val="001E761D"/>
    <w:rsid w:val="001E77D6"/>
    <w:rsid w:val="001F0798"/>
    <w:rsid w:val="001F09FA"/>
    <w:rsid w:val="001F1407"/>
    <w:rsid w:val="001F1851"/>
    <w:rsid w:val="001F26A9"/>
    <w:rsid w:val="001F2B3C"/>
    <w:rsid w:val="001F2E61"/>
    <w:rsid w:val="001F39A3"/>
    <w:rsid w:val="001F3CB5"/>
    <w:rsid w:val="001F3D01"/>
    <w:rsid w:val="001F3F10"/>
    <w:rsid w:val="001F4339"/>
    <w:rsid w:val="001F4F17"/>
    <w:rsid w:val="001F5F83"/>
    <w:rsid w:val="001F621C"/>
    <w:rsid w:val="001F6298"/>
    <w:rsid w:val="001F6300"/>
    <w:rsid w:val="001F6780"/>
    <w:rsid w:val="001F6B7E"/>
    <w:rsid w:val="001F6DC1"/>
    <w:rsid w:val="001F75BC"/>
    <w:rsid w:val="001F7694"/>
    <w:rsid w:val="001F7CC2"/>
    <w:rsid w:val="001F7D82"/>
    <w:rsid w:val="001F7DCB"/>
    <w:rsid w:val="00200132"/>
    <w:rsid w:val="002002E3"/>
    <w:rsid w:val="0020070A"/>
    <w:rsid w:val="002014E1"/>
    <w:rsid w:val="0020176A"/>
    <w:rsid w:val="002019D7"/>
    <w:rsid w:val="00201A6E"/>
    <w:rsid w:val="00201F3D"/>
    <w:rsid w:val="002021A4"/>
    <w:rsid w:val="0020242F"/>
    <w:rsid w:val="00202A27"/>
    <w:rsid w:val="00202FE9"/>
    <w:rsid w:val="0020304F"/>
    <w:rsid w:val="002037C0"/>
    <w:rsid w:val="00203C45"/>
    <w:rsid w:val="00203EEF"/>
    <w:rsid w:val="0020428B"/>
    <w:rsid w:val="0020539D"/>
    <w:rsid w:val="002054ED"/>
    <w:rsid w:val="00205892"/>
    <w:rsid w:val="00205941"/>
    <w:rsid w:val="00205D85"/>
    <w:rsid w:val="00205E37"/>
    <w:rsid w:val="00205E9B"/>
    <w:rsid w:val="00206899"/>
    <w:rsid w:val="00207002"/>
    <w:rsid w:val="00207130"/>
    <w:rsid w:val="0020791A"/>
    <w:rsid w:val="00207B27"/>
    <w:rsid w:val="00207C68"/>
    <w:rsid w:val="00210135"/>
    <w:rsid w:val="0021033D"/>
    <w:rsid w:val="00210E3E"/>
    <w:rsid w:val="0021127C"/>
    <w:rsid w:val="00211467"/>
    <w:rsid w:val="00211758"/>
    <w:rsid w:val="00211894"/>
    <w:rsid w:val="00211AF3"/>
    <w:rsid w:val="00211D81"/>
    <w:rsid w:val="00211DB3"/>
    <w:rsid w:val="00211E6B"/>
    <w:rsid w:val="00212171"/>
    <w:rsid w:val="002124A2"/>
    <w:rsid w:val="00212AFF"/>
    <w:rsid w:val="0021365C"/>
    <w:rsid w:val="00213784"/>
    <w:rsid w:val="00213D0F"/>
    <w:rsid w:val="00214495"/>
    <w:rsid w:val="00214990"/>
    <w:rsid w:val="00214FC4"/>
    <w:rsid w:val="00215346"/>
    <w:rsid w:val="002155C5"/>
    <w:rsid w:val="002155F8"/>
    <w:rsid w:val="00216291"/>
    <w:rsid w:val="00216771"/>
    <w:rsid w:val="0021700F"/>
    <w:rsid w:val="0021748A"/>
    <w:rsid w:val="00217C80"/>
    <w:rsid w:val="00217D56"/>
    <w:rsid w:val="0022059C"/>
    <w:rsid w:val="00221032"/>
    <w:rsid w:val="0022190F"/>
    <w:rsid w:val="00221C10"/>
    <w:rsid w:val="00223015"/>
    <w:rsid w:val="0022378B"/>
    <w:rsid w:val="0022399C"/>
    <w:rsid w:val="002239DD"/>
    <w:rsid w:val="002240E2"/>
    <w:rsid w:val="00224112"/>
    <w:rsid w:val="00224B99"/>
    <w:rsid w:val="00225661"/>
    <w:rsid w:val="0022597B"/>
    <w:rsid w:val="00225F4F"/>
    <w:rsid w:val="00226284"/>
    <w:rsid w:val="00226508"/>
    <w:rsid w:val="002267A4"/>
    <w:rsid w:val="00226AA1"/>
    <w:rsid w:val="00226BF5"/>
    <w:rsid w:val="002308D7"/>
    <w:rsid w:val="00230A6F"/>
    <w:rsid w:val="00230DA0"/>
    <w:rsid w:val="00230FD1"/>
    <w:rsid w:val="00231115"/>
    <w:rsid w:val="0023142D"/>
    <w:rsid w:val="002314AF"/>
    <w:rsid w:val="0023154C"/>
    <w:rsid w:val="00231DE0"/>
    <w:rsid w:val="00232FB2"/>
    <w:rsid w:val="002332D4"/>
    <w:rsid w:val="00233313"/>
    <w:rsid w:val="00233400"/>
    <w:rsid w:val="002336A3"/>
    <w:rsid w:val="002337DA"/>
    <w:rsid w:val="0023391C"/>
    <w:rsid w:val="00233D59"/>
    <w:rsid w:val="002343EA"/>
    <w:rsid w:val="002352EB"/>
    <w:rsid w:val="00235352"/>
    <w:rsid w:val="002355D7"/>
    <w:rsid w:val="002355DE"/>
    <w:rsid w:val="00235D47"/>
    <w:rsid w:val="00235FB8"/>
    <w:rsid w:val="00235FD7"/>
    <w:rsid w:val="0023639D"/>
    <w:rsid w:val="00236BED"/>
    <w:rsid w:val="0023703F"/>
    <w:rsid w:val="002374FB"/>
    <w:rsid w:val="0023756D"/>
    <w:rsid w:val="00237AA5"/>
    <w:rsid w:val="00237C34"/>
    <w:rsid w:val="00237C96"/>
    <w:rsid w:val="002400EE"/>
    <w:rsid w:val="002410D6"/>
    <w:rsid w:val="002416C8"/>
    <w:rsid w:val="002417FF"/>
    <w:rsid w:val="00241802"/>
    <w:rsid w:val="00241815"/>
    <w:rsid w:val="002419C2"/>
    <w:rsid w:val="00241BC3"/>
    <w:rsid w:val="00242189"/>
    <w:rsid w:val="002423D9"/>
    <w:rsid w:val="0024284F"/>
    <w:rsid w:val="00242B07"/>
    <w:rsid w:val="00243046"/>
    <w:rsid w:val="0024310B"/>
    <w:rsid w:val="00243F23"/>
    <w:rsid w:val="002440F1"/>
    <w:rsid w:val="002445B2"/>
    <w:rsid w:val="002453D6"/>
    <w:rsid w:val="00245721"/>
    <w:rsid w:val="00245A0D"/>
    <w:rsid w:val="00245D09"/>
    <w:rsid w:val="00245D4D"/>
    <w:rsid w:val="00245DDF"/>
    <w:rsid w:val="002465DC"/>
    <w:rsid w:val="00246741"/>
    <w:rsid w:val="00246CB8"/>
    <w:rsid w:val="002505CC"/>
    <w:rsid w:val="002513A8"/>
    <w:rsid w:val="00251690"/>
    <w:rsid w:val="00251D3B"/>
    <w:rsid w:val="00251DFE"/>
    <w:rsid w:val="00252365"/>
    <w:rsid w:val="00252960"/>
    <w:rsid w:val="002529CD"/>
    <w:rsid w:val="0025331F"/>
    <w:rsid w:val="0025375F"/>
    <w:rsid w:val="00253977"/>
    <w:rsid w:val="00254126"/>
    <w:rsid w:val="002541C3"/>
    <w:rsid w:val="00254265"/>
    <w:rsid w:val="00254283"/>
    <w:rsid w:val="002544B9"/>
    <w:rsid w:val="002546F9"/>
    <w:rsid w:val="00254A49"/>
    <w:rsid w:val="00254F36"/>
    <w:rsid w:val="00254FC8"/>
    <w:rsid w:val="00255696"/>
    <w:rsid w:val="0025588E"/>
    <w:rsid w:val="0025601C"/>
    <w:rsid w:val="002565D1"/>
    <w:rsid w:val="0025696C"/>
    <w:rsid w:val="00256EBE"/>
    <w:rsid w:val="00256EC1"/>
    <w:rsid w:val="0025782B"/>
    <w:rsid w:val="002606AF"/>
    <w:rsid w:val="00260E20"/>
    <w:rsid w:val="002614A5"/>
    <w:rsid w:val="00261C8F"/>
    <w:rsid w:val="00261F3A"/>
    <w:rsid w:val="002624AE"/>
    <w:rsid w:val="00262F92"/>
    <w:rsid w:val="00263010"/>
    <w:rsid w:val="00263873"/>
    <w:rsid w:val="00263A5D"/>
    <w:rsid w:val="00263BE2"/>
    <w:rsid w:val="00263D27"/>
    <w:rsid w:val="002641AB"/>
    <w:rsid w:val="00264A20"/>
    <w:rsid w:val="00264B53"/>
    <w:rsid w:val="00264BA2"/>
    <w:rsid w:val="00264C49"/>
    <w:rsid w:val="00264CF4"/>
    <w:rsid w:val="00264F25"/>
    <w:rsid w:val="002658A8"/>
    <w:rsid w:val="00265CDA"/>
    <w:rsid w:val="00266823"/>
    <w:rsid w:val="00266DDE"/>
    <w:rsid w:val="00267AC9"/>
    <w:rsid w:val="00270DD3"/>
    <w:rsid w:val="00270E89"/>
    <w:rsid w:val="0027139E"/>
    <w:rsid w:val="00271828"/>
    <w:rsid w:val="0027194F"/>
    <w:rsid w:val="00272050"/>
    <w:rsid w:val="002725B6"/>
    <w:rsid w:val="002726AF"/>
    <w:rsid w:val="00272876"/>
    <w:rsid w:val="00272C18"/>
    <w:rsid w:val="0027317A"/>
    <w:rsid w:val="002731CD"/>
    <w:rsid w:val="002731F8"/>
    <w:rsid w:val="00273468"/>
    <w:rsid w:val="002735AC"/>
    <w:rsid w:val="00273AB5"/>
    <w:rsid w:val="00273C50"/>
    <w:rsid w:val="00273C5B"/>
    <w:rsid w:val="00273CA3"/>
    <w:rsid w:val="002740A2"/>
    <w:rsid w:val="002741AB"/>
    <w:rsid w:val="00274A93"/>
    <w:rsid w:val="00274C24"/>
    <w:rsid w:val="002756AC"/>
    <w:rsid w:val="00275BC9"/>
    <w:rsid w:val="00275DE5"/>
    <w:rsid w:val="00276084"/>
    <w:rsid w:val="00276309"/>
    <w:rsid w:val="0027698E"/>
    <w:rsid w:val="00276AA0"/>
    <w:rsid w:val="00276B87"/>
    <w:rsid w:val="00276CF9"/>
    <w:rsid w:val="0027719A"/>
    <w:rsid w:val="00277595"/>
    <w:rsid w:val="00277831"/>
    <w:rsid w:val="00277B9F"/>
    <w:rsid w:val="00277C57"/>
    <w:rsid w:val="00280426"/>
    <w:rsid w:val="002815E8"/>
    <w:rsid w:val="002817F4"/>
    <w:rsid w:val="00281915"/>
    <w:rsid w:val="00281BD6"/>
    <w:rsid w:val="00282272"/>
    <w:rsid w:val="0028262A"/>
    <w:rsid w:val="00283022"/>
    <w:rsid w:val="002834B5"/>
    <w:rsid w:val="00283DB5"/>
    <w:rsid w:val="00284D9D"/>
    <w:rsid w:val="00284DA5"/>
    <w:rsid w:val="00284F8A"/>
    <w:rsid w:val="0028576F"/>
    <w:rsid w:val="00285C48"/>
    <w:rsid w:val="00285FA2"/>
    <w:rsid w:val="0028626E"/>
    <w:rsid w:val="00286DB5"/>
    <w:rsid w:val="00286DFE"/>
    <w:rsid w:val="00286F03"/>
    <w:rsid w:val="00286F58"/>
    <w:rsid w:val="0028796F"/>
    <w:rsid w:val="00287ED1"/>
    <w:rsid w:val="0029071F"/>
    <w:rsid w:val="00290FB5"/>
    <w:rsid w:val="00292003"/>
    <w:rsid w:val="002920FC"/>
    <w:rsid w:val="002924FF"/>
    <w:rsid w:val="002925FA"/>
    <w:rsid w:val="00292928"/>
    <w:rsid w:val="00292A12"/>
    <w:rsid w:val="00292F7B"/>
    <w:rsid w:val="00293842"/>
    <w:rsid w:val="0029397F"/>
    <w:rsid w:val="00293BD5"/>
    <w:rsid w:val="00293FF2"/>
    <w:rsid w:val="0029418C"/>
    <w:rsid w:val="0029459E"/>
    <w:rsid w:val="00295159"/>
    <w:rsid w:val="002955E8"/>
    <w:rsid w:val="00295766"/>
    <w:rsid w:val="00296398"/>
    <w:rsid w:val="002963B3"/>
    <w:rsid w:val="002967CE"/>
    <w:rsid w:val="00296FAD"/>
    <w:rsid w:val="00297A89"/>
    <w:rsid w:val="00297E71"/>
    <w:rsid w:val="002A041D"/>
    <w:rsid w:val="002A077B"/>
    <w:rsid w:val="002A0D03"/>
    <w:rsid w:val="002A10C7"/>
    <w:rsid w:val="002A1D70"/>
    <w:rsid w:val="002A203E"/>
    <w:rsid w:val="002A2955"/>
    <w:rsid w:val="002A2A13"/>
    <w:rsid w:val="002A2DC2"/>
    <w:rsid w:val="002A2F0D"/>
    <w:rsid w:val="002A30DA"/>
    <w:rsid w:val="002A390F"/>
    <w:rsid w:val="002A39DA"/>
    <w:rsid w:val="002A4285"/>
    <w:rsid w:val="002A4500"/>
    <w:rsid w:val="002A4BD4"/>
    <w:rsid w:val="002A504B"/>
    <w:rsid w:val="002A534A"/>
    <w:rsid w:val="002A55A1"/>
    <w:rsid w:val="002A6331"/>
    <w:rsid w:val="002A6427"/>
    <w:rsid w:val="002A6439"/>
    <w:rsid w:val="002A68C8"/>
    <w:rsid w:val="002A6D14"/>
    <w:rsid w:val="002A74B0"/>
    <w:rsid w:val="002A7DEB"/>
    <w:rsid w:val="002B02F8"/>
    <w:rsid w:val="002B0BCC"/>
    <w:rsid w:val="002B0C38"/>
    <w:rsid w:val="002B0D25"/>
    <w:rsid w:val="002B0FC1"/>
    <w:rsid w:val="002B11D2"/>
    <w:rsid w:val="002B1628"/>
    <w:rsid w:val="002B1881"/>
    <w:rsid w:val="002B1F8F"/>
    <w:rsid w:val="002B2D0B"/>
    <w:rsid w:val="002B3012"/>
    <w:rsid w:val="002B3336"/>
    <w:rsid w:val="002B33E4"/>
    <w:rsid w:val="002B3CDD"/>
    <w:rsid w:val="002B3E30"/>
    <w:rsid w:val="002B3EFF"/>
    <w:rsid w:val="002B4269"/>
    <w:rsid w:val="002B4279"/>
    <w:rsid w:val="002B4726"/>
    <w:rsid w:val="002B6178"/>
    <w:rsid w:val="002B6622"/>
    <w:rsid w:val="002B6724"/>
    <w:rsid w:val="002B686F"/>
    <w:rsid w:val="002B6ADC"/>
    <w:rsid w:val="002B6E91"/>
    <w:rsid w:val="002C1286"/>
    <w:rsid w:val="002C1426"/>
    <w:rsid w:val="002C18BB"/>
    <w:rsid w:val="002C1968"/>
    <w:rsid w:val="002C1C45"/>
    <w:rsid w:val="002C1EC8"/>
    <w:rsid w:val="002C2138"/>
    <w:rsid w:val="002C24F1"/>
    <w:rsid w:val="002C2700"/>
    <w:rsid w:val="002C2780"/>
    <w:rsid w:val="002C28D7"/>
    <w:rsid w:val="002C2DD6"/>
    <w:rsid w:val="002C2FE0"/>
    <w:rsid w:val="002C3177"/>
    <w:rsid w:val="002C33F5"/>
    <w:rsid w:val="002C3470"/>
    <w:rsid w:val="002C3B1A"/>
    <w:rsid w:val="002C3DCA"/>
    <w:rsid w:val="002C42BA"/>
    <w:rsid w:val="002C4687"/>
    <w:rsid w:val="002C4702"/>
    <w:rsid w:val="002C491B"/>
    <w:rsid w:val="002C57B5"/>
    <w:rsid w:val="002C5CCB"/>
    <w:rsid w:val="002C7E99"/>
    <w:rsid w:val="002D042F"/>
    <w:rsid w:val="002D05EA"/>
    <w:rsid w:val="002D0755"/>
    <w:rsid w:val="002D0B18"/>
    <w:rsid w:val="002D0E45"/>
    <w:rsid w:val="002D0E71"/>
    <w:rsid w:val="002D15F7"/>
    <w:rsid w:val="002D201E"/>
    <w:rsid w:val="002D2205"/>
    <w:rsid w:val="002D2403"/>
    <w:rsid w:val="002D257D"/>
    <w:rsid w:val="002D268D"/>
    <w:rsid w:val="002D278F"/>
    <w:rsid w:val="002D293D"/>
    <w:rsid w:val="002D2BEB"/>
    <w:rsid w:val="002D2C16"/>
    <w:rsid w:val="002D313C"/>
    <w:rsid w:val="002D33B6"/>
    <w:rsid w:val="002D34DC"/>
    <w:rsid w:val="002D3B40"/>
    <w:rsid w:val="002D4146"/>
    <w:rsid w:val="002D417C"/>
    <w:rsid w:val="002D44A0"/>
    <w:rsid w:val="002D45EE"/>
    <w:rsid w:val="002D4642"/>
    <w:rsid w:val="002D5F50"/>
    <w:rsid w:val="002D623F"/>
    <w:rsid w:val="002D6A25"/>
    <w:rsid w:val="002D6D2F"/>
    <w:rsid w:val="002E0372"/>
    <w:rsid w:val="002E0404"/>
    <w:rsid w:val="002E0BD9"/>
    <w:rsid w:val="002E1385"/>
    <w:rsid w:val="002E14C3"/>
    <w:rsid w:val="002E1C39"/>
    <w:rsid w:val="002E1EF6"/>
    <w:rsid w:val="002E2300"/>
    <w:rsid w:val="002E2434"/>
    <w:rsid w:val="002E26DF"/>
    <w:rsid w:val="002E2728"/>
    <w:rsid w:val="002E2A9A"/>
    <w:rsid w:val="002E32E1"/>
    <w:rsid w:val="002E335D"/>
    <w:rsid w:val="002E3496"/>
    <w:rsid w:val="002E3A43"/>
    <w:rsid w:val="002E4686"/>
    <w:rsid w:val="002E4845"/>
    <w:rsid w:val="002E4FC4"/>
    <w:rsid w:val="002E526F"/>
    <w:rsid w:val="002E53E5"/>
    <w:rsid w:val="002E5959"/>
    <w:rsid w:val="002E5969"/>
    <w:rsid w:val="002E6157"/>
    <w:rsid w:val="002E6567"/>
    <w:rsid w:val="002E65F4"/>
    <w:rsid w:val="002E6B68"/>
    <w:rsid w:val="002E6B84"/>
    <w:rsid w:val="002E7195"/>
    <w:rsid w:val="002F06CA"/>
    <w:rsid w:val="002F0C89"/>
    <w:rsid w:val="002F0E4D"/>
    <w:rsid w:val="002F1124"/>
    <w:rsid w:val="002F16B1"/>
    <w:rsid w:val="002F17EE"/>
    <w:rsid w:val="002F1D3D"/>
    <w:rsid w:val="002F1F16"/>
    <w:rsid w:val="002F280F"/>
    <w:rsid w:val="002F2E46"/>
    <w:rsid w:val="002F304D"/>
    <w:rsid w:val="002F348D"/>
    <w:rsid w:val="002F3AB7"/>
    <w:rsid w:val="002F4710"/>
    <w:rsid w:val="002F4C80"/>
    <w:rsid w:val="002F4D47"/>
    <w:rsid w:val="002F4D5C"/>
    <w:rsid w:val="002F5293"/>
    <w:rsid w:val="002F53A6"/>
    <w:rsid w:val="002F5EF7"/>
    <w:rsid w:val="002F6188"/>
    <w:rsid w:val="002F630B"/>
    <w:rsid w:val="002F67E0"/>
    <w:rsid w:val="002F6A99"/>
    <w:rsid w:val="002F6BA5"/>
    <w:rsid w:val="002F78B4"/>
    <w:rsid w:val="00301170"/>
    <w:rsid w:val="003019D9"/>
    <w:rsid w:val="003022AF"/>
    <w:rsid w:val="00302789"/>
    <w:rsid w:val="00302828"/>
    <w:rsid w:val="003029A7"/>
    <w:rsid w:val="00303070"/>
    <w:rsid w:val="003030E6"/>
    <w:rsid w:val="0030341A"/>
    <w:rsid w:val="003036D1"/>
    <w:rsid w:val="00303DBF"/>
    <w:rsid w:val="003040C8"/>
    <w:rsid w:val="003045E1"/>
    <w:rsid w:val="00304C24"/>
    <w:rsid w:val="00305109"/>
    <w:rsid w:val="0030537B"/>
    <w:rsid w:val="00305524"/>
    <w:rsid w:val="003055AD"/>
    <w:rsid w:val="003055BD"/>
    <w:rsid w:val="0030618F"/>
    <w:rsid w:val="00306366"/>
    <w:rsid w:val="00306482"/>
    <w:rsid w:val="00306E4C"/>
    <w:rsid w:val="0031048E"/>
    <w:rsid w:val="0031051F"/>
    <w:rsid w:val="00311638"/>
    <w:rsid w:val="003118A1"/>
    <w:rsid w:val="00311DA7"/>
    <w:rsid w:val="00312082"/>
    <w:rsid w:val="00312229"/>
    <w:rsid w:val="00312A65"/>
    <w:rsid w:val="00312D82"/>
    <w:rsid w:val="00312E32"/>
    <w:rsid w:val="003133D4"/>
    <w:rsid w:val="003138CA"/>
    <w:rsid w:val="00313DDB"/>
    <w:rsid w:val="00313F97"/>
    <w:rsid w:val="00313FA2"/>
    <w:rsid w:val="003145F5"/>
    <w:rsid w:val="0031491F"/>
    <w:rsid w:val="00314DFF"/>
    <w:rsid w:val="00314FC9"/>
    <w:rsid w:val="003159F5"/>
    <w:rsid w:val="00315A2D"/>
    <w:rsid w:val="00316171"/>
    <w:rsid w:val="0031635B"/>
    <w:rsid w:val="00316444"/>
    <w:rsid w:val="0031658B"/>
    <w:rsid w:val="00316B99"/>
    <w:rsid w:val="00317696"/>
    <w:rsid w:val="0031788F"/>
    <w:rsid w:val="00317ADA"/>
    <w:rsid w:val="00317EFD"/>
    <w:rsid w:val="00320726"/>
    <w:rsid w:val="003209A5"/>
    <w:rsid w:val="00320C50"/>
    <w:rsid w:val="00321802"/>
    <w:rsid w:val="003218C9"/>
    <w:rsid w:val="00321B38"/>
    <w:rsid w:val="00322186"/>
    <w:rsid w:val="00322417"/>
    <w:rsid w:val="00322977"/>
    <w:rsid w:val="00322D53"/>
    <w:rsid w:val="00323B86"/>
    <w:rsid w:val="00324355"/>
    <w:rsid w:val="00324EE0"/>
    <w:rsid w:val="00325127"/>
    <w:rsid w:val="00325329"/>
    <w:rsid w:val="00326045"/>
    <w:rsid w:val="00326938"/>
    <w:rsid w:val="00326D25"/>
    <w:rsid w:val="00326D7C"/>
    <w:rsid w:val="00326DD9"/>
    <w:rsid w:val="00327199"/>
    <w:rsid w:val="00327342"/>
    <w:rsid w:val="00327F30"/>
    <w:rsid w:val="00330505"/>
    <w:rsid w:val="00330E6F"/>
    <w:rsid w:val="00330EC7"/>
    <w:rsid w:val="0033131F"/>
    <w:rsid w:val="003314E6"/>
    <w:rsid w:val="00332046"/>
    <w:rsid w:val="0033259D"/>
    <w:rsid w:val="00332BEB"/>
    <w:rsid w:val="0033337B"/>
    <w:rsid w:val="00333745"/>
    <w:rsid w:val="0033410B"/>
    <w:rsid w:val="00334660"/>
    <w:rsid w:val="00334E85"/>
    <w:rsid w:val="00334F1D"/>
    <w:rsid w:val="00335206"/>
    <w:rsid w:val="0033559C"/>
    <w:rsid w:val="00335CE2"/>
    <w:rsid w:val="00335F76"/>
    <w:rsid w:val="003363B4"/>
    <w:rsid w:val="0033645F"/>
    <w:rsid w:val="0033686B"/>
    <w:rsid w:val="00336FFD"/>
    <w:rsid w:val="00337060"/>
    <w:rsid w:val="003372CD"/>
    <w:rsid w:val="00337C0E"/>
    <w:rsid w:val="00337C6B"/>
    <w:rsid w:val="00337F6B"/>
    <w:rsid w:val="00340168"/>
    <w:rsid w:val="0034091C"/>
    <w:rsid w:val="00340AA6"/>
    <w:rsid w:val="00340B2F"/>
    <w:rsid w:val="0034143C"/>
    <w:rsid w:val="00341745"/>
    <w:rsid w:val="00342CBB"/>
    <w:rsid w:val="003431E2"/>
    <w:rsid w:val="003431FF"/>
    <w:rsid w:val="0034321C"/>
    <w:rsid w:val="00343224"/>
    <w:rsid w:val="0034390D"/>
    <w:rsid w:val="00343ADE"/>
    <w:rsid w:val="00344114"/>
    <w:rsid w:val="00344AED"/>
    <w:rsid w:val="00344E2B"/>
    <w:rsid w:val="00344E98"/>
    <w:rsid w:val="0034566F"/>
    <w:rsid w:val="00345B26"/>
    <w:rsid w:val="00345C8E"/>
    <w:rsid w:val="00345FDD"/>
    <w:rsid w:val="003464BF"/>
    <w:rsid w:val="00346BAC"/>
    <w:rsid w:val="00347650"/>
    <w:rsid w:val="003479E3"/>
    <w:rsid w:val="00347C09"/>
    <w:rsid w:val="00347F23"/>
    <w:rsid w:val="003511C7"/>
    <w:rsid w:val="00351314"/>
    <w:rsid w:val="0035156E"/>
    <w:rsid w:val="003518AE"/>
    <w:rsid w:val="00351A28"/>
    <w:rsid w:val="00351B2E"/>
    <w:rsid w:val="00351D51"/>
    <w:rsid w:val="00352336"/>
    <w:rsid w:val="00352680"/>
    <w:rsid w:val="00352A4B"/>
    <w:rsid w:val="00352C28"/>
    <w:rsid w:val="00353400"/>
    <w:rsid w:val="0035359A"/>
    <w:rsid w:val="003538AA"/>
    <w:rsid w:val="00353E49"/>
    <w:rsid w:val="0035415B"/>
    <w:rsid w:val="0035427F"/>
    <w:rsid w:val="0035450B"/>
    <w:rsid w:val="00354747"/>
    <w:rsid w:val="00355467"/>
    <w:rsid w:val="003558B2"/>
    <w:rsid w:val="003560B1"/>
    <w:rsid w:val="003560F7"/>
    <w:rsid w:val="003566E1"/>
    <w:rsid w:val="003567C3"/>
    <w:rsid w:val="00356AE2"/>
    <w:rsid w:val="0035727A"/>
    <w:rsid w:val="003575FB"/>
    <w:rsid w:val="00357B2E"/>
    <w:rsid w:val="00357C06"/>
    <w:rsid w:val="00357D1C"/>
    <w:rsid w:val="00360E32"/>
    <w:rsid w:val="003614E4"/>
    <w:rsid w:val="00361EEA"/>
    <w:rsid w:val="00362125"/>
    <w:rsid w:val="00362334"/>
    <w:rsid w:val="0036391D"/>
    <w:rsid w:val="00364478"/>
    <w:rsid w:val="00364E10"/>
    <w:rsid w:val="003659FA"/>
    <w:rsid w:val="00365F65"/>
    <w:rsid w:val="00367587"/>
    <w:rsid w:val="003677BA"/>
    <w:rsid w:val="0037013D"/>
    <w:rsid w:val="00370C01"/>
    <w:rsid w:val="00371605"/>
    <w:rsid w:val="0037206F"/>
    <w:rsid w:val="00372712"/>
    <w:rsid w:val="00372749"/>
    <w:rsid w:val="00372B2B"/>
    <w:rsid w:val="00373533"/>
    <w:rsid w:val="00373A93"/>
    <w:rsid w:val="00373BB2"/>
    <w:rsid w:val="00373E11"/>
    <w:rsid w:val="003744AD"/>
    <w:rsid w:val="003745EF"/>
    <w:rsid w:val="00374C0F"/>
    <w:rsid w:val="00374CE5"/>
    <w:rsid w:val="00375734"/>
    <w:rsid w:val="0037594E"/>
    <w:rsid w:val="00376140"/>
    <w:rsid w:val="00377B38"/>
    <w:rsid w:val="00377E5F"/>
    <w:rsid w:val="003805A0"/>
    <w:rsid w:val="0038199E"/>
    <w:rsid w:val="00382C72"/>
    <w:rsid w:val="003834F6"/>
    <w:rsid w:val="00383AF9"/>
    <w:rsid w:val="00383B4B"/>
    <w:rsid w:val="003849A8"/>
    <w:rsid w:val="00384B8E"/>
    <w:rsid w:val="00385755"/>
    <w:rsid w:val="00385A22"/>
    <w:rsid w:val="00385D17"/>
    <w:rsid w:val="00386156"/>
    <w:rsid w:val="003866B9"/>
    <w:rsid w:val="00386949"/>
    <w:rsid w:val="003875DB"/>
    <w:rsid w:val="003900C6"/>
    <w:rsid w:val="00390326"/>
    <w:rsid w:val="003908D0"/>
    <w:rsid w:val="00391790"/>
    <w:rsid w:val="003918D4"/>
    <w:rsid w:val="00391A11"/>
    <w:rsid w:val="00391A2B"/>
    <w:rsid w:val="00391A75"/>
    <w:rsid w:val="00391EBC"/>
    <w:rsid w:val="0039234E"/>
    <w:rsid w:val="0039249E"/>
    <w:rsid w:val="0039264C"/>
    <w:rsid w:val="003931C2"/>
    <w:rsid w:val="003933E4"/>
    <w:rsid w:val="003934D2"/>
    <w:rsid w:val="00393D8D"/>
    <w:rsid w:val="003950E0"/>
    <w:rsid w:val="00395117"/>
    <w:rsid w:val="00395AD5"/>
    <w:rsid w:val="003967D8"/>
    <w:rsid w:val="00396863"/>
    <w:rsid w:val="00396B04"/>
    <w:rsid w:val="00397479"/>
    <w:rsid w:val="00397B3A"/>
    <w:rsid w:val="003A0178"/>
    <w:rsid w:val="003A08F1"/>
    <w:rsid w:val="003A0F4B"/>
    <w:rsid w:val="003A110D"/>
    <w:rsid w:val="003A1179"/>
    <w:rsid w:val="003A15F2"/>
    <w:rsid w:val="003A18C4"/>
    <w:rsid w:val="003A1E83"/>
    <w:rsid w:val="003A22D4"/>
    <w:rsid w:val="003A2437"/>
    <w:rsid w:val="003A27AE"/>
    <w:rsid w:val="003A28FE"/>
    <w:rsid w:val="003A2A3A"/>
    <w:rsid w:val="003A32AB"/>
    <w:rsid w:val="003A33D0"/>
    <w:rsid w:val="003A3E1D"/>
    <w:rsid w:val="003A52CC"/>
    <w:rsid w:val="003A55D0"/>
    <w:rsid w:val="003A5F80"/>
    <w:rsid w:val="003A6CFD"/>
    <w:rsid w:val="003A6F71"/>
    <w:rsid w:val="003A7474"/>
    <w:rsid w:val="003A79CC"/>
    <w:rsid w:val="003A7AB4"/>
    <w:rsid w:val="003A7E58"/>
    <w:rsid w:val="003B052A"/>
    <w:rsid w:val="003B06C2"/>
    <w:rsid w:val="003B09B1"/>
    <w:rsid w:val="003B0DE3"/>
    <w:rsid w:val="003B0E59"/>
    <w:rsid w:val="003B14C9"/>
    <w:rsid w:val="003B1C2A"/>
    <w:rsid w:val="003B1E0E"/>
    <w:rsid w:val="003B20B2"/>
    <w:rsid w:val="003B24A9"/>
    <w:rsid w:val="003B2593"/>
    <w:rsid w:val="003B310C"/>
    <w:rsid w:val="003B3436"/>
    <w:rsid w:val="003B3525"/>
    <w:rsid w:val="003B3B3D"/>
    <w:rsid w:val="003B4168"/>
    <w:rsid w:val="003B425A"/>
    <w:rsid w:val="003B4749"/>
    <w:rsid w:val="003B4F1F"/>
    <w:rsid w:val="003B5399"/>
    <w:rsid w:val="003B5B97"/>
    <w:rsid w:val="003B72BA"/>
    <w:rsid w:val="003B7428"/>
    <w:rsid w:val="003C0100"/>
    <w:rsid w:val="003C0B83"/>
    <w:rsid w:val="003C109D"/>
    <w:rsid w:val="003C162E"/>
    <w:rsid w:val="003C18B1"/>
    <w:rsid w:val="003C1D43"/>
    <w:rsid w:val="003C1EFC"/>
    <w:rsid w:val="003C2ABB"/>
    <w:rsid w:val="003C2D3C"/>
    <w:rsid w:val="003C30FC"/>
    <w:rsid w:val="003C32E9"/>
    <w:rsid w:val="003C3A02"/>
    <w:rsid w:val="003C3BE5"/>
    <w:rsid w:val="003C3D42"/>
    <w:rsid w:val="003C3D65"/>
    <w:rsid w:val="003C44AD"/>
    <w:rsid w:val="003C488E"/>
    <w:rsid w:val="003C4BE0"/>
    <w:rsid w:val="003C5513"/>
    <w:rsid w:val="003C60DE"/>
    <w:rsid w:val="003C61E3"/>
    <w:rsid w:val="003C6420"/>
    <w:rsid w:val="003C651D"/>
    <w:rsid w:val="003C6685"/>
    <w:rsid w:val="003C673B"/>
    <w:rsid w:val="003C6845"/>
    <w:rsid w:val="003C764A"/>
    <w:rsid w:val="003C7CEA"/>
    <w:rsid w:val="003D036A"/>
    <w:rsid w:val="003D11DE"/>
    <w:rsid w:val="003D139B"/>
    <w:rsid w:val="003D19CD"/>
    <w:rsid w:val="003D1FF1"/>
    <w:rsid w:val="003D26D3"/>
    <w:rsid w:val="003D298B"/>
    <w:rsid w:val="003D2B1D"/>
    <w:rsid w:val="003D32A1"/>
    <w:rsid w:val="003D36F7"/>
    <w:rsid w:val="003D4423"/>
    <w:rsid w:val="003D468B"/>
    <w:rsid w:val="003D4CC2"/>
    <w:rsid w:val="003D5A14"/>
    <w:rsid w:val="003D5C12"/>
    <w:rsid w:val="003D6234"/>
    <w:rsid w:val="003D6316"/>
    <w:rsid w:val="003D64B0"/>
    <w:rsid w:val="003D6880"/>
    <w:rsid w:val="003D6D0B"/>
    <w:rsid w:val="003D72BD"/>
    <w:rsid w:val="003D788E"/>
    <w:rsid w:val="003E0C4C"/>
    <w:rsid w:val="003E1076"/>
    <w:rsid w:val="003E1808"/>
    <w:rsid w:val="003E1B28"/>
    <w:rsid w:val="003E2B44"/>
    <w:rsid w:val="003E30F9"/>
    <w:rsid w:val="003E3426"/>
    <w:rsid w:val="003E34C8"/>
    <w:rsid w:val="003E35C6"/>
    <w:rsid w:val="003E3892"/>
    <w:rsid w:val="003E39D1"/>
    <w:rsid w:val="003E3BCA"/>
    <w:rsid w:val="003E4014"/>
    <w:rsid w:val="003E4288"/>
    <w:rsid w:val="003E478D"/>
    <w:rsid w:val="003E4877"/>
    <w:rsid w:val="003E4DDB"/>
    <w:rsid w:val="003E5AAE"/>
    <w:rsid w:val="003E5F01"/>
    <w:rsid w:val="003E6105"/>
    <w:rsid w:val="003E610A"/>
    <w:rsid w:val="003E68F4"/>
    <w:rsid w:val="003E69B4"/>
    <w:rsid w:val="003E69D0"/>
    <w:rsid w:val="003E6E5D"/>
    <w:rsid w:val="003E74CB"/>
    <w:rsid w:val="003F1744"/>
    <w:rsid w:val="003F1865"/>
    <w:rsid w:val="003F195B"/>
    <w:rsid w:val="003F1F91"/>
    <w:rsid w:val="003F20ED"/>
    <w:rsid w:val="003F22AE"/>
    <w:rsid w:val="003F26C6"/>
    <w:rsid w:val="003F275F"/>
    <w:rsid w:val="003F2B7F"/>
    <w:rsid w:val="003F2BC5"/>
    <w:rsid w:val="003F2C36"/>
    <w:rsid w:val="003F2E40"/>
    <w:rsid w:val="003F34F1"/>
    <w:rsid w:val="003F3C42"/>
    <w:rsid w:val="003F3D7C"/>
    <w:rsid w:val="003F3EEF"/>
    <w:rsid w:val="003F4560"/>
    <w:rsid w:val="003F496B"/>
    <w:rsid w:val="003F4EC4"/>
    <w:rsid w:val="003F53C5"/>
    <w:rsid w:val="003F54B6"/>
    <w:rsid w:val="003F550E"/>
    <w:rsid w:val="003F5A0F"/>
    <w:rsid w:val="003F609E"/>
    <w:rsid w:val="003F65F2"/>
    <w:rsid w:val="003F69CC"/>
    <w:rsid w:val="003F6DD4"/>
    <w:rsid w:val="003F7079"/>
    <w:rsid w:val="003F7571"/>
    <w:rsid w:val="003F7F6A"/>
    <w:rsid w:val="00400BD9"/>
    <w:rsid w:val="00400C8B"/>
    <w:rsid w:val="00400D44"/>
    <w:rsid w:val="00400F21"/>
    <w:rsid w:val="00401D57"/>
    <w:rsid w:val="004025EE"/>
    <w:rsid w:val="00402BA5"/>
    <w:rsid w:val="00403429"/>
    <w:rsid w:val="004040D5"/>
    <w:rsid w:val="0040415D"/>
    <w:rsid w:val="00404563"/>
    <w:rsid w:val="00404566"/>
    <w:rsid w:val="00404906"/>
    <w:rsid w:val="00404B8F"/>
    <w:rsid w:val="00405DC8"/>
    <w:rsid w:val="004068AF"/>
    <w:rsid w:val="00406C5E"/>
    <w:rsid w:val="00406CD9"/>
    <w:rsid w:val="00406E9B"/>
    <w:rsid w:val="00406FA9"/>
    <w:rsid w:val="0040735F"/>
    <w:rsid w:val="00407651"/>
    <w:rsid w:val="00407756"/>
    <w:rsid w:val="004077F0"/>
    <w:rsid w:val="00410197"/>
    <w:rsid w:val="00410C2F"/>
    <w:rsid w:val="00410C66"/>
    <w:rsid w:val="00410F59"/>
    <w:rsid w:val="0041154F"/>
    <w:rsid w:val="00412166"/>
    <w:rsid w:val="00412306"/>
    <w:rsid w:val="00412509"/>
    <w:rsid w:val="00412731"/>
    <w:rsid w:val="00412F7B"/>
    <w:rsid w:val="00413A5A"/>
    <w:rsid w:val="00413CA9"/>
    <w:rsid w:val="00414F59"/>
    <w:rsid w:val="00414F69"/>
    <w:rsid w:val="004154E3"/>
    <w:rsid w:val="004157FB"/>
    <w:rsid w:val="004163CC"/>
    <w:rsid w:val="00416A61"/>
    <w:rsid w:val="0041761D"/>
    <w:rsid w:val="00417678"/>
    <w:rsid w:val="00417B06"/>
    <w:rsid w:val="0042004F"/>
    <w:rsid w:val="00420B41"/>
    <w:rsid w:val="00420D04"/>
    <w:rsid w:val="00421282"/>
    <w:rsid w:val="0042146F"/>
    <w:rsid w:val="004216C6"/>
    <w:rsid w:val="004218CE"/>
    <w:rsid w:val="00421ED2"/>
    <w:rsid w:val="0042211C"/>
    <w:rsid w:val="004222DC"/>
    <w:rsid w:val="00422317"/>
    <w:rsid w:val="004228EA"/>
    <w:rsid w:val="00422D3E"/>
    <w:rsid w:val="00422F5D"/>
    <w:rsid w:val="0042343E"/>
    <w:rsid w:val="00425746"/>
    <w:rsid w:val="004258A1"/>
    <w:rsid w:val="00425911"/>
    <w:rsid w:val="00425DE3"/>
    <w:rsid w:val="00426170"/>
    <w:rsid w:val="00426653"/>
    <w:rsid w:val="00426C01"/>
    <w:rsid w:val="004271E3"/>
    <w:rsid w:val="0042752E"/>
    <w:rsid w:val="00427D00"/>
    <w:rsid w:val="00430124"/>
    <w:rsid w:val="004308ED"/>
    <w:rsid w:val="00430B75"/>
    <w:rsid w:val="00430BC0"/>
    <w:rsid w:val="00430BE8"/>
    <w:rsid w:val="00431ECA"/>
    <w:rsid w:val="00432899"/>
    <w:rsid w:val="00432AB3"/>
    <w:rsid w:val="0043310E"/>
    <w:rsid w:val="0043329F"/>
    <w:rsid w:val="0043448D"/>
    <w:rsid w:val="004345D1"/>
    <w:rsid w:val="0043509B"/>
    <w:rsid w:val="0043565E"/>
    <w:rsid w:val="00435CB2"/>
    <w:rsid w:val="00435DF6"/>
    <w:rsid w:val="00435EB6"/>
    <w:rsid w:val="00436617"/>
    <w:rsid w:val="004368F6"/>
    <w:rsid w:val="00436958"/>
    <w:rsid w:val="004369F3"/>
    <w:rsid w:val="00436C8B"/>
    <w:rsid w:val="00437109"/>
    <w:rsid w:val="00437862"/>
    <w:rsid w:val="00437ABE"/>
    <w:rsid w:val="00437C2B"/>
    <w:rsid w:val="0044011E"/>
    <w:rsid w:val="00440802"/>
    <w:rsid w:val="00440CA1"/>
    <w:rsid w:val="00440EA4"/>
    <w:rsid w:val="00441486"/>
    <w:rsid w:val="004414E6"/>
    <w:rsid w:val="0044281A"/>
    <w:rsid w:val="004441C9"/>
    <w:rsid w:val="004446EC"/>
    <w:rsid w:val="00445463"/>
    <w:rsid w:val="00445F52"/>
    <w:rsid w:val="004463AD"/>
    <w:rsid w:val="004468F6"/>
    <w:rsid w:val="00446E44"/>
    <w:rsid w:val="00446F17"/>
    <w:rsid w:val="00447985"/>
    <w:rsid w:val="00447B91"/>
    <w:rsid w:val="004501F4"/>
    <w:rsid w:val="00450229"/>
    <w:rsid w:val="00450AD2"/>
    <w:rsid w:val="00450D94"/>
    <w:rsid w:val="004513F1"/>
    <w:rsid w:val="00451AEB"/>
    <w:rsid w:val="00451C78"/>
    <w:rsid w:val="00451D16"/>
    <w:rsid w:val="0045225C"/>
    <w:rsid w:val="00452638"/>
    <w:rsid w:val="004528D4"/>
    <w:rsid w:val="00452A3E"/>
    <w:rsid w:val="00453AAD"/>
    <w:rsid w:val="00453F56"/>
    <w:rsid w:val="00454A76"/>
    <w:rsid w:val="004559D8"/>
    <w:rsid w:val="00455F62"/>
    <w:rsid w:val="00456268"/>
    <w:rsid w:val="0045628F"/>
    <w:rsid w:val="00456BF0"/>
    <w:rsid w:val="00457100"/>
    <w:rsid w:val="00457273"/>
    <w:rsid w:val="00457668"/>
    <w:rsid w:val="004579C1"/>
    <w:rsid w:val="00457E94"/>
    <w:rsid w:val="00460B80"/>
    <w:rsid w:val="0046104B"/>
    <w:rsid w:val="004615ED"/>
    <w:rsid w:val="00461986"/>
    <w:rsid w:val="00461B0C"/>
    <w:rsid w:val="00461EF7"/>
    <w:rsid w:val="0046200E"/>
    <w:rsid w:val="00462086"/>
    <w:rsid w:val="0046223A"/>
    <w:rsid w:val="004622B7"/>
    <w:rsid w:val="00462EDD"/>
    <w:rsid w:val="004634CC"/>
    <w:rsid w:val="004638F3"/>
    <w:rsid w:val="00463A89"/>
    <w:rsid w:val="00463B65"/>
    <w:rsid w:val="00463C56"/>
    <w:rsid w:val="00464373"/>
    <w:rsid w:val="00464845"/>
    <w:rsid w:val="00464A57"/>
    <w:rsid w:val="00464BAB"/>
    <w:rsid w:val="0046539D"/>
    <w:rsid w:val="00465773"/>
    <w:rsid w:val="0046591A"/>
    <w:rsid w:val="00466105"/>
    <w:rsid w:val="004665F5"/>
    <w:rsid w:val="00466627"/>
    <w:rsid w:val="00466846"/>
    <w:rsid w:val="00467E05"/>
    <w:rsid w:val="00470461"/>
    <w:rsid w:val="00470787"/>
    <w:rsid w:val="004716D0"/>
    <w:rsid w:val="004718FC"/>
    <w:rsid w:val="00471B52"/>
    <w:rsid w:val="00471B8F"/>
    <w:rsid w:val="00472C23"/>
    <w:rsid w:val="00473364"/>
    <w:rsid w:val="004733BF"/>
    <w:rsid w:val="00474451"/>
    <w:rsid w:val="00475164"/>
    <w:rsid w:val="00475E42"/>
    <w:rsid w:val="00476120"/>
    <w:rsid w:val="00476872"/>
    <w:rsid w:val="004771C7"/>
    <w:rsid w:val="0047720F"/>
    <w:rsid w:val="00477387"/>
    <w:rsid w:val="004801A5"/>
    <w:rsid w:val="0048105D"/>
    <w:rsid w:val="0048126B"/>
    <w:rsid w:val="00481400"/>
    <w:rsid w:val="004819F4"/>
    <w:rsid w:val="00481A6E"/>
    <w:rsid w:val="00481B72"/>
    <w:rsid w:val="00482724"/>
    <w:rsid w:val="00482904"/>
    <w:rsid w:val="00483A6D"/>
    <w:rsid w:val="00483B4A"/>
    <w:rsid w:val="00483FA6"/>
    <w:rsid w:val="00484372"/>
    <w:rsid w:val="004844F9"/>
    <w:rsid w:val="00484EF3"/>
    <w:rsid w:val="004857A9"/>
    <w:rsid w:val="004859E6"/>
    <w:rsid w:val="004862D6"/>
    <w:rsid w:val="00486602"/>
    <w:rsid w:val="00486D8B"/>
    <w:rsid w:val="00486FB6"/>
    <w:rsid w:val="0048768F"/>
    <w:rsid w:val="00487B74"/>
    <w:rsid w:val="00490B58"/>
    <w:rsid w:val="00490D34"/>
    <w:rsid w:val="00490EBD"/>
    <w:rsid w:val="004911AA"/>
    <w:rsid w:val="00491265"/>
    <w:rsid w:val="0049133A"/>
    <w:rsid w:val="0049135F"/>
    <w:rsid w:val="00491B6F"/>
    <w:rsid w:val="00491D18"/>
    <w:rsid w:val="00492B23"/>
    <w:rsid w:val="00492D0C"/>
    <w:rsid w:val="00493263"/>
    <w:rsid w:val="004938C9"/>
    <w:rsid w:val="004949B8"/>
    <w:rsid w:val="00495734"/>
    <w:rsid w:val="00495EA2"/>
    <w:rsid w:val="00495F45"/>
    <w:rsid w:val="0049632B"/>
    <w:rsid w:val="00496EF2"/>
    <w:rsid w:val="004973C9"/>
    <w:rsid w:val="00497CD8"/>
    <w:rsid w:val="004A0431"/>
    <w:rsid w:val="004A0679"/>
    <w:rsid w:val="004A0A19"/>
    <w:rsid w:val="004A0BDA"/>
    <w:rsid w:val="004A11AA"/>
    <w:rsid w:val="004A1603"/>
    <w:rsid w:val="004A21C2"/>
    <w:rsid w:val="004A248A"/>
    <w:rsid w:val="004A27A2"/>
    <w:rsid w:val="004A2885"/>
    <w:rsid w:val="004A2DE6"/>
    <w:rsid w:val="004A3059"/>
    <w:rsid w:val="004A454F"/>
    <w:rsid w:val="004A455A"/>
    <w:rsid w:val="004A45F8"/>
    <w:rsid w:val="004A4E13"/>
    <w:rsid w:val="004A51DE"/>
    <w:rsid w:val="004A5331"/>
    <w:rsid w:val="004A5AE5"/>
    <w:rsid w:val="004A5B18"/>
    <w:rsid w:val="004A69B5"/>
    <w:rsid w:val="004A6CD1"/>
    <w:rsid w:val="004A6CD3"/>
    <w:rsid w:val="004A705D"/>
    <w:rsid w:val="004A7431"/>
    <w:rsid w:val="004A743B"/>
    <w:rsid w:val="004A751E"/>
    <w:rsid w:val="004A768A"/>
    <w:rsid w:val="004A7975"/>
    <w:rsid w:val="004A7A88"/>
    <w:rsid w:val="004B00A1"/>
    <w:rsid w:val="004B0986"/>
    <w:rsid w:val="004B196A"/>
    <w:rsid w:val="004B1989"/>
    <w:rsid w:val="004B2784"/>
    <w:rsid w:val="004B2998"/>
    <w:rsid w:val="004B2B12"/>
    <w:rsid w:val="004B32A8"/>
    <w:rsid w:val="004B36DF"/>
    <w:rsid w:val="004B48FA"/>
    <w:rsid w:val="004B498F"/>
    <w:rsid w:val="004B49BB"/>
    <w:rsid w:val="004B50D9"/>
    <w:rsid w:val="004B5186"/>
    <w:rsid w:val="004B5188"/>
    <w:rsid w:val="004B51AA"/>
    <w:rsid w:val="004B526A"/>
    <w:rsid w:val="004B5371"/>
    <w:rsid w:val="004B60B8"/>
    <w:rsid w:val="004B6590"/>
    <w:rsid w:val="004B68DF"/>
    <w:rsid w:val="004B71F1"/>
    <w:rsid w:val="004C0580"/>
    <w:rsid w:val="004C11A0"/>
    <w:rsid w:val="004C16C4"/>
    <w:rsid w:val="004C19A3"/>
    <w:rsid w:val="004C1C66"/>
    <w:rsid w:val="004C1FF7"/>
    <w:rsid w:val="004C270E"/>
    <w:rsid w:val="004C27F0"/>
    <w:rsid w:val="004C292C"/>
    <w:rsid w:val="004C2D2C"/>
    <w:rsid w:val="004C2F92"/>
    <w:rsid w:val="004C4B9B"/>
    <w:rsid w:val="004C539C"/>
    <w:rsid w:val="004C562B"/>
    <w:rsid w:val="004C5900"/>
    <w:rsid w:val="004C5CDC"/>
    <w:rsid w:val="004C5CFE"/>
    <w:rsid w:val="004C6467"/>
    <w:rsid w:val="004C6475"/>
    <w:rsid w:val="004C64F0"/>
    <w:rsid w:val="004C6511"/>
    <w:rsid w:val="004C6835"/>
    <w:rsid w:val="004C6A76"/>
    <w:rsid w:val="004C71D5"/>
    <w:rsid w:val="004D0C73"/>
    <w:rsid w:val="004D0E65"/>
    <w:rsid w:val="004D17D2"/>
    <w:rsid w:val="004D1AAC"/>
    <w:rsid w:val="004D29B1"/>
    <w:rsid w:val="004D3196"/>
    <w:rsid w:val="004D3707"/>
    <w:rsid w:val="004D3ACF"/>
    <w:rsid w:val="004D3E1B"/>
    <w:rsid w:val="004D40CF"/>
    <w:rsid w:val="004D429E"/>
    <w:rsid w:val="004D5101"/>
    <w:rsid w:val="004D52A6"/>
    <w:rsid w:val="004D5AAB"/>
    <w:rsid w:val="004D692C"/>
    <w:rsid w:val="004D6DDF"/>
    <w:rsid w:val="004D700D"/>
    <w:rsid w:val="004D74AE"/>
    <w:rsid w:val="004D7754"/>
    <w:rsid w:val="004D7BFF"/>
    <w:rsid w:val="004E0927"/>
    <w:rsid w:val="004E0A93"/>
    <w:rsid w:val="004E1101"/>
    <w:rsid w:val="004E1555"/>
    <w:rsid w:val="004E1EFB"/>
    <w:rsid w:val="004E29DA"/>
    <w:rsid w:val="004E2EE3"/>
    <w:rsid w:val="004E2F75"/>
    <w:rsid w:val="004E2FF3"/>
    <w:rsid w:val="004E3185"/>
    <w:rsid w:val="004E38BB"/>
    <w:rsid w:val="004E41D3"/>
    <w:rsid w:val="004E4206"/>
    <w:rsid w:val="004E4637"/>
    <w:rsid w:val="004E4716"/>
    <w:rsid w:val="004E480E"/>
    <w:rsid w:val="004E4EE9"/>
    <w:rsid w:val="004E507D"/>
    <w:rsid w:val="004E573D"/>
    <w:rsid w:val="004E5970"/>
    <w:rsid w:val="004E5DD0"/>
    <w:rsid w:val="004E66D6"/>
    <w:rsid w:val="004E7033"/>
    <w:rsid w:val="004E7065"/>
    <w:rsid w:val="004E7791"/>
    <w:rsid w:val="004F0003"/>
    <w:rsid w:val="004F0085"/>
    <w:rsid w:val="004F0280"/>
    <w:rsid w:val="004F0CD1"/>
    <w:rsid w:val="004F0F63"/>
    <w:rsid w:val="004F216F"/>
    <w:rsid w:val="004F22D6"/>
    <w:rsid w:val="004F29D8"/>
    <w:rsid w:val="004F3043"/>
    <w:rsid w:val="004F30BB"/>
    <w:rsid w:val="004F3388"/>
    <w:rsid w:val="004F368F"/>
    <w:rsid w:val="004F384D"/>
    <w:rsid w:val="004F3DBC"/>
    <w:rsid w:val="004F4FDA"/>
    <w:rsid w:val="004F5572"/>
    <w:rsid w:val="004F5A6A"/>
    <w:rsid w:val="004F5CB6"/>
    <w:rsid w:val="004F6FE7"/>
    <w:rsid w:val="004F71D4"/>
    <w:rsid w:val="004F7692"/>
    <w:rsid w:val="005004D9"/>
    <w:rsid w:val="005004F5"/>
    <w:rsid w:val="00500FD2"/>
    <w:rsid w:val="00501119"/>
    <w:rsid w:val="00501980"/>
    <w:rsid w:val="00501BCC"/>
    <w:rsid w:val="00502698"/>
    <w:rsid w:val="00502839"/>
    <w:rsid w:val="00502C09"/>
    <w:rsid w:val="00503364"/>
    <w:rsid w:val="00503668"/>
    <w:rsid w:val="00503C42"/>
    <w:rsid w:val="005045B3"/>
    <w:rsid w:val="0050490D"/>
    <w:rsid w:val="00504CDC"/>
    <w:rsid w:val="005053F5"/>
    <w:rsid w:val="0050562B"/>
    <w:rsid w:val="00505DCA"/>
    <w:rsid w:val="00506469"/>
    <w:rsid w:val="00506885"/>
    <w:rsid w:val="00506BE1"/>
    <w:rsid w:val="005079F2"/>
    <w:rsid w:val="00507E10"/>
    <w:rsid w:val="005100A6"/>
    <w:rsid w:val="00510782"/>
    <w:rsid w:val="00510A5B"/>
    <w:rsid w:val="005111F8"/>
    <w:rsid w:val="00511378"/>
    <w:rsid w:val="00511664"/>
    <w:rsid w:val="00511731"/>
    <w:rsid w:val="00511A7E"/>
    <w:rsid w:val="00511E10"/>
    <w:rsid w:val="00512356"/>
    <w:rsid w:val="005123DF"/>
    <w:rsid w:val="005126E1"/>
    <w:rsid w:val="00512B3C"/>
    <w:rsid w:val="00512C36"/>
    <w:rsid w:val="00512D9A"/>
    <w:rsid w:val="0051317B"/>
    <w:rsid w:val="005132B0"/>
    <w:rsid w:val="0051356B"/>
    <w:rsid w:val="00514041"/>
    <w:rsid w:val="005149E3"/>
    <w:rsid w:val="00514E64"/>
    <w:rsid w:val="00514F38"/>
    <w:rsid w:val="00515E34"/>
    <w:rsid w:val="00515FCE"/>
    <w:rsid w:val="00516729"/>
    <w:rsid w:val="005170BD"/>
    <w:rsid w:val="005172E6"/>
    <w:rsid w:val="00517661"/>
    <w:rsid w:val="005201DA"/>
    <w:rsid w:val="005201DC"/>
    <w:rsid w:val="00520FE7"/>
    <w:rsid w:val="00521494"/>
    <w:rsid w:val="00521BA6"/>
    <w:rsid w:val="005232BE"/>
    <w:rsid w:val="005237B0"/>
    <w:rsid w:val="00523DA3"/>
    <w:rsid w:val="00524604"/>
    <w:rsid w:val="005249A5"/>
    <w:rsid w:val="00524CBB"/>
    <w:rsid w:val="00525DB9"/>
    <w:rsid w:val="00525DF7"/>
    <w:rsid w:val="00525E50"/>
    <w:rsid w:val="00525EBD"/>
    <w:rsid w:val="00526131"/>
    <w:rsid w:val="00526305"/>
    <w:rsid w:val="005267D3"/>
    <w:rsid w:val="0052701E"/>
    <w:rsid w:val="005276E5"/>
    <w:rsid w:val="00527908"/>
    <w:rsid w:val="00527DB9"/>
    <w:rsid w:val="00530D7C"/>
    <w:rsid w:val="005318DC"/>
    <w:rsid w:val="005324C0"/>
    <w:rsid w:val="00532602"/>
    <w:rsid w:val="005327EF"/>
    <w:rsid w:val="00532B0B"/>
    <w:rsid w:val="00532BFD"/>
    <w:rsid w:val="00532CF9"/>
    <w:rsid w:val="00532DD9"/>
    <w:rsid w:val="00533234"/>
    <w:rsid w:val="00533CA9"/>
    <w:rsid w:val="00533CD4"/>
    <w:rsid w:val="0053416E"/>
    <w:rsid w:val="00534F59"/>
    <w:rsid w:val="00535271"/>
    <w:rsid w:val="00535299"/>
    <w:rsid w:val="00535F10"/>
    <w:rsid w:val="005362A7"/>
    <w:rsid w:val="00536F9A"/>
    <w:rsid w:val="00537F61"/>
    <w:rsid w:val="00540196"/>
    <w:rsid w:val="00540DB9"/>
    <w:rsid w:val="00541360"/>
    <w:rsid w:val="005413F0"/>
    <w:rsid w:val="005420CF"/>
    <w:rsid w:val="0054215E"/>
    <w:rsid w:val="00542936"/>
    <w:rsid w:val="00542BAB"/>
    <w:rsid w:val="00543363"/>
    <w:rsid w:val="005439C4"/>
    <w:rsid w:val="0054415E"/>
    <w:rsid w:val="00544932"/>
    <w:rsid w:val="00544B09"/>
    <w:rsid w:val="0054548A"/>
    <w:rsid w:val="00545B23"/>
    <w:rsid w:val="00545B37"/>
    <w:rsid w:val="00545BB1"/>
    <w:rsid w:val="00545F99"/>
    <w:rsid w:val="0054607B"/>
    <w:rsid w:val="005460C4"/>
    <w:rsid w:val="00546233"/>
    <w:rsid w:val="005466FC"/>
    <w:rsid w:val="0054676F"/>
    <w:rsid w:val="00546964"/>
    <w:rsid w:val="00546CDF"/>
    <w:rsid w:val="00546FDE"/>
    <w:rsid w:val="0054705E"/>
    <w:rsid w:val="00547B0E"/>
    <w:rsid w:val="00547D00"/>
    <w:rsid w:val="0055066D"/>
    <w:rsid w:val="005507ED"/>
    <w:rsid w:val="0055084B"/>
    <w:rsid w:val="0055186F"/>
    <w:rsid w:val="00551AA6"/>
    <w:rsid w:val="00551B28"/>
    <w:rsid w:val="00551D9E"/>
    <w:rsid w:val="00552186"/>
    <w:rsid w:val="00552418"/>
    <w:rsid w:val="00552DDC"/>
    <w:rsid w:val="0055301E"/>
    <w:rsid w:val="00553253"/>
    <w:rsid w:val="0055360B"/>
    <w:rsid w:val="00553CA4"/>
    <w:rsid w:val="005545A9"/>
    <w:rsid w:val="005545FC"/>
    <w:rsid w:val="0055473A"/>
    <w:rsid w:val="005552B5"/>
    <w:rsid w:val="00555390"/>
    <w:rsid w:val="0055548F"/>
    <w:rsid w:val="005559A5"/>
    <w:rsid w:val="005566FA"/>
    <w:rsid w:val="005568DF"/>
    <w:rsid w:val="00556C4F"/>
    <w:rsid w:val="00556FBC"/>
    <w:rsid w:val="00557071"/>
    <w:rsid w:val="005579B8"/>
    <w:rsid w:val="00560498"/>
    <w:rsid w:val="00560637"/>
    <w:rsid w:val="005611AA"/>
    <w:rsid w:val="005614FD"/>
    <w:rsid w:val="005616D4"/>
    <w:rsid w:val="005618EA"/>
    <w:rsid w:val="005618F7"/>
    <w:rsid w:val="00561C7C"/>
    <w:rsid w:val="00561F4E"/>
    <w:rsid w:val="00561F74"/>
    <w:rsid w:val="00562482"/>
    <w:rsid w:val="00562A93"/>
    <w:rsid w:val="00562CC5"/>
    <w:rsid w:val="00562D5A"/>
    <w:rsid w:val="00562F01"/>
    <w:rsid w:val="005635AC"/>
    <w:rsid w:val="00563F6D"/>
    <w:rsid w:val="005644A8"/>
    <w:rsid w:val="00564E37"/>
    <w:rsid w:val="00565105"/>
    <w:rsid w:val="00565882"/>
    <w:rsid w:val="00565AC6"/>
    <w:rsid w:val="00565E2F"/>
    <w:rsid w:val="005660B1"/>
    <w:rsid w:val="0056632C"/>
    <w:rsid w:val="005664E6"/>
    <w:rsid w:val="00566762"/>
    <w:rsid w:val="00566B53"/>
    <w:rsid w:val="00567B2C"/>
    <w:rsid w:val="00567EF7"/>
    <w:rsid w:val="00570043"/>
    <w:rsid w:val="00570333"/>
    <w:rsid w:val="00570785"/>
    <w:rsid w:val="00570D69"/>
    <w:rsid w:val="00570D76"/>
    <w:rsid w:val="005713FE"/>
    <w:rsid w:val="00571638"/>
    <w:rsid w:val="00571F8F"/>
    <w:rsid w:val="00571FCD"/>
    <w:rsid w:val="005722FD"/>
    <w:rsid w:val="00573C43"/>
    <w:rsid w:val="00573CBD"/>
    <w:rsid w:val="005740A4"/>
    <w:rsid w:val="0057416E"/>
    <w:rsid w:val="005745AB"/>
    <w:rsid w:val="005750C6"/>
    <w:rsid w:val="005753A2"/>
    <w:rsid w:val="005758DD"/>
    <w:rsid w:val="00575A1E"/>
    <w:rsid w:val="005760A5"/>
    <w:rsid w:val="0057667D"/>
    <w:rsid w:val="00576AE6"/>
    <w:rsid w:val="00576D5F"/>
    <w:rsid w:val="005772FD"/>
    <w:rsid w:val="0057793D"/>
    <w:rsid w:val="00577BB9"/>
    <w:rsid w:val="005807A4"/>
    <w:rsid w:val="00580E03"/>
    <w:rsid w:val="00580EF2"/>
    <w:rsid w:val="00581FEA"/>
    <w:rsid w:val="005822CB"/>
    <w:rsid w:val="00582575"/>
    <w:rsid w:val="005825F2"/>
    <w:rsid w:val="0058308C"/>
    <w:rsid w:val="005832E5"/>
    <w:rsid w:val="005833E2"/>
    <w:rsid w:val="00583A4B"/>
    <w:rsid w:val="00584362"/>
    <w:rsid w:val="0058436A"/>
    <w:rsid w:val="0058447C"/>
    <w:rsid w:val="00584DCC"/>
    <w:rsid w:val="00585219"/>
    <w:rsid w:val="00585765"/>
    <w:rsid w:val="0058596B"/>
    <w:rsid w:val="00585E27"/>
    <w:rsid w:val="00586787"/>
    <w:rsid w:val="00586A6F"/>
    <w:rsid w:val="00587397"/>
    <w:rsid w:val="00587E2F"/>
    <w:rsid w:val="00590B0B"/>
    <w:rsid w:val="00591036"/>
    <w:rsid w:val="005914EF"/>
    <w:rsid w:val="00591740"/>
    <w:rsid w:val="00591E01"/>
    <w:rsid w:val="0059207F"/>
    <w:rsid w:val="00592188"/>
    <w:rsid w:val="0059220F"/>
    <w:rsid w:val="005923EB"/>
    <w:rsid w:val="00592CA1"/>
    <w:rsid w:val="005934F1"/>
    <w:rsid w:val="0059385A"/>
    <w:rsid w:val="005949B5"/>
    <w:rsid w:val="00594D08"/>
    <w:rsid w:val="00594E48"/>
    <w:rsid w:val="00595508"/>
    <w:rsid w:val="00595560"/>
    <w:rsid w:val="0059580B"/>
    <w:rsid w:val="00595B50"/>
    <w:rsid w:val="005968D1"/>
    <w:rsid w:val="00596907"/>
    <w:rsid w:val="0059715D"/>
    <w:rsid w:val="0059734E"/>
    <w:rsid w:val="005A0052"/>
    <w:rsid w:val="005A00D9"/>
    <w:rsid w:val="005A0184"/>
    <w:rsid w:val="005A05BA"/>
    <w:rsid w:val="005A08D7"/>
    <w:rsid w:val="005A0BF7"/>
    <w:rsid w:val="005A16C4"/>
    <w:rsid w:val="005A1844"/>
    <w:rsid w:val="005A18F2"/>
    <w:rsid w:val="005A1FBE"/>
    <w:rsid w:val="005A2A18"/>
    <w:rsid w:val="005A2B1E"/>
    <w:rsid w:val="005A2E0C"/>
    <w:rsid w:val="005A2FFC"/>
    <w:rsid w:val="005A310F"/>
    <w:rsid w:val="005A33FC"/>
    <w:rsid w:val="005A351E"/>
    <w:rsid w:val="005A35EC"/>
    <w:rsid w:val="005A38BA"/>
    <w:rsid w:val="005A3D3A"/>
    <w:rsid w:val="005A4020"/>
    <w:rsid w:val="005A4D72"/>
    <w:rsid w:val="005A5080"/>
    <w:rsid w:val="005A57D9"/>
    <w:rsid w:val="005A5A84"/>
    <w:rsid w:val="005A62EE"/>
    <w:rsid w:val="005A65ED"/>
    <w:rsid w:val="005A6A2F"/>
    <w:rsid w:val="005A6D86"/>
    <w:rsid w:val="005A6E16"/>
    <w:rsid w:val="005A740F"/>
    <w:rsid w:val="005A764B"/>
    <w:rsid w:val="005A7D00"/>
    <w:rsid w:val="005B054B"/>
    <w:rsid w:val="005B0671"/>
    <w:rsid w:val="005B0D49"/>
    <w:rsid w:val="005B0DD9"/>
    <w:rsid w:val="005B12D3"/>
    <w:rsid w:val="005B144F"/>
    <w:rsid w:val="005B1B5D"/>
    <w:rsid w:val="005B1BBB"/>
    <w:rsid w:val="005B28F4"/>
    <w:rsid w:val="005B2D34"/>
    <w:rsid w:val="005B2DC2"/>
    <w:rsid w:val="005B2F45"/>
    <w:rsid w:val="005B316E"/>
    <w:rsid w:val="005B340D"/>
    <w:rsid w:val="005B3E38"/>
    <w:rsid w:val="005B3F85"/>
    <w:rsid w:val="005B471C"/>
    <w:rsid w:val="005B4BB3"/>
    <w:rsid w:val="005B4E3F"/>
    <w:rsid w:val="005B4E90"/>
    <w:rsid w:val="005B51A9"/>
    <w:rsid w:val="005B52AA"/>
    <w:rsid w:val="005B53A1"/>
    <w:rsid w:val="005B577C"/>
    <w:rsid w:val="005B5877"/>
    <w:rsid w:val="005B588B"/>
    <w:rsid w:val="005B6A8B"/>
    <w:rsid w:val="005B6E21"/>
    <w:rsid w:val="005B71E2"/>
    <w:rsid w:val="005B7285"/>
    <w:rsid w:val="005B769C"/>
    <w:rsid w:val="005B78E7"/>
    <w:rsid w:val="005B7EA9"/>
    <w:rsid w:val="005C04A8"/>
    <w:rsid w:val="005C0974"/>
    <w:rsid w:val="005C11AC"/>
    <w:rsid w:val="005C11BC"/>
    <w:rsid w:val="005C1E6F"/>
    <w:rsid w:val="005C299F"/>
    <w:rsid w:val="005C2EAE"/>
    <w:rsid w:val="005C2F00"/>
    <w:rsid w:val="005C37ED"/>
    <w:rsid w:val="005C419A"/>
    <w:rsid w:val="005C472D"/>
    <w:rsid w:val="005C4791"/>
    <w:rsid w:val="005C48C6"/>
    <w:rsid w:val="005C4B1A"/>
    <w:rsid w:val="005C4BBB"/>
    <w:rsid w:val="005C4E30"/>
    <w:rsid w:val="005C5821"/>
    <w:rsid w:val="005C6723"/>
    <w:rsid w:val="005C692E"/>
    <w:rsid w:val="005C6CE0"/>
    <w:rsid w:val="005C70DA"/>
    <w:rsid w:val="005C786C"/>
    <w:rsid w:val="005C7B0D"/>
    <w:rsid w:val="005C7E4B"/>
    <w:rsid w:val="005C7F25"/>
    <w:rsid w:val="005D03C7"/>
    <w:rsid w:val="005D073C"/>
    <w:rsid w:val="005D0D95"/>
    <w:rsid w:val="005D1743"/>
    <w:rsid w:val="005D1DDD"/>
    <w:rsid w:val="005D2885"/>
    <w:rsid w:val="005D2AA1"/>
    <w:rsid w:val="005D2B7F"/>
    <w:rsid w:val="005D2B88"/>
    <w:rsid w:val="005D31CE"/>
    <w:rsid w:val="005D325F"/>
    <w:rsid w:val="005D4008"/>
    <w:rsid w:val="005D413E"/>
    <w:rsid w:val="005D433E"/>
    <w:rsid w:val="005D4507"/>
    <w:rsid w:val="005D4A76"/>
    <w:rsid w:val="005D4E91"/>
    <w:rsid w:val="005D4FBF"/>
    <w:rsid w:val="005D4FFF"/>
    <w:rsid w:val="005D5321"/>
    <w:rsid w:val="005D5B4A"/>
    <w:rsid w:val="005D5C37"/>
    <w:rsid w:val="005D5EA7"/>
    <w:rsid w:val="005D618B"/>
    <w:rsid w:val="005D618D"/>
    <w:rsid w:val="005D61A9"/>
    <w:rsid w:val="005D653B"/>
    <w:rsid w:val="005D699B"/>
    <w:rsid w:val="005D6A5E"/>
    <w:rsid w:val="005D7699"/>
    <w:rsid w:val="005E006B"/>
    <w:rsid w:val="005E0DA6"/>
    <w:rsid w:val="005E137F"/>
    <w:rsid w:val="005E1399"/>
    <w:rsid w:val="005E1F3C"/>
    <w:rsid w:val="005E1F99"/>
    <w:rsid w:val="005E2380"/>
    <w:rsid w:val="005E2A2E"/>
    <w:rsid w:val="005E305C"/>
    <w:rsid w:val="005E30C6"/>
    <w:rsid w:val="005E31C4"/>
    <w:rsid w:val="005E33F1"/>
    <w:rsid w:val="005E3BBF"/>
    <w:rsid w:val="005E3E16"/>
    <w:rsid w:val="005E3E64"/>
    <w:rsid w:val="005E41A2"/>
    <w:rsid w:val="005E42AB"/>
    <w:rsid w:val="005E4545"/>
    <w:rsid w:val="005E5809"/>
    <w:rsid w:val="005E588D"/>
    <w:rsid w:val="005E5B03"/>
    <w:rsid w:val="005E5DDA"/>
    <w:rsid w:val="005E6243"/>
    <w:rsid w:val="005E6704"/>
    <w:rsid w:val="005E6CA2"/>
    <w:rsid w:val="005E73B3"/>
    <w:rsid w:val="005E75FB"/>
    <w:rsid w:val="005E777C"/>
    <w:rsid w:val="005E7961"/>
    <w:rsid w:val="005F0694"/>
    <w:rsid w:val="005F108B"/>
    <w:rsid w:val="005F1118"/>
    <w:rsid w:val="005F1131"/>
    <w:rsid w:val="005F1FC5"/>
    <w:rsid w:val="005F3C48"/>
    <w:rsid w:val="005F4993"/>
    <w:rsid w:val="005F4A6A"/>
    <w:rsid w:val="005F4EBC"/>
    <w:rsid w:val="005F50D8"/>
    <w:rsid w:val="005F528B"/>
    <w:rsid w:val="005F5A3C"/>
    <w:rsid w:val="005F68CF"/>
    <w:rsid w:val="005F7918"/>
    <w:rsid w:val="005F7CB8"/>
    <w:rsid w:val="00600D0A"/>
    <w:rsid w:val="00600E3F"/>
    <w:rsid w:val="0060281A"/>
    <w:rsid w:val="006030C8"/>
    <w:rsid w:val="006039B5"/>
    <w:rsid w:val="00603ACF"/>
    <w:rsid w:val="006041AC"/>
    <w:rsid w:val="00604D3C"/>
    <w:rsid w:val="00605736"/>
    <w:rsid w:val="00605A5B"/>
    <w:rsid w:val="0060654F"/>
    <w:rsid w:val="006073C5"/>
    <w:rsid w:val="00607985"/>
    <w:rsid w:val="00610E93"/>
    <w:rsid w:val="00611C2D"/>
    <w:rsid w:val="0061218C"/>
    <w:rsid w:val="00612236"/>
    <w:rsid w:val="006127D3"/>
    <w:rsid w:val="00612D3C"/>
    <w:rsid w:val="00612D47"/>
    <w:rsid w:val="00612E3D"/>
    <w:rsid w:val="00613100"/>
    <w:rsid w:val="006132BA"/>
    <w:rsid w:val="006139A4"/>
    <w:rsid w:val="00613CF2"/>
    <w:rsid w:val="006144AE"/>
    <w:rsid w:val="006151A3"/>
    <w:rsid w:val="006156C5"/>
    <w:rsid w:val="006157BA"/>
    <w:rsid w:val="00615CCF"/>
    <w:rsid w:val="00615D32"/>
    <w:rsid w:val="00615EF6"/>
    <w:rsid w:val="006166B2"/>
    <w:rsid w:val="00616D1D"/>
    <w:rsid w:val="00616DA5"/>
    <w:rsid w:val="00617626"/>
    <w:rsid w:val="00617734"/>
    <w:rsid w:val="00617B39"/>
    <w:rsid w:val="006213F9"/>
    <w:rsid w:val="00621582"/>
    <w:rsid w:val="006220AA"/>
    <w:rsid w:val="00622126"/>
    <w:rsid w:val="006234E4"/>
    <w:rsid w:val="00623530"/>
    <w:rsid w:val="0062403F"/>
    <w:rsid w:val="006241D7"/>
    <w:rsid w:val="00624448"/>
    <w:rsid w:val="00624E62"/>
    <w:rsid w:val="00624F0B"/>
    <w:rsid w:val="00625074"/>
    <w:rsid w:val="00625872"/>
    <w:rsid w:val="00625C38"/>
    <w:rsid w:val="00626344"/>
    <w:rsid w:val="006268A6"/>
    <w:rsid w:val="006268F2"/>
    <w:rsid w:val="00626C3E"/>
    <w:rsid w:val="00626D74"/>
    <w:rsid w:val="00626D7B"/>
    <w:rsid w:val="0062708D"/>
    <w:rsid w:val="00627208"/>
    <w:rsid w:val="00627338"/>
    <w:rsid w:val="006274A4"/>
    <w:rsid w:val="006274C8"/>
    <w:rsid w:val="0062756F"/>
    <w:rsid w:val="00627716"/>
    <w:rsid w:val="00627E59"/>
    <w:rsid w:val="00627E82"/>
    <w:rsid w:val="00627F24"/>
    <w:rsid w:val="0063077C"/>
    <w:rsid w:val="0063099A"/>
    <w:rsid w:val="00630D73"/>
    <w:rsid w:val="0063136A"/>
    <w:rsid w:val="00631385"/>
    <w:rsid w:val="00631DE0"/>
    <w:rsid w:val="00631FB8"/>
    <w:rsid w:val="00632134"/>
    <w:rsid w:val="006321AF"/>
    <w:rsid w:val="00632237"/>
    <w:rsid w:val="006323E8"/>
    <w:rsid w:val="00632AA8"/>
    <w:rsid w:val="00632ABE"/>
    <w:rsid w:val="00633781"/>
    <w:rsid w:val="00633F53"/>
    <w:rsid w:val="006344B4"/>
    <w:rsid w:val="0063456D"/>
    <w:rsid w:val="00634706"/>
    <w:rsid w:val="006347C5"/>
    <w:rsid w:val="00634C6C"/>
    <w:rsid w:val="0063500F"/>
    <w:rsid w:val="006355E7"/>
    <w:rsid w:val="006356B5"/>
    <w:rsid w:val="006357BA"/>
    <w:rsid w:val="00635986"/>
    <w:rsid w:val="00635EFD"/>
    <w:rsid w:val="0063632C"/>
    <w:rsid w:val="006363B7"/>
    <w:rsid w:val="00636941"/>
    <w:rsid w:val="006377BA"/>
    <w:rsid w:val="0064052C"/>
    <w:rsid w:val="00640914"/>
    <w:rsid w:val="00640963"/>
    <w:rsid w:val="00640B1D"/>
    <w:rsid w:val="00640D13"/>
    <w:rsid w:val="00641693"/>
    <w:rsid w:val="00641839"/>
    <w:rsid w:val="00641B01"/>
    <w:rsid w:val="006423EA"/>
    <w:rsid w:val="00642731"/>
    <w:rsid w:val="00642F2C"/>
    <w:rsid w:val="0064304F"/>
    <w:rsid w:val="0064383F"/>
    <w:rsid w:val="00643842"/>
    <w:rsid w:val="00643A4C"/>
    <w:rsid w:val="00643D11"/>
    <w:rsid w:val="00643DF2"/>
    <w:rsid w:val="006443AA"/>
    <w:rsid w:val="006443D8"/>
    <w:rsid w:val="006447D3"/>
    <w:rsid w:val="00645162"/>
    <w:rsid w:val="00645A8A"/>
    <w:rsid w:val="00645DA4"/>
    <w:rsid w:val="006464FA"/>
    <w:rsid w:val="0064674A"/>
    <w:rsid w:val="00646AA0"/>
    <w:rsid w:val="00646BDA"/>
    <w:rsid w:val="00646D9F"/>
    <w:rsid w:val="00646F01"/>
    <w:rsid w:val="00647D79"/>
    <w:rsid w:val="00647E63"/>
    <w:rsid w:val="0065016C"/>
    <w:rsid w:val="00650654"/>
    <w:rsid w:val="0065107B"/>
    <w:rsid w:val="006512EB"/>
    <w:rsid w:val="00651AB3"/>
    <w:rsid w:val="00651DA2"/>
    <w:rsid w:val="00652B9B"/>
    <w:rsid w:val="00652ED4"/>
    <w:rsid w:val="0065399A"/>
    <w:rsid w:val="00653A32"/>
    <w:rsid w:val="00653CC4"/>
    <w:rsid w:val="00653F27"/>
    <w:rsid w:val="006540F9"/>
    <w:rsid w:val="006545F0"/>
    <w:rsid w:val="00655460"/>
    <w:rsid w:val="0065549D"/>
    <w:rsid w:val="00655D19"/>
    <w:rsid w:val="00655DF2"/>
    <w:rsid w:val="00656A35"/>
    <w:rsid w:val="00656B59"/>
    <w:rsid w:val="00656EAB"/>
    <w:rsid w:val="00657269"/>
    <w:rsid w:val="00657312"/>
    <w:rsid w:val="006577FE"/>
    <w:rsid w:val="00657E37"/>
    <w:rsid w:val="006606CA"/>
    <w:rsid w:val="006614DA"/>
    <w:rsid w:val="00661974"/>
    <w:rsid w:val="006621F1"/>
    <w:rsid w:val="00662321"/>
    <w:rsid w:val="00662B6C"/>
    <w:rsid w:val="00662D71"/>
    <w:rsid w:val="006636BC"/>
    <w:rsid w:val="00663F82"/>
    <w:rsid w:val="00664078"/>
    <w:rsid w:val="0066429E"/>
    <w:rsid w:val="00664973"/>
    <w:rsid w:val="00664A8A"/>
    <w:rsid w:val="00666366"/>
    <w:rsid w:val="00666C44"/>
    <w:rsid w:val="00666D35"/>
    <w:rsid w:val="00666E50"/>
    <w:rsid w:val="00667004"/>
    <w:rsid w:val="006670CE"/>
    <w:rsid w:val="00667A34"/>
    <w:rsid w:val="00667E80"/>
    <w:rsid w:val="00670456"/>
    <w:rsid w:val="00670704"/>
    <w:rsid w:val="0067087D"/>
    <w:rsid w:val="00670EEA"/>
    <w:rsid w:val="00670F8D"/>
    <w:rsid w:val="006719E6"/>
    <w:rsid w:val="00671D98"/>
    <w:rsid w:val="006725B5"/>
    <w:rsid w:val="0067260D"/>
    <w:rsid w:val="0067279C"/>
    <w:rsid w:val="00673264"/>
    <w:rsid w:val="00673856"/>
    <w:rsid w:val="00673B23"/>
    <w:rsid w:val="00674083"/>
    <w:rsid w:val="00674FE9"/>
    <w:rsid w:val="00675639"/>
    <w:rsid w:val="00675BF1"/>
    <w:rsid w:val="00675BFA"/>
    <w:rsid w:val="00675E39"/>
    <w:rsid w:val="00676526"/>
    <w:rsid w:val="00677FBA"/>
    <w:rsid w:val="006802C3"/>
    <w:rsid w:val="006806C5"/>
    <w:rsid w:val="00680AE8"/>
    <w:rsid w:val="00681645"/>
    <w:rsid w:val="006819FA"/>
    <w:rsid w:val="00682823"/>
    <w:rsid w:val="00682B7C"/>
    <w:rsid w:val="006841C7"/>
    <w:rsid w:val="00684236"/>
    <w:rsid w:val="006845E8"/>
    <w:rsid w:val="00684C83"/>
    <w:rsid w:val="00684F0E"/>
    <w:rsid w:val="006851ED"/>
    <w:rsid w:val="006852EE"/>
    <w:rsid w:val="00685A0B"/>
    <w:rsid w:val="0068696C"/>
    <w:rsid w:val="00686CE5"/>
    <w:rsid w:val="00687131"/>
    <w:rsid w:val="006872F9"/>
    <w:rsid w:val="0068735F"/>
    <w:rsid w:val="0069042B"/>
    <w:rsid w:val="006907E7"/>
    <w:rsid w:val="00690909"/>
    <w:rsid w:val="00690C0C"/>
    <w:rsid w:val="00690CF8"/>
    <w:rsid w:val="00690E4E"/>
    <w:rsid w:val="00691054"/>
    <w:rsid w:val="006910BE"/>
    <w:rsid w:val="00691215"/>
    <w:rsid w:val="0069176E"/>
    <w:rsid w:val="00691A7E"/>
    <w:rsid w:val="00691E5A"/>
    <w:rsid w:val="0069256E"/>
    <w:rsid w:val="00692B32"/>
    <w:rsid w:val="006939C8"/>
    <w:rsid w:val="00693A03"/>
    <w:rsid w:val="00693C2F"/>
    <w:rsid w:val="00694184"/>
    <w:rsid w:val="006941DC"/>
    <w:rsid w:val="00694ED0"/>
    <w:rsid w:val="00695E60"/>
    <w:rsid w:val="00696E96"/>
    <w:rsid w:val="00697A1B"/>
    <w:rsid w:val="006A00EC"/>
    <w:rsid w:val="006A06EC"/>
    <w:rsid w:val="006A0863"/>
    <w:rsid w:val="006A1D34"/>
    <w:rsid w:val="006A20DC"/>
    <w:rsid w:val="006A2E59"/>
    <w:rsid w:val="006A37E9"/>
    <w:rsid w:val="006A3FCB"/>
    <w:rsid w:val="006A48EB"/>
    <w:rsid w:val="006A49CB"/>
    <w:rsid w:val="006A512C"/>
    <w:rsid w:val="006A5156"/>
    <w:rsid w:val="006A5E0A"/>
    <w:rsid w:val="006A66BE"/>
    <w:rsid w:val="006A6C42"/>
    <w:rsid w:val="006A6D32"/>
    <w:rsid w:val="006A71B3"/>
    <w:rsid w:val="006A7843"/>
    <w:rsid w:val="006A7938"/>
    <w:rsid w:val="006A7A62"/>
    <w:rsid w:val="006A7B24"/>
    <w:rsid w:val="006B04BC"/>
    <w:rsid w:val="006B0CFE"/>
    <w:rsid w:val="006B0DE3"/>
    <w:rsid w:val="006B0EAB"/>
    <w:rsid w:val="006B0EE0"/>
    <w:rsid w:val="006B24A0"/>
    <w:rsid w:val="006B2916"/>
    <w:rsid w:val="006B32EB"/>
    <w:rsid w:val="006B393B"/>
    <w:rsid w:val="006B3C98"/>
    <w:rsid w:val="006B3DEC"/>
    <w:rsid w:val="006B3FBB"/>
    <w:rsid w:val="006B4155"/>
    <w:rsid w:val="006B44F7"/>
    <w:rsid w:val="006B4729"/>
    <w:rsid w:val="006B4F54"/>
    <w:rsid w:val="006B529C"/>
    <w:rsid w:val="006B539E"/>
    <w:rsid w:val="006B5417"/>
    <w:rsid w:val="006B58CE"/>
    <w:rsid w:val="006B66EB"/>
    <w:rsid w:val="006B6B1A"/>
    <w:rsid w:val="006B75A5"/>
    <w:rsid w:val="006B7700"/>
    <w:rsid w:val="006B790B"/>
    <w:rsid w:val="006C0D03"/>
    <w:rsid w:val="006C155F"/>
    <w:rsid w:val="006C176A"/>
    <w:rsid w:val="006C18A5"/>
    <w:rsid w:val="006C2A76"/>
    <w:rsid w:val="006C2D3F"/>
    <w:rsid w:val="006C2FB2"/>
    <w:rsid w:val="006C3EF4"/>
    <w:rsid w:val="006C4143"/>
    <w:rsid w:val="006C43BF"/>
    <w:rsid w:val="006C4613"/>
    <w:rsid w:val="006C5285"/>
    <w:rsid w:val="006C5323"/>
    <w:rsid w:val="006C54CF"/>
    <w:rsid w:val="006C67D3"/>
    <w:rsid w:val="006C6A92"/>
    <w:rsid w:val="006C700E"/>
    <w:rsid w:val="006C7B14"/>
    <w:rsid w:val="006D0382"/>
    <w:rsid w:val="006D0A80"/>
    <w:rsid w:val="006D0CAA"/>
    <w:rsid w:val="006D0D31"/>
    <w:rsid w:val="006D18E4"/>
    <w:rsid w:val="006D1E6B"/>
    <w:rsid w:val="006D1F85"/>
    <w:rsid w:val="006D2222"/>
    <w:rsid w:val="006D2320"/>
    <w:rsid w:val="006D35A5"/>
    <w:rsid w:val="006D4485"/>
    <w:rsid w:val="006D4A90"/>
    <w:rsid w:val="006D554A"/>
    <w:rsid w:val="006D5901"/>
    <w:rsid w:val="006D6527"/>
    <w:rsid w:val="006D69A6"/>
    <w:rsid w:val="006D6C0C"/>
    <w:rsid w:val="006D6C5E"/>
    <w:rsid w:val="006D701E"/>
    <w:rsid w:val="006D70F9"/>
    <w:rsid w:val="006D7574"/>
    <w:rsid w:val="006D793B"/>
    <w:rsid w:val="006D7B58"/>
    <w:rsid w:val="006E0FEE"/>
    <w:rsid w:val="006E1447"/>
    <w:rsid w:val="006E190D"/>
    <w:rsid w:val="006E1F0C"/>
    <w:rsid w:val="006E1F51"/>
    <w:rsid w:val="006E20FA"/>
    <w:rsid w:val="006E2F3A"/>
    <w:rsid w:val="006E3415"/>
    <w:rsid w:val="006E36C5"/>
    <w:rsid w:val="006E41BB"/>
    <w:rsid w:val="006E47E0"/>
    <w:rsid w:val="006E4A23"/>
    <w:rsid w:val="006E4E94"/>
    <w:rsid w:val="006E540A"/>
    <w:rsid w:val="006E587B"/>
    <w:rsid w:val="006E592F"/>
    <w:rsid w:val="006E5997"/>
    <w:rsid w:val="006E6DC4"/>
    <w:rsid w:val="006E7AAF"/>
    <w:rsid w:val="006E7ECC"/>
    <w:rsid w:val="006E7F7C"/>
    <w:rsid w:val="006F0038"/>
    <w:rsid w:val="006F0402"/>
    <w:rsid w:val="006F085B"/>
    <w:rsid w:val="006F0974"/>
    <w:rsid w:val="006F0C2A"/>
    <w:rsid w:val="006F0E5A"/>
    <w:rsid w:val="006F13B0"/>
    <w:rsid w:val="006F15C5"/>
    <w:rsid w:val="006F244C"/>
    <w:rsid w:val="006F2E06"/>
    <w:rsid w:val="006F31F3"/>
    <w:rsid w:val="006F32CE"/>
    <w:rsid w:val="006F369B"/>
    <w:rsid w:val="006F3BDB"/>
    <w:rsid w:val="006F4032"/>
    <w:rsid w:val="006F4287"/>
    <w:rsid w:val="006F45B5"/>
    <w:rsid w:val="006F4661"/>
    <w:rsid w:val="006F4D4E"/>
    <w:rsid w:val="006F4FCD"/>
    <w:rsid w:val="006F5795"/>
    <w:rsid w:val="006F586B"/>
    <w:rsid w:val="006F58E1"/>
    <w:rsid w:val="006F5A32"/>
    <w:rsid w:val="006F6154"/>
    <w:rsid w:val="006F67C0"/>
    <w:rsid w:val="006F7095"/>
    <w:rsid w:val="006F7A04"/>
    <w:rsid w:val="006F7AE5"/>
    <w:rsid w:val="006F7F8C"/>
    <w:rsid w:val="00700373"/>
    <w:rsid w:val="007004BA"/>
    <w:rsid w:val="00700813"/>
    <w:rsid w:val="007013DD"/>
    <w:rsid w:val="00701A28"/>
    <w:rsid w:val="007021B3"/>
    <w:rsid w:val="0070264E"/>
    <w:rsid w:val="00702673"/>
    <w:rsid w:val="00702932"/>
    <w:rsid w:val="00702C1B"/>
    <w:rsid w:val="00702F72"/>
    <w:rsid w:val="00703324"/>
    <w:rsid w:val="00703BA5"/>
    <w:rsid w:val="007040EA"/>
    <w:rsid w:val="00704949"/>
    <w:rsid w:val="00704B6A"/>
    <w:rsid w:val="007050E9"/>
    <w:rsid w:val="00705691"/>
    <w:rsid w:val="007060E0"/>
    <w:rsid w:val="007062F7"/>
    <w:rsid w:val="007063BE"/>
    <w:rsid w:val="00706430"/>
    <w:rsid w:val="00707F3C"/>
    <w:rsid w:val="007102D4"/>
    <w:rsid w:val="0071050E"/>
    <w:rsid w:val="007110FF"/>
    <w:rsid w:val="007119E0"/>
    <w:rsid w:val="007119F9"/>
    <w:rsid w:val="00711F8F"/>
    <w:rsid w:val="007121B8"/>
    <w:rsid w:val="00712389"/>
    <w:rsid w:val="00712FCB"/>
    <w:rsid w:val="007132BB"/>
    <w:rsid w:val="0071363B"/>
    <w:rsid w:val="00713DBE"/>
    <w:rsid w:val="00714784"/>
    <w:rsid w:val="007156E9"/>
    <w:rsid w:val="00716066"/>
    <w:rsid w:val="007162B9"/>
    <w:rsid w:val="00716DBD"/>
    <w:rsid w:val="00717236"/>
    <w:rsid w:val="00717D6A"/>
    <w:rsid w:val="00720AC5"/>
    <w:rsid w:val="00721C91"/>
    <w:rsid w:val="00721ECB"/>
    <w:rsid w:val="00722296"/>
    <w:rsid w:val="007224A3"/>
    <w:rsid w:val="007224D0"/>
    <w:rsid w:val="00723B7D"/>
    <w:rsid w:val="00723DE9"/>
    <w:rsid w:val="007246B8"/>
    <w:rsid w:val="00724DB5"/>
    <w:rsid w:val="00725023"/>
    <w:rsid w:val="007258E2"/>
    <w:rsid w:val="0072632F"/>
    <w:rsid w:val="0072634E"/>
    <w:rsid w:val="007263FD"/>
    <w:rsid w:val="0072795B"/>
    <w:rsid w:val="00727E5C"/>
    <w:rsid w:val="007303F3"/>
    <w:rsid w:val="00730783"/>
    <w:rsid w:val="00731806"/>
    <w:rsid w:val="00731D0F"/>
    <w:rsid w:val="007327D5"/>
    <w:rsid w:val="00732FBA"/>
    <w:rsid w:val="0073334B"/>
    <w:rsid w:val="00734B3E"/>
    <w:rsid w:val="0073508A"/>
    <w:rsid w:val="007351C4"/>
    <w:rsid w:val="00735779"/>
    <w:rsid w:val="007357F6"/>
    <w:rsid w:val="00735843"/>
    <w:rsid w:val="00735D98"/>
    <w:rsid w:val="00735E4B"/>
    <w:rsid w:val="00736199"/>
    <w:rsid w:val="00736A18"/>
    <w:rsid w:val="007375FD"/>
    <w:rsid w:val="007378C3"/>
    <w:rsid w:val="007379C6"/>
    <w:rsid w:val="00737D4E"/>
    <w:rsid w:val="00740181"/>
    <w:rsid w:val="0074050B"/>
    <w:rsid w:val="007407F6"/>
    <w:rsid w:val="00740980"/>
    <w:rsid w:val="00740A98"/>
    <w:rsid w:val="00740AE9"/>
    <w:rsid w:val="00740B13"/>
    <w:rsid w:val="00740F48"/>
    <w:rsid w:val="00740F5D"/>
    <w:rsid w:val="00741026"/>
    <w:rsid w:val="007414EC"/>
    <w:rsid w:val="007416C2"/>
    <w:rsid w:val="007419F4"/>
    <w:rsid w:val="00741A1D"/>
    <w:rsid w:val="00741C15"/>
    <w:rsid w:val="00741EAB"/>
    <w:rsid w:val="00742E13"/>
    <w:rsid w:val="00743342"/>
    <w:rsid w:val="007433A0"/>
    <w:rsid w:val="00743BC7"/>
    <w:rsid w:val="00744B0F"/>
    <w:rsid w:val="007465E5"/>
    <w:rsid w:val="00746647"/>
    <w:rsid w:val="00746863"/>
    <w:rsid w:val="00746CCD"/>
    <w:rsid w:val="00747387"/>
    <w:rsid w:val="0074758C"/>
    <w:rsid w:val="0074770C"/>
    <w:rsid w:val="00747AF2"/>
    <w:rsid w:val="007501D5"/>
    <w:rsid w:val="00750A59"/>
    <w:rsid w:val="007514F6"/>
    <w:rsid w:val="0075215E"/>
    <w:rsid w:val="007523AA"/>
    <w:rsid w:val="00752688"/>
    <w:rsid w:val="00753751"/>
    <w:rsid w:val="0075375C"/>
    <w:rsid w:val="00753B3F"/>
    <w:rsid w:val="00753E09"/>
    <w:rsid w:val="0075473F"/>
    <w:rsid w:val="00754AB8"/>
    <w:rsid w:val="00754EC1"/>
    <w:rsid w:val="007550CB"/>
    <w:rsid w:val="00755360"/>
    <w:rsid w:val="00755C07"/>
    <w:rsid w:val="00756386"/>
    <w:rsid w:val="00756AC4"/>
    <w:rsid w:val="00756DD8"/>
    <w:rsid w:val="007570EB"/>
    <w:rsid w:val="007577BD"/>
    <w:rsid w:val="00757ACB"/>
    <w:rsid w:val="00757B0B"/>
    <w:rsid w:val="00757E04"/>
    <w:rsid w:val="00760136"/>
    <w:rsid w:val="0076027C"/>
    <w:rsid w:val="00761071"/>
    <w:rsid w:val="007612F4"/>
    <w:rsid w:val="0076256B"/>
    <w:rsid w:val="00762ACC"/>
    <w:rsid w:val="00763620"/>
    <w:rsid w:val="007638EB"/>
    <w:rsid w:val="007641B5"/>
    <w:rsid w:val="00764FDF"/>
    <w:rsid w:val="00765B2A"/>
    <w:rsid w:val="00765BD6"/>
    <w:rsid w:val="00765C6B"/>
    <w:rsid w:val="00765E3B"/>
    <w:rsid w:val="00766037"/>
    <w:rsid w:val="007669A2"/>
    <w:rsid w:val="00766CAC"/>
    <w:rsid w:val="00767008"/>
    <w:rsid w:val="007674BE"/>
    <w:rsid w:val="00767B0D"/>
    <w:rsid w:val="0077004B"/>
    <w:rsid w:val="00770CD5"/>
    <w:rsid w:val="00770F49"/>
    <w:rsid w:val="0077112B"/>
    <w:rsid w:val="007714CD"/>
    <w:rsid w:val="0077231F"/>
    <w:rsid w:val="00772953"/>
    <w:rsid w:val="00772F3E"/>
    <w:rsid w:val="00773246"/>
    <w:rsid w:val="007737C6"/>
    <w:rsid w:val="00774169"/>
    <w:rsid w:val="007744C6"/>
    <w:rsid w:val="00774579"/>
    <w:rsid w:val="007747A8"/>
    <w:rsid w:val="0077488D"/>
    <w:rsid w:val="00774C45"/>
    <w:rsid w:val="0077677B"/>
    <w:rsid w:val="0077679A"/>
    <w:rsid w:val="007773FF"/>
    <w:rsid w:val="00777E2C"/>
    <w:rsid w:val="00780372"/>
    <w:rsid w:val="007804FF"/>
    <w:rsid w:val="007822EF"/>
    <w:rsid w:val="007824EB"/>
    <w:rsid w:val="007826CD"/>
    <w:rsid w:val="00782C01"/>
    <w:rsid w:val="00782F73"/>
    <w:rsid w:val="007831D1"/>
    <w:rsid w:val="007833FD"/>
    <w:rsid w:val="00783658"/>
    <w:rsid w:val="00783762"/>
    <w:rsid w:val="00783D49"/>
    <w:rsid w:val="00783EA5"/>
    <w:rsid w:val="007841E9"/>
    <w:rsid w:val="00784262"/>
    <w:rsid w:val="0078454E"/>
    <w:rsid w:val="007846E5"/>
    <w:rsid w:val="007848F9"/>
    <w:rsid w:val="007852F5"/>
    <w:rsid w:val="0078556F"/>
    <w:rsid w:val="007856E2"/>
    <w:rsid w:val="00785833"/>
    <w:rsid w:val="007859CA"/>
    <w:rsid w:val="00785A8B"/>
    <w:rsid w:val="007861D3"/>
    <w:rsid w:val="00786B01"/>
    <w:rsid w:val="0078748D"/>
    <w:rsid w:val="007875E0"/>
    <w:rsid w:val="00787F5E"/>
    <w:rsid w:val="00790559"/>
    <w:rsid w:val="007908D6"/>
    <w:rsid w:val="007908ED"/>
    <w:rsid w:val="00790B55"/>
    <w:rsid w:val="00791DBA"/>
    <w:rsid w:val="007921C8"/>
    <w:rsid w:val="00792D36"/>
    <w:rsid w:val="0079419D"/>
    <w:rsid w:val="0079460F"/>
    <w:rsid w:val="00794837"/>
    <w:rsid w:val="007949E4"/>
    <w:rsid w:val="00795474"/>
    <w:rsid w:val="007957CB"/>
    <w:rsid w:val="00796772"/>
    <w:rsid w:val="007967AE"/>
    <w:rsid w:val="00796E62"/>
    <w:rsid w:val="00796EC7"/>
    <w:rsid w:val="0079781E"/>
    <w:rsid w:val="007A034C"/>
    <w:rsid w:val="007A0E1B"/>
    <w:rsid w:val="007A117B"/>
    <w:rsid w:val="007A157F"/>
    <w:rsid w:val="007A20DF"/>
    <w:rsid w:val="007A2812"/>
    <w:rsid w:val="007A2A5E"/>
    <w:rsid w:val="007A2E6C"/>
    <w:rsid w:val="007A334C"/>
    <w:rsid w:val="007A352A"/>
    <w:rsid w:val="007A3531"/>
    <w:rsid w:val="007A3DA4"/>
    <w:rsid w:val="007A4458"/>
    <w:rsid w:val="007A4A71"/>
    <w:rsid w:val="007A4F1E"/>
    <w:rsid w:val="007A5154"/>
    <w:rsid w:val="007A53C2"/>
    <w:rsid w:val="007A6004"/>
    <w:rsid w:val="007A6468"/>
    <w:rsid w:val="007A649A"/>
    <w:rsid w:val="007A65B1"/>
    <w:rsid w:val="007A65DD"/>
    <w:rsid w:val="007A66D7"/>
    <w:rsid w:val="007A70D0"/>
    <w:rsid w:val="007A720F"/>
    <w:rsid w:val="007A739F"/>
    <w:rsid w:val="007A76EC"/>
    <w:rsid w:val="007A78D4"/>
    <w:rsid w:val="007A795F"/>
    <w:rsid w:val="007B0289"/>
    <w:rsid w:val="007B0823"/>
    <w:rsid w:val="007B0FF2"/>
    <w:rsid w:val="007B119A"/>
    <w:rsid w:val="007B196D"/>
    <w:rsid w:val="007B282C"/>
    <w:rsid w:val="007B2A8C"/>
    <w:rsid w:val="007B2AEC"/>
    <w:rsid w:val="007B3BD1"/>
    <w:rsid w:val="007B40BE"/>
    <w:rsid w:val="007B42CD"/>
    <w:rsid w:val="007B432E"/>
    <w:rsid w:val="007B479D"/>
    <w:rsid w:val="007B4D96"/>
    <w:rsid w:val="007B56E9"/>
    <w:rsid w:val="007B64DC"/>
    <w:rsid w:val="007B6700"/>
    <w:rsid w:val="007B708D"/>
    <w:rsid w:val="007C0365"/>
    <w:rsid w:val="007C07E0"/>
    <w:rsid w:val="007C08E3"/>
    <w:rsid w:val="007C1202"/>
    <w:rsid w:val="007C1DD1"/>
    <w:rsid w:val="007C2221"/>
    <w:rsid w:val="007C24CE"/>
    <w:rsid w:val="007C25BA"/>
    <w:rsid w:val="007C322F"/>
    <w:rsid w:val="007C4147"/>
    <w:rsid w:val="007C46E2"/>
    <w:rsid w:val="007C46E5"/>
    <w:rsid w:val="007C5618"/>
    <w:rsid w:val="007C5A6C"/>
    <w:rsid w:val="007C5FC5"/>
    <w:rsid w:val="007C6049"/>
    <w:rsid w:val="007C65B1"/>
    <w:rsid w:val="007C6ED2"/>
    <w:rsid w:val="007C70AF"/>
    <w:rsid w:val="007C752F"/>
    <w:rsid w:val="007C75BF"/>
    <w:rsid w:val="007C7C07"/>
    <w:rsid w:val="007C7D3B"/>
    <w:rsid w:val="007D037C"/>
    <w:rsid w:val="007D09DE"/>
    <w:rsid w:val="007D0AB7"/>
    <w:rsid w:val="007D0C9F"/>
    <w:rsid w:val="007D0EDE"/>
    <w:rsid w:val="007D128C"/>
    <w:rsid w:val="007D1477"/>
    <w:rsid w:val="007D17BA"/>
    <w:rsid w:val="007D19E0"/>
    <w:rsid w:val="007D1D6D"/>
    <w:rsid w:val="007D23E1"/>
    <w:rsid w:val="007D23EC"/>
    <w:rsid w:val="007D2685"/>
    <w:rsid w:val="007D27F3"/>
    <w:rsid w:val="007D3107"/>
    <w:rsid w:val="007D326E"/>
    <w:rsid w:val="007D334E"/>
    <w:rsid w:val="007D3444"/>
    <w:rsid w:val="007D35BA"/>
    <w:rsid w:val="007D3D1F"/>
    <w:rsid w:val="007D3F0D"/>
    <w:rsid w:val="007D465B"/>
    <w:rsid w:val="007D478F"/>
    <w:rsid w:val="007D48E7"/>
    <w:rsid w:val="007D523B"/>
    <w:rsid w:val="007D536B"/>
    <w:rsid w:val="007D53A4"/>
    <w:rsid w:val="007D547C"/>
    <w:rsid w:val="007D5837"/>
    <w:rsid w:val="007D5D2B"/>
    <w:rsid w:val="007D604F"/>
    <w:rsid w:val="007D6597"/>
    <w:rsid w:val="007D6C70"/>
    <w:rsid w:val="007D718B"/>
    <w:rsid w:val="007E002B"/>
    <w:rsid w:val="007E0868"/>
    <w:rsid w:val="007E08BA"/>
    <w:rsid w:val="007E0CED"/>
    <w:rsid w:val="007E19C9"/>
    <w:rsid w:val="007E2080"/>
    <w:rsid w:val="007E2788"/>
    <w:rsid w:val="007E27E6"/>
    <w:rsid w:val="007E3B55"/>
    <w:rsid w:val="007E3FF2"/>
    <w:rsid w:val="007E400C"/>
    <w:rsid w:val="007E40AC"/>
    <w:rsid w:val="007E4838"/>
    <w:rsid w:val="007E4BC7"/>
    <w:rsid w:val="007E4DDC"/>
    <w:rsid w:val="007E4E93"/>
    <w:rsid w:val="007E57D1"/>
    <w:rsid w:val="007E57D5"/>
    <w:rsid w:val="007E5D73"/>
    <w:rsid w:val="007E5EB0"/>
    <w:rsid w:val="007E612C"/>
    <w:rsid w:val="007E668F"/>
    <w:rsid w:val="007E6C12"/>
    <w:rsid w:val="007E7193"/>
    <w:rsid w:val="007E7450"/>
    <w:rsid w:val="007E7DB6"/>
    <w:rsid w:val="007F005A"/>
    <w:rsid w:val="007F03D1"/>
    <w:rsid w:val="007F058E"/>
    <w:rsid w:val="007F15F9"/>
    <w:rsid w:val="007F1BEE"/>
    <w:rsid w:val="007F206F"/>
    <w:rsid w:val="007F247E"/>
    <w:rsid w:val="007F29D7"/>
    <w:rsid w:val="007F2A23"/>
    <w:rsid w:val="007F2F18"/>
    <w:rsid w:val="007F3563"/>
    <w:rsid w:val="007F3672"/>
    <w:rsid w:val="007F4283"/>
    <w:rsid w:val="007F45D1"/>
    <w:rsid w:val="007F46A4"/>
    <w:rsid w:val="007F4A35"/>
    <w:rsid w:val="007F4C1B"/>
    <w:rsid w:val="007F5747"/>
    <w:rsid w:val="007F5AB0"/>
    <w:rsid w:val="007F5BC0"/>
    <w:rsid w:val="007F63DB"/>
    <w:rsid w:val="007F63E5"/>
    <w:rsid w:val="007F65D2"/>
    <w:rsid w:val="007F6995"/>
    <w:rsid w:val="007F6D46"/>
    <w:rsid w:val="007F7E39"/>
    <w:rsid w:val="00800A9B"/>
    <w:rsid w:val="00801251"/>
    <w:rsid w:val="00801954"/>
    <w:rsid w:val="00801EE6"/>
    <w:rsid w:val="008029CD"/>
    <w:rsid w:val="0080336D"/>
    <w:rsid w:val="00803471"/>
    <w:rsid w:val="00803CDE"/>
    <w:rsid w:val="00804274"/>
    <w:rsid w:val="00804364"/>
    <w:rsid w:val="008043E8"/>
    <w:rsid w:val="00804B79"/>
    <w:rsid w:val="00804D93"/>
    <w:rsid w:val="00804DBD"/>
    <w:rsid w:val="00804FC4"/>
    <w:rsid w:val="00804FEF"/>
    <w:rsid w:val="00805029"/>
    <w:rsid w:val="008051B3"/>
    <w:rsid w:val="00805D39"/>
    <w:rsid w:val="00806D4A"/>
    <w:rsid w:val="00806EA1"/>
    <w:rsid w:val="00806FB7"/>
    <w:rsid w:val="00807E91"/>
    <w:rsid w:val="00807E94"/>
    <w:rsid w:val="00807F68"/>
    <w:rsid w:val="008105E2"/>
    <w:rsid w:val="00810ABF"/>
    <w:rsid w:val="00810FBE"/>
    <w:rsid w:val="00811316"/>
    <w:rsid w:val="008113F9"/>
    <w:rsid w:val="00811604"/>
    <w:rsid w:val="00811DF7"/>
    <w:rsid w:val="00812029"/>
    <w:rsid w:val="00812CD3"/>
    <w:rsid w:val="00812F0D"/>
    <w:rsid w:val="008132B0"/>
    <w:rsid w:val="0081333C"/>
    <w:rsid w:val="008134AB"/>
    <w:rsid w:val="008146CA"/>
    <w:rsid w:val="008149DA"/>
    <w:rsid w:val="00814D7B"/>
    <w:rsid w:val="00814E86"/>
    <w:rsid w:val="008151BE"/>
    <w:rsid w:val="0081529E"/>
    <w:rsid w:val="008152C3"/>
    <w:rsid w:val="00815C5A"/>
    <w:rsid w:val="00815CFA"/>
    <w:rsid w:val="00816519"/>
    <w:rsid w:val="008168B4"/>
    <w:rsid w:val="008171ED"/>
    <w:rsid w:val="0081731D"/>
    <w:rsid w:val="0081773E"/>
    <w:rsid w:val="00820005"/>
    <w:rsid w:val="00820456"/>
    <w:rsid w:val="008205BB"/>
    <w:rsid w:val="00820AFD"/>
    <w:rsid w:val="00820EED"/>
    <w:rsid w:val="00821000"/>
    <w:rsid w:val="00821F22"/>
    <w:rsid w:val="008227A0"/>
    <w:rsid w:val="008227C0"/>
    <w:rsid w:val="00822B70"/>
    <w:rsid w:val="0082317B"/>
    <w:rsid w:val="00823BCB"/>
    <w:rsid w:val="00823C91"/>
    <w:rsid w:val="0082451B"/>
    <w:rsid w:val="008258FF"/>
    <w:rsid w:val="00825A58"/>
    <w:rsid w:val="00826141"/>
    <w:rsid w:val="008265D1"/>
    <w:rsid w:val="00826F37"/>
    <w:rsid w:val="00827FC2"/>
    <w:rsid w:val="008300A7"/>
    <w:rsid w:val="00830343"/>
    <w:rsid w:val="008303E7"/>
    <w:rsid w:val="008307B3"/>
    <w:rsid w:val="00830849"/>
    <w:rsid w:val="00830C01"/>
    <w:rsid w:val="00830DBC"/>
    <w:rsid w:val="00831003"/>
    <w:rsid w:val="0083119D"/>
    <w:rsid w:val="0083148B"/>
    <w:rsid w:val="008325FB"/>
    <w:rsid w:val="008326AC"/>
    <w:rsid w:val="0083299C"/>
    <w:rsid w:val="00832E2C"/>
    <w:rsid w:val="00832F7B"/>
    <w:rsid w:val="0083406D"/>
    <w:rsid w:val="0083445D"/>
    <w:rsid w:val="008344C4"/>
    <w:rsid w:val="00834899"/>
    <w:rsid w:val="008352B8"/>
    <w:rsid w:val="00835791"/>
    <w:rsid w:val="00835B09"/>
    <w:rsid w:val="00835F34"/>
    <w:rsid w:val="008364CE"/>
    <w:rsid w:val="0083673E"/>
    <w:rsid w:val="00836C07"/>
    <w:rsid w:val="0083701C"/>
    <w:rsid w:val="008370D3"/>
    <w:rsid w:val="008374C5"/>
    <w:rsid w:val="0084027D"/>
    <w:rsid w:val="008407DE"/>
    <w:rsid w:val="00840AD5"/>
    <w:rsid w:val="00840D0B"/>
    <w:rsid w:val="0084145C"/>
    <w:rsid w:val="00841976"/>
    <w:rsid w:val="008419C1"/>
    <w:rsid w:val="00841A0E"/>
    <w:rsid w:val="00841D43"/>
    <w:rsid w:val="00841FB1"/>
    <w:rsid w:val="00842959"/>
    <w:rsid w:val="008429B6"/>
    <w:rsid w:val="00842AD9"/>
    <w:rsid w:val="00843673"/>
    <w:rsid w:val="00843A16"/>
    <w:rsid w:val="0084412F"/>
    <w:rsid w:val="00845960"/>
    <w:rsid w:val="00845B28"/>
    <w:rsid w:val="00845D68"/>
    <w:rsid w:val="0084601F"/>
    <w:rsid w:val="0084704D"/>
    <w:rsid w:val="008472CE"/>
    <w:rsid w:val="00851AA6"/>
    <w:rsid w:val="008522BE"/>
    <w:rsid w:val="008524C0"/>
    <w:rsid w:val="008525C7"/>
    <w:rsid w:val="008528D5"/>
    <w:rsid w:val="00852FA1"/>
    <w:rsid w:val="008535F4"/>
    <w:rsid w:val="008536DC"/>
    <w:rsid w:val="00853AA9"/>
    <w:rsid w:val="0085416F"/>
    <w:rsid w:val="008542A4"/>
    <w:rsid w:val="00854767"/>
    <w:rsid w:val="00854CA1"/>
    <w:rsid w:val="00855344"/>
    <w:rsid w:val="00855E36"/>
    <w:rsid w:val="00856B9F"/>
    <w:rsid w:val="00857249"/>
    <w:rsid w:val="008572B0"/>
    <w:rsid w:val="00857587"/>
    <w:rsid w:val="008575C9"/>
    <w:rsid w:val="0085771B"/>
    <w:rsid w:val="00857F0C"/>
    <w:rsid w:val="00860DF9"/>
    <w:rsid w:val="00860FED"/>
    <w:rsid w:val="00861386"/>
    <w:rsid w:val="00861915"/>
    <w:rsid w:val="00861DA8"/>
    <w:rsid w:val="00862A4D"/>
    <w:rsid w:val="00862ADE"/>
    <w:rsid w:val="00862D88"/>
    <w:rsid w:val="0086304F"/>
    <w:rsid w:val="008638F7"/>
    <w:rsid w:val="0086430D"/>
    <w:rsid w:val="00864440"/>
    <w:rsid w:val="00864530"/>
    <w:rsid w:val="0086473D"/>
    <w:rsid w:val="00865052"/>
    <w:rsid w:val="00865A40"/>
    <w:rsid w:val="00865DF7"/>
    <w:rsid w:val="00865FD0"/>
    <w:rsid w:val="0086610B"/>
    <w:rsid w:val="008666A1"/>
    <w:rsid w:val="00866A06"/>
    <w:rsid w:val="00866AD7"/>
    <w:rsid w:val="00866C4A"/>
    <w:rsid w:val="00867379"/>
    <w:rsid w:val="0086776F"/>
    <w:rsid w:val="00867817"/>
    <w:rsid w:val="0086796A"/>
    <w:rsid w:val="00870613"/>
    <w:rsid w:val="008707BE"/>
    <w:rsid w:val="008709CD"/>
    <w:rsid w:val="00870BA3"/>
    <w:rsid w:val="0087133B"/>
    <w:rsid w:val="00871FA8"/>
    <w:rsid w:val="0087278E"/>
    <w:rsid w:val="00872F49"/>
    <w:rsid w:val="00873186"/>
    <w:rsid w:val="00873C39"/>
    <w:rsid w:val="00873CCE"/>
    <w:rsid w:val="008741F0"/>
    <w:rsid w:val="008743CE"/>
    <w:rsid w:val="00874A91"/>
    <w:rsid w:val="00874BB4"/>
    <w:rsid w:val="0087544B"/>
    <w:rsid w:val="0087591A"/>
    <w:rsid w:val="008766B1"/>
    <w:rsid w:val="00876762"/>
    <w:rsid w:val="00876FEF"/>
    <w:rsid w:val="0087790D"/>
    <w:rsid w:val="00877B87"/>
    <w:rsid w:val="00877D45"/>
    <w:rsid w:val="00877EAE"/>
    <w:rsid w:val="008800DB"/>
    <w:rsid w:val="008806D7"/>
    <w:rsid w:val="0088072C"/>
    <w:rsid w:val="008817B1"/>
    <w:rsid w:val="008821C8"/>
    <w:rsid w:val="00882834"/>
    <w:rsid w:val="00882997"/>
    <w:rsid w:val="008832D1"/>
    <w:rsid w:val="00883AAF"/>
    <w:rsid w:val="00884D8C"/>
    <w:rsid w:val="008854E5"/>
    <w:rsid w:val="00885FC6"/>
    <w:rsid w:val="00886B0C"/>
    <w:rsid w:val="00886B2A"/>
    <w:rsid w:val="00887142"/>
    <w:rsid w:val="0088765B"/>
    <w:rsid w:val="008909AD"/>
    <w:rsid w:val="00890E63"/>
    <w:rsid w:val="00891E19"/>
    <w:rsid w:val="0089261F"/>
    <w:rsid w:val="00892E33"/>
    <w:rsid w:val="0089363F"/>
    <w:rsid w:val="00893983"/>
    <w:rsid w:val="00893C85"/>
    <w:rsid w:val="008944C0"/>
    <w:rsid w:val="008945F8"/>
    <w:rsid w:val="00894D11"/>
    <w:rsid w:val="00894D50"/>
    <w:rsid w:val="008950E4"/>
    <w:rsid w:val="00895702"/>
    <w:rsid w:val="00895B10"/>
    <w:rsid w:val="00895C80"/>
    <w:rsid w:val="0089606C"/>
    <w:rsid w:val="0089611F"/>
    <w:rsid w:val="00896800"/>
    <w:rsid w:val="00897175"/>
    <w:rsid w:val="008973FF"/>
    <w:rsid w:val="008974D7"/>
    <w:rsid w:val="00897D0E"/>
    <w:rsid w:val="008A08A1"/>
    <w:rsid w:val="008A13D2"/>
    <w:rsid w:val="008A1CBD"/>
    <w:rsid w:val="008A2494"/>
    <w:rsid w:val="008A2689"/>
    <w:rsid w:val="008A2A1D"/>
    <w:rsid w:val="008A2C46"/>
    <w:rsid w:val="008A2D83"/>
    <w:rsid w:val="008A30F6"/>
    <w:rsid w:val="008A373C"/>
    <w:rsid w:val="008A3E4A"/>
    <w:rsid w:val="008A3EA2"/>
    <w:rsid w:val="008A4377"/>
    <w:rsid w:val="008A46B8"/>
    <w:rsid w:val="008A4757"/>
    <w:rsid w:val="008A4C2E"/>
    <w:rsid w:val="008A52CB"/>
    <w:rsid w:val="008A564D"/>
    <w:rsid w:val="008A5676"/>
    <w:rsid w:val="008A5CC2"/>
    <w:rsid w:val="008A5D70"/>
    <w:rsid w:val="008A6437"/>
    <w:rsid w:val="008A649C"/>
    <w:rsid w:val="008A68F3"/>
    <w:rsid w:val="008A6ADE"/>
    <w:rsid w:val="008A6CD2"/>
    <w:rsid w:val="008A72F9"/>
    <w:rsid w:val="008B137B"/>
    <w:rsid w:val="008B23F1"/>
    <w:rsid w:val="008B2508"/>
    <w:rsid w:val="008B278D"/>
    <w:rsid w:val="008B27B7"/>
    <w:rsid w:val="008B2DD3"/>
    <w:rsid w:val="008B3AA3"/>
    <w:rsid w:val="008B4062"/>
    <w:rsid w:val="008B4377"/>
    <w:rsid w:val="008B58DD"/>
    <w:rsid w:val="008B5BD9"/>
    <w:rsid w:val="008B6812"/>
    <w:rsid w:val="008B6A46"/>
    <w:rsid w:val="008B6F89"/>
    <w:rsid w:val="008B7368"/>
    <w:rsid w:val="008B77DA"/>
    <w:rsid w:val="008C00E7"/>
    <w:rsid w:val="008C025D"/>
    <w:rsid w:val="008C0348"/>
    <w:rsid w:val="008C0ADC"/>
    <w:rsid w:val="008C190C"/>
    <w:rsid w:val="008C1C66"/>
    <w:rsid w:val="008C2E4C"/>
    <w:rsid w:val="008C3003"/>
    <w:rsid w:val="008C33CD"/>
    <w:rsid w:val="008C40F4"/>
    <w:rsid w:val="008C4360"/>
    <w:rsid w:val="008C572C"/>
    <w:rsid w:val="008C592E"/>
    <w:rsid w:val="008C5954"/>
    <w:rsid w:val="008C5A4A"/>
    <w:rsid w:val="008C6BD6"/>
    <w:rsid w:val="008C6C38"/>
    <w:rsid w:val="008C76B9"/>
    <w:rsid w:val="008D0C1F"/>
    <w:rsid w:val="008D0C48"/>
    <w:rsid w:val="008D183D"/>
    <w:rsid w:val="008D1926"/>
    <w:rsid w:val="008D1CD2"/>
    <w:rsid w:val="008D294F"/>
    <w:rsid w:val="008D2D6F"/>
    <w:rsid w:val="008D31CE"/>
    <w:rsid w:val="008D3B4A"/>
    <w:rsid w:val="008D3F02"/>
    <w:rsid w:val="008D440A"/>
    <w:rsid w:val="008D451B"/>
    <w:rsid w:val="008D5330"/>
    <w:rsid w:val="008D553F"/>
    <w:rsid w:val="008D5A03"/>
    <w:rsid w:val="008D5CCE"/>
    <w:rsid w:val="008D6773"/>
    <w:rsid w:val="008D67F0"/>
    <w:rsid w:val="008D6B0A"/>
    <w:rsid w:val="008D7506"/>
    <w:rsid w:val="008D76A4"/>
    <w:rsid w:val="008D7D2C"/>
    <w:rsid w:val="008E0A85"/>
    <w:rsid w:val="008E0E0F"/>
    <w:rsid w:val="008E1116"/>
    <w:rsid w:val="008E130F"/>
    <w:rsid w:val="008E1AA1"/>
    <w:rsid w:val="008E2090"/>
    <w:rsid w:val="008E2745"/>
    <w:rsid w:val="008E2ED5"/>
    <w:rsid w:val="008E2F96"/>
    <w:rsid w:val="008E36B9"/>
    <w:rsid w:val="008E39D6"/>
    <w:rsid w:val="008E3AFC"/>
    <w:rsid w:val="008E3BE0"/>
    <w:rsid w:val="008E3C8F"/>
    <w:rsid w:val="008E3D12"/>
    <w:rsid w:val="008E4032"/>
    <w:rsid w:val="008E4040"/>
    <w:rsid w:val="008E4B63"/>
    <w:rsid w:val="008E4D46"/>
    <w:rsid w:val="008E5CE9"/>
    <w:rsid w:val="008E6543"/>
    <w:rsid w:val="008E6753"/>
    <w:rsid w:val="008E6C2A"/>
    <w:rsid w:val="008E6C2F"/>
    <w:rsid w:val="008E700C"/>
    <w:rsid w:val="008E733B"/>
    <w:rsid w:val="008E7BBE"/>
    <w:rsid w:val="008F05CA"/>
    <w:rsid w:val="008F0C46"/>
    <w:rsid w:val="008F0D24"/>
    <w:rsid w:val="008F16D6"/>
    <w:rsid w:val="008F1775"/>
    <w:rsid w:val="008F1C3B"/>
    <w:rsid w:val="008F1E11"/>
    <w:rsid w:val="008F247E"/>
    <w:rsid w:val="008F2C8F"/>
    <w:rsid w:val="008F336B"/>
    <w:rsid w:val="008F3BE5"/>
    <w:rsid w:val="008F42FE"/>
    <w:rsid w:val="008F43C7"/>
    <w:rsid w:val="008F4560"/>
    <w:rsid w:val="008F46B6"/>
    <w:rsid w:val="008F4A6A"/>
    <w:rsid w:val="008F4BAA"/>
    <w:rsid w:val="008F50DB"/>
    <w:rsid w:val="008F512C"/>
    <w:rsid w:val="008F5357"/>
    <w:rsid w:val="008F56D7"/>
    <w:rsid w:val="008F572F"/>
    <w:rsid w:val="008F59DD"/>
    <w:rsid w:val="008F5A1E"/>
    <w:rsid w:val="008F5C06"/>
    <w:rsid w:val="008F5C9E"/>
    <w:rsid w:val="008F644D"/>
    <w:rsid w:val="008F6C2D"/>
    <w:rsid w:val="008F6C46"/>
    <w:rsid w:val="008F76C3"/>
    <w:rsid w:val="008F7D79"/>
    <w:rsid w:val="008F7FA2"/>
    <w:rsid w:val="00900097"/>
    <w:rsid w:val="0090040A"/>
    <w:rsid w:val="009013A2"/>
    <w:rsid w:val="0090147D"/>
    <w:rsid w:val="00901BAF"/>
    <w:rsid w:val="009020C1"/>
    <w:rsid w:val="009021C9"/>
    <w:rsid w:val="00902281"/>
    <w:rsid w:val="009022A4"/>
    <w:rsid w:val="0090272D"/>
    <w:rsid w:val="009037A4"/>
    <w:rsid w:val="00903A6D"/>
    <w:rsid w:val="00903D7B"/>
    <w:rsid w:val="00903F80"/>
    <w:rsid w:val="0090438C"/>
    <w:rsid w:val="009047DD"/>
    <w:rsid w:val="00904B09"/>
    <w:rsid w:val="00904D8E"/>
    <w:rsid w:val="009051AD"/>
    <w:rsid w:val="009054BE"/>
    <w:rsid w:val="00905C00"/>
    <w:rsid w:val="00905E50"/>
    <w:rsid w:val="00905F9E"/>
    <w:rsid w:val="0090635B"/>
    <w:rsid w:val="00906398"/>
    <w:rsid w:val="009063A3"/>
    <w:rsid w:val="00906AEF"/>
    <w:rsid w:val="00907782"/>
    <w:rsid w:val="009078CD"/>
    <w:rsid w:val="00907A01"/>
    <w:rsid w:val="00907B0F"/>
    <w:rsid w:val="00907EDE"/>
    <w:rsid w:val="0091047F"/>
    <w:rsid w:val="009108A3"/>
    <w:rsid w:val="009110BC"/>
    <w:rsid w:val="00911217"/>
    <w:rsid w:val="009113DE"/>
    <w:rsid w:val="0091189A"/>
    <w:rsid w:val="00912698"/>
    <w:rsid w:val="009126A5"/>
    <w:rsid w:val="00912C11"/>
    <w:rsid w:val="00912EEB"/>
    <w:rsid w:val="009139AD"/>
    <w:rsid w:val="0091443E"/>
    <w:rsid w:val="00914606"/>
    <w:rsid w:val="00914A02"/>
    <w:rsid w:val="00914C00"/>
    <w:rsid w:val="0091501D"/>
    <w:rsid w:val="009150C9"/>
    <w:rsid w:val="009155DA"/>
    <w:rsid w:val="00915A54"/>
    <w:rsid w:val="00915E83"/>
    <w:rsid w:val="00915EF2"/>
    <w:rsid w:val="00915FA3"/>
    <w:rsid w:val="00916F2A"/>
    <w:rsid w:val="00920439"/>
    <w:rsid w:val="00920C70"/>
    <w:rsid w:val="00920D11"/>
    <w:rsid w:val="00921DE1"/>
    <w:rsid w:val="0092218B"/>
    <w:rsid w:val="00922792"/>
    <w:rsid w:val="00922AF8"/>
    <w:rsid w:val="00922ECC"/>
    <w:rsid w:val="00924D91"/>
    <w:rsid w:val="0092514B"/>
    <w:rsid w:val="009251D5"/>
    <w:rsid w:val="00925E51"/>
    <w:rsid w:val="00925E8E"/>
    <w:rsid w:val="00926208"/>
    <w:rsid w:val="00927112"/>
    <w:rsid w:val="00927284"/>
    <w:rsid w:val="0092755C"/>
    <w:rsid w:val="009275F0"/>
    <w:rsid w:val="00927995"/>
    <w:rsid w:val="009301D7"/>
    <w:rsid w:val="0093089E"/>
    <w:rsid w:val="00931057"/>
    <w:rsid w:val="00931656"/>
    <w:rsid w:val="009319DE"/>
    <w:rsid w:val="00931A6E"/>
    <w:rsid w:val="00931BE8"/>
    <w:rsid w:val="00931EC6"/>
    <w:rsid w:val="009322B8"/>
    <w:rsid w:val="009330FF"/>
    <w:rsid w:val="0093402D"/>
    <w:rsid w:val="009347D0"/>
    <w:rsid w:val="009348B6"/>
    <w:rsid w:val="00934943"/>
    <w:rsid w:val="0093496B"/>
    <w:rsid w:val="009361A3"/>
    <w:rsid w:val="00936463"/>
    <w:rsid w:val="00937D39"/>
    <w:rsid w:val="009403F8"/>
    <w:rsid w:val="00940D17"/>
    <w:rsid w:val="0094161A"/>
    <w:rsid w:val="00942287"/>
    <w:rsid w:val="00942EBE"/>
    <w:rsid w:val="009434C0"/>
    <w:rsid w:val="00943C3F"/>
    <w:rsid w:val="00943F14"/>
    <w:rsid w:val="0094431A"/>
    <w:rsid w:val="0094443B"/>
    <w:rsid w:val="009444CE"/>
    <w:rsid w:val="00944BF6"/>
    <w:rsid w:val="00944D13"/>
    <w:rsid w:val="00944EFD"/>
    <w:rsid w:val="009455A6"/>
    <w:rsid w:val="00945A7F"/>
    <w:rsid w:val="00945AB0"/>
    <w:rsid w:val="0094640D"/>
    <w:rsid w:val="00946F27"/>
    <w:rsid w:val="0094734F"/>
    <w:rsid w:val="009473D8"/>
    <w:rsid w:val="00947D16"/>
    <w:rsid w:val="0095033E"/>
    <w:rsid w:val="00950D95"/>
    <w:rsid w:val="00950E22"/>
    <w:rsid w:val="00950F3E"/>
    <w:rsid w:val="00951AF9"/>
    <w:rsid w:val="00951FBA"/>
    <w:rsid w:val="009523DB"/>
    <w:rsid w:val="00952659"/>
    <w:rsid w:val="00952AF3"/>
    <w:rsid w:val="00952CA7"/>
    <w:rsid w:val="00952D5D"/>
    <w:rsid w:val="00952DF8"/>
    <w:rsid w:val="00953068"/>
    <w:rsid w:val="00953A94"/>
    <w:rsid w:val="00954256"/>
    <w:rsid w:val="00954A8B"/>
    <w:rsid w:val="00955211"/>
    <w:rsid w:val="009557D5"/>
    <w:rsid w:val="00955C31"/>
    <w:rsid w:val="00956389"/>
    <w:rsid w:val="009563C4"/>
    <w:rsid w:val="009567CF"/>
    <w:rsid w:val="009567EA"/>
    <w:rsid w:val="00956A2A"/>
    <w:rsid w:val="00956AD9"/>
    <w:rsid w:val="00956E23"/>
    <w:rsid w:val="0095715E"/>
    <w:rsid w:val="009608F3"/>
    <w:rsid w:val="00960919"/>
    <w:rsid w:val="00960CB7"/>
    <w:rsid w:val="00960E6A"/>
    <w:rsid w:val="009610E8"/>
    <w:rsid w:val="00961372"/>
    <w:rsid w:val="00961603"/>
    <w:rsid w:val="00961AD9"/>
    <w:rsid w:val="00961B67"/>
    <w:rsid w:val="00961BED"/>
    <w:rsid w:val="00962252"/>
    <w:rsid w:val="00962BBF"/>
    <w:rsid w:val="00962D1A"/>
    <w:rsid w:val="00963494"/>
    <w:rsid w:val="00963E11"/>
    <w:rsid w:val="009642C9"/>
    <w:rsid w:val="00964E50"/>
    <w:rsid w:val="00965068"/>
    <w:rsid w:val="00965A43"/>
    <w:rsid w:val="00965E3E"/>
    <w:rsid w:val="00965F49"/>
    <w:rsid w:val="00966AAA"/>
    <w:rsid w:val="00966BCF"/>
    <w:rsid w:val="00967194"/>
    <w:rsid w:val="00967489"/>
    <w:rsid w:val="009677C6"/>
    <w:rsid w:val="009678F8"/>
    <w:rsid w:val="00970529"/>
    <w:rsid w:val="009705A0"/>
    <w:rsid w:val="00970809"/>
    <w:rsid w:val="00970859"/>
    <w:rsid w:val="00970CED"/>
    <w:rsid w:val="00970D1D"/>
    <w:rsid w:val="00971FEC"/>
    <w:rsid w:val="009720A6"/>
    <w:rsid w:val="009721F4"/>
    <w:rsid w:val="009724BA"/>
    <w:rsid w:val="009729BB"/>
    <w:rsid w:val="0097338D"/>
    <w:rsid w:val="00973959"/>
    <w:rsid w:val="00973FEA"/>
    <w:rsid w:val="009740C3"/>
    <w:rsid w:val="009749C7"/>
    <w:rsid w:val="009761D5"/>
    <w:rsid w:val="009765CD"/>
    <w:rsid w:val="00977030"/>
    <w:rsid w:val="00977418"/>
    <w:rsid w:val="00977F94"/>
    <w:rsid w:val="0098002B"/>
    <w:rsid w:val="00980187"/>
    <w:rsid w:val="0098025D"/>
    <w:rsid w:val="009809C6"/>
    <w:rsid w:val="00982A2C"/>
    <w:rsid w:val="00982A65"/>
    <w:rsid w:val="00982AB6"/>
    <w:rsid w:val="00982D70"/>
    <w:rsid w:val="00982F1B"/>
    <w:rsid w:val="00983525"/>
    <w:rsid w:val="00983A25"/>
    <w:rsid w:val="00983C45"/>
    <w:rsid w:val="009840AA"/>
    <w:rsid w:val="009844F1"/>
    <w:rsid w:val="0098457B"/>
    <w:rsid w:val="00984609"/>
    <w:rsid w:val="009849A8"/>
    <w:rsid w:val="00984A7F"/>
    <w:rsid w:val="00984BB7"/>
    <w:rsid w:val="00984D97"/>
    <w:rsid w:val="00984E9C"/>
    <w:rsid w:val="0098534C"/>
    <w:rsid w:val="00985857"/>
    <w:rsid w:val="00985C0C"/>
    <w:rsid w:val="00985C10"/>
    <w:rsid w:val="00985F36"/>
    <w:rsid w:val="00986D33"/>
    <w:rsid w:val="009876F0"/>
    <w:rsid w:val="00987D5D"/>
    <w:rsid w:val="00990911"/>
    <w:rsid w:val="0099123A"/>
    <w:rsid w:val="009918A6"/>
    <w:rsid w:val="00991979"/>
    <w:rsid w:val="00992019"/>
    <w:rsid w:val="0099221B"/>
    <w:rsid w:val="0099264F"/>
    <w:rsid w:val="009938EE"/>
    <w:rsid w:val="00993C6C"/>
    <w:rsid w:val="009940E6"/>
    <w:rsid w:val="009949A7"/>
    <w:rsid w:val="009956F3"/>
    <w:rsid w:val="00995AC6"/>
    <w:rsid w:val="00995C80"/>
    <w:rsid w:val="00995E7B"/>
    <w:rsid w:val="00996283"/>
    <w:rsid w:val="009A0229"/>
    <w:rsid w:val="009A0382"/>
    <w:rsid w:val="009A03CD"/>
    <w:rsid w:val="009A076E"/>
    <w:rsid w:val="009A0EA1"/>
    <w:rsid w:val="009A106F"/>
    <w:rsid w:val="009A12CC"/>
    <w:rsid w:val="009A2C2D"/>
    <w:rsid w:val="009A2FFD"/>
    <w:rsid w:val="009A3496"/>
    <w:rsid w:val="009A38FF"/>
    <w:rsid w:val="009A3A68"/>
    <w:rsid w:val="009A3E82"/>
    <w:rsid w:val="009A3FEA"/>
    <w:rsid w:val="009A404F"/>
    <w:rsid w:val="009A52D4"/>
    <w:rsid w:val="009A5481"/>
    <w:rsid w:val="009A54D9"/>
    <w:rsid w:val="009A603B"/>
    <w:rsid w:val="009A62CF"/>
    <w:rsid w:val="009A6513"/>
    <w:rsid w:val="009A6BD9"/>
    <w:rsid w:val="009A7704"/>
    <w:rsid w:val="009A7C9C"/>
    <w:rsid w:val="009B0581"/>
    <w:rsid w:val="009B06F7"/>
    <w:rsid w:val="009B08F5"/>
    <w:rsid w:val="009B0C9D"/>
    <w:rsid w:val="009B0CAE"/>
    <w:rsid w:val="009B16FA"/>
    <w:rsid w:val="009B188A"/>
    <w:rsid w:val="009B1B69"/>
    <w:rsid w:val="009B22A9"/>
    <w:rsid w:val="009B22F7"/>
    <w:rsid w:val="009B285B"/>
    <w:rsid w:val="009B2A7F"/>
    <w:rsid w:val="009B400C"/>
    <w:rsid w:val="009B4350"/>
    <w:rsid w:val="009B4990"/>
    <w:rsid w:val="009B4DE1"/>
    <w:rsid w:val="009B4DEB"/>
    <w:rsid w:val="009B4F57"/>
    <w:rsid w:val="009B4F85"/>
    <w:rsid w:val="009B57B5"/>
    <w:rsid w:val="009B5B4A"/>
    <w:rsid w:val="009B5CB2"/>
    <w:rsid w:val="009B67D8"/>
    <w:rsid w:val="009B6A5D"/>
    <w:rsid w:val="009B6B88"/>
    <w:rsid w:val="009B6DFC"/>
    <w:rsid w:val="009B73AE"/>
    <w:rsid w:val="009B7ED8"/>
    <w:rsid w:val="009C0344"/>
    <w:rsid w:val="009C0388"/>
    <w:rsid w:val="009C04ED"/>
    <w:rsid w:val="009C0F46"/>
    <w:rsid w:val="009C28E3"/>
    <w:rsid w:val="009C2925"/>
    <w:rsid w:val="009C297D"/>
    <w:rsid w:val="009C2A32"/>
    <w:rsid w:val="009C2E2F"/>
    <w:rsid w:val="009C33E2"/>
    <w:rsid w:val="009C3903"/>
    <w:rsid w:val="009C3BE6"/>
    <w:rsid w:val="009C4838"/>
    <w:rsid w:val="009C491F"/>
    <w:rsid w:val="009C49B5"/>
    <w:rsid w:val="009C4A1F"/>
    <w:rsid w:val="009C4B15"/>
    <w:rsid w:val="009C4F19"/>
    <w:rsid w:val="009C4FAF"/>
    <w:rsid w:val="009C534C"/>
    <w:rsid w:val="009C58B5"/>
    <w:rsid w:val="009C5D54"/>
    <w:rsid w:val="009C617B"/>
    <w:rsid w:val="009C6243"/>
    <w:rsid w:val="009C64BA"/>
    <w:rsid w:val="009C68DD"/>
    <w:rsid w:val="009C75BB"/>
    <w:rsid w:val="009C7BD3"/>
    <w:rsid w:val="009C7BE7"/>
    <w:rsid w:val="009C7C76"/>
    <w:rsid w:val="009D0A76"/>
    <w:rsid w:val="009D116B"/>
    <w:rsid w:val="009D2350"/>
    <w:rsid w:val="009D245A"/>
    <w:rsid w:val="009D274F"/>
    <w:rsid w:val="009D2AC4"/>
    <w:rsid w:val="009D314B"/>
    <w:rsid w:val="009D3836"/>
    <w:rsid w:val="009D49C4"/>
    <w:rsid w:val="009D4A65"/>
    <w:rsid w:val="009D4A8F"/>
    <w:rsid w:val="009D4CEE"/>
    <w:rsid w:val="009D528D"/>
    <w:rsid w:val="009D60FC"/>
    <w:rsid w:val="009D69E2"/>
    <w:rsid w:val="009D6B8B"/>
    <w:rsid w:val="009D6D71"/>
    <w:rsid w:val="009D6E7E"/>
    <w:rsid w:val="009E0122"/>
    <w:rsid w:val="009E079B"/>
    <w:rsid w:val="009E1024"/>
    <w:rsid w:val="009E1CC1"/>
    <w:rsid w:val="009E1DEF"/>
    <w:rsid w:val="009E2311"/>
    <w:rsid w:val="009E27F6"/>
    <w:rsid w:val="009E30F5"/>
    <w:rsid w:val="009E3EF7"/>
    <w:rsid w:val="009E4077"/>
    <w:rsid w:val="009E408C"/>
    <w:rsid w:val="009E4231"/>
    <w:rsid w:val="009E457A"/>
    <w:rsid w:val="009E46C4"/>
    <w:rsid w:val="009E4FD2"/>
    <w:rsid w:val="009E5415"/>
    <w:rsid w:val="009E5928"/>
    <w:rsid w:val="009E5A16"/>
    <w:rsid w:val="009E5EBA"/>
    <w:rsid w:val="009E6760"/>
    <w:rsid w:val="009E68C0"/>
    <w:rsid w:val="009E6916"/>
    <w:rsid w:val="009E6DA9"/>
    <w:rsid w:val="009E7098"/>
    <w:rsid w:val="009E7754"/>
    <w:rsid w:val="009E7AA8"/>
    <w:rsid w:val="009F01D0"/>
    <w:rsid w:val="009F0206"/>
    <w:rsid w:val="009F05E3"/>
    <w:rsid w:val="009F07E5"/>
    <w:rsid w:val="009F0A46"/>
    <w:rsid w:val="009F0CE7"/>
    <w:rsid w:val="009F22F5"/>
    <w:rsid w:val="009F2790"/>
    <w:rsid w:val="009F2AC7"/>
    <w:rsid w:val="009F3B14"/>
    <w:rsid w:val="009F3B30"/>
    <w:rsid w:val="009F3F4B"/>
    <w:rsid w:val="009F42D9"/>
    <w:rsid w:val="009F4952"/>
    <w:rsid w:val="009F4EBB"/>
    <w:rsid w:val="009F5150"/>
    <w:rsid w:val="009F568D"/>
    <w:rsid w:val="009F59DA"/>
    <w:rsid w:val="009F5B72"/>
    <w:rsid w:val="009F6EEE"/>
    <w:rsid w:val="009F7C1A"/>
    <w:rsid w:val="00A0019D"/>
    <w:rsid w:val="00A007B2"/>
    <w:rsid w:val="00A00EB7"/>
    <w:rsid w:val="00A01DFC"/>
    <w:rsid w:val="00A0214C"/>
    <w:rsid w:val="00A02454"/>
    <w:rsid w:val="00A03439"/>
    <w:rsid w:val="00A04040"/>
    <w:rsid w:val="00A0425E"/>
    <w:rsid w:val="00A0438D"/>
    <w:rsid w:val="00A0476A"/>
    <w:rsid w:val="00A04A4B"/>
    <w:rsid w:val="00A04EBC"/>
    <w:rsid w:val="00A05464"/>
    <w:rsid w:val="00A064FC"/>
    <w:rsid w:val="00A06DE6"/>
    <w:rsid w:val="00A070FC"/>
    <w:rsid w:val="00A07218"/>
    <w:rsid w:val="00A07D2E"/>
    <w:rsid w:val="00A10973"/>
    <w:rsid w:val="00A110F3"/>
    <w:rsid w:val="00A11D4E"/>
    <w:rsid w:val="00A122C1"/>
    <w:rsid w:val="00A12ABA"/>
    <w:rsid w:val="00A13068"/>
    <w:rsid w:val="00A1324F"/>
    <w:rsid w:val="00A137C4"/>
    <w:rsid w:val="00A13AC4"/>
    <w:rsid w:val="00A14B35"/>
    <w:rsid w:val="00A14D0F"/>
    <w:rsid w:val="00A15C3C"/>
    <w:rsid w:val="00A15CF5"/>
    <w:rsid w:val="00A1700C"/>
    <w:rsid w:val="00A17C41"/>
    <w:rsid w:val="00A20235"/>
    <w:rsid w:val="00A2040B"/>
    <w:rsid w:val="00A20AB7"/>
    <w:rsid w:val="00A20B6F"/>
    <w:rsid w:val="00A216D1"/>
    <w:rsid w:val="00A218A8"/>
    <w:rsid w:val="00A21A7E"/>
    <w:rsid w:val="00A21FF0"/>
    <w:rsid w:val="00A221C4"/>
    <w:rsid w:val="00A22590"/>
    <w:rsid w:val="00A227C6"/>
    <w:rsid w:val="00A22C83"/>
    <w:rsid w:val="00A23262"/>
    <w:rsid w:val="00A237B5"/>
    <w:rsid w:val="00A23AB1"/>
    <w:rsid w:val="00A2487E"/>
    <w:rsid w:val="00A24BBF"/>
    <w:rsid w:val="00A24E19"/>
    <w:rsid w:val="00A25ABA"/>
    <w:rsid w:val="00A26177"/>
    <w:rsid w:val="00A266C9"/>
    <w:rsid w:val="00A26812"/>
    <w:rsid w:val="00A2756E"/>
    <w:rsid w:val="00A27594"/>
    <w:rsid w:val="00A2796D"/>
    <w:rsid w:val="00A30444"/>
    <w:rsid w:val="00A304F0"/>
    <w:rsid w:val="00A31913"/>
    <w:rsid w:val="00A31F4C"/>
    <w:rsid w:val="00A31FF0"/>
    <w:rsid w:val="00A32595"/>
    <w:rsid w:val="00A32771"/>
    <w:rsid w:val="00A32A4D"/>
    <w:rsid w:val="00A32D8E"/>
    <w:rsid w:val="00A3313D"/>
    <w:rsid w:val="00A33178"/>
    <w:rsid w:val="00A33190"/>
    <w:rsid w:val="00A33A44"/>
    <w:rsid w:val="00A33B7D"/>
    <w:rsid w:val="00A341B4"/>
    <w:rsid w:val="00A34467"/>
    <w:rsid w:val="00A34750"/>
    <w:rsid w:val="00A34B05"/>
    <w:rsid w:val="00A34E6F"/>
    <w:rsid w:val="00A353D3"/>
    <w:rsid w:val="00A353E1"/>
    <w:rsid w:val="00A355E8"/>
    <w:rsid w:val="00A35F39"/>
    <w:rsid w:val="00A3648F"/>
    <w:rsid w:val="00A36658"/>
    <w:rsid w:val="00A36A05"/>
    <w:rsid w:val="00A37008"/>
    <w:rsid w:val="00A37904"/>
    <w:rsid w:val="00A37CE3"/>
    <w:rsid w:val="00A403A7"/>
    <w:rsid w:val="00A40543"/>
    <w:rsid w:val="00A40CB2"/>
    <w:rsid w:val="00A40FC7"/>
    <w:rsid w:val="00A41214"/>
    <w:rsid w:val="00A41A1E"/>
    <w:rsid w:val="00A41D82"/>
    <w:rsid w:val="00A42734"/>
    <w:rsid w:val="00A427AA"/>
    <w:rsid w:val="00A42A96"/>
    <w:rsid w:val="00A43346"/>
    <w:rsid w:val="00A4362A"/>
    <w:rsid w:val="00A43AFE"/>
    <w:rsid w:val="00A43DAB"/>
    <w:rsid w:val="00A43DEC"/>
    <w:rsid w:val="00A4498E"/>
    <w:rsid w:val="00A45601"/>
    <w:rsid w:val="00A45998"/>
    <w:rsid w:val="00A45BA7"/>
    <w:rsid w:val="00A4602A"/>
    <w:rsid w:val="00A4602C"/>
    <w:rsid w:val="00A4649E"/>
    <w:rsid w:val="00A467C6"/>
    <w:rsid w:val="00A46B0B"/>
    <w:rsid w:val="00A46E0C"/>
    <w:rsid w:val="00A46EFC"/>
    <w:rsid w:val="00A46F7E"/>
    <w:rsid w:val="00A470F0"/>
    <w:rsid w:val="00A4736A"/>
    <w:rsid w:val="00A4754A"/>
    <w:rsid w:val="00A47BEF"/>
    <w:rsid w:val="00A47FC4"/>
    <w:rsid w:val="00A501F0"/>
    <w:rsid w:val="00A50506"/>
    <w:rsid w:val="00A50C92"/>
    <w:rsid w:val="00A50D79"/>
    <w:rsid w:val="00A511E7"/>
    <w:rsid w:val="00A5141C"/>
    <w:rsid w:val="00A51738"/>
    <w:rsid w:val="00A52197"/>
    <w:rsid w:val="00A52D12"/>
    <w:rsid w:val="00A54851"/>
    <w:rsid w:val="00A557EB"/>
    <w:rsid w:val="00A56271"/>
    <w:rsid w:val="00A5667A"/>
    <w:rsid w:val="00A569DD"/>
    <w:rsid w:val="00A56AD1"/>
    <w:rsid w:val="00A57485"/>
    <w:rsid w:val="00A57732"/>
    <w:rsid w:val="00A5795E"/>
    <w:rsid w:val="00A57DF5"/>
    <w:rsid w:val="00A57F6E"/>
    <w:rsid w:val="00A57F88"/>
    <w:rsid w:val="00A6027A"/>
    <w:rsid w:val="00A612C8"/>
    <w:rsid w:val="00A6146D"/>
    <w:rsid w:val="00A61695"/>
    <w:rsid w:val="00A61D03"/>
    <w:rsid w:val="00A62E75"/>
    <w:rsid w:val="00A634FE"/>
    <w:rsid w:val="00A63828"/>
    <w:rsid w:val="00A63DED"/>
    <w:rsid w:val="00A64132"/>
    <w:rsid w:val="00A648C9"/>
    <w:rsid w:val="00A64985"/>
    <w:rsid w:val="00A64F1B"/>
    <w:rsid w:val="00A65668"/>
    <w:rsid w:val="00A657EE"/>
    <w:rsid w:val="00A6586B"/>
    <w:rsid w:val="00A65979"/>
    <w:rsid w:val="00A66103"/>
    <w:rsid w:val="00A666AE"/>
    <w:rsid w:val="00A669D8"/>
    <w:rsid w:val="00A66B77"/>
    <w:rsid w:val="00A66DB2"/>
    <w:rsid w:val="00A678EA"/>
    <w:rsid w:val="00A67B5D"/>
    <w:rsid w:val="00A67C0C"/>
    <w:rsid w:val="00A70336"/>
    <w:rsid w:val="00A70429"/>
    <w:rsid w:val="00A709FC"/>
    <w:rsid w:val="00A710C2"/>
    <w:rsid w:val="00A7127A"/>
    <w:rsid w:val="00A713B6"/>
    <w:rsid w:val="00A71CCA"/>
    <w:rsid w:val="00A71D06"/>
    <w:rsid w:val="00A723ED"/>
    <w:rsid w:val="00A72A27"/>
    <w:rsid w:val="00A7372E"/>
    <w:rsid w:val="00A73CA6"/>
    <w:rsid w:val="00A73FD4"/>
    <w:rsid w:val="00A73FDB"/>
    <w:rsid w:val="00A742AC"/>
    <w:rsid w:val="00A74618"/>
    <w:rsid w:val="00A74E59"/>
    <w:rsid w:val="00A75D3D"/>
    <w:rsid w:val="00A75E70"/>
    <w:rsid w:val="00A7662E"/>
    <w:rsid w:val="00A76783"/>
    <w:rsid w:val="00A76B40"/>
    <w:rsid w:val="00A76DD3"/>
    <w:rsid w:val="00A76FE7"/>
    <w:rsid w:val="00A77912"/>
    <w:rsid w:val="00A77CBC"/>
    <w:rsid w:val="00A80872"/>
    <w:rsid w:val="00A808CA"/>
    <w:rsid w:val="00A80A18"/>
    <w:rsid w:val="00A80D05"/>
    <w:rsid w:val="00A81839"/>
    <w:rsid w:val="00A82600"/>
    <w:rsid w:val="00A826C4"/>
    <w:rsid w:val="00A82A8F"/>
    <w:rsid w:val="00A82E2E"/>
    <w:rsid w:val="00A836F9"/>
    <w:rsid w:val="00A83B0C"/>
    <w:rsid w:val="00A84FD5"/>
    <w:rsid w:val="00A851A6"/>
    <w:rsid w:val="00A857AB"/>
    <w:rsid w:val="00A85954"/>
    <w:rsid w:val="00A859DB"/>
    <w:rsid w:val="00A859E3"/>
    <w:rsid w:val="00A85AB6"/>
    <w:rsid w:val="00A85E76"/>
    <w:rsid w:val="00A86E75"/>
    <w:rsid w:val="00A86F0F"/>
    <w:rsid w:val="00A87378"/>
    <w:rsid w:val="00A8749F"/>
    <w:rsid w:val="00A874CD"/>
    <w:rsid w:val="00A87625"/>
    <w:rsid w:val="00A879B9"/>
    <w:rsid w:val="00A9021D"/>
    <w:rsid w:val="00A905B4"/>
    <w:rsid w:val="00A907AA"/>
    <w:rsid w:val="00A90AF2"/>
    <w:rsid w:val="00A90BAB"/>
    <w:rsid w:val="00A9148A"/>
    <w:rsid w:val="00A9152A"/>
    <w:rsid w:val="00A915BB"/>
    <w:rsid w:val="00A91E74"/>
    <w:rsid w:val="00A91EF1"/>
    <w:rsid w:val="00A92990"/>
    <w:rsid w:val="00A92CFA"/>
    <w:rsid w:val="00A931E9"/>
    <w:rsid w:val="00A93427"/>
    <w:rsid w:val="00A93900"/>
    <w:rsid w:val="00A93A33"/>
    <w:rsid w:val="00A93AE9"/>
    <w:rsid w:val="00A93F83"/>
    <w:rsid w:val="00A940D1"/>
    <w:rsid w:val="00A943AA"/>
    <w:rsid w:val="00A94891"/>
    <w:rsid w:val="00A94FA5"/>
    <w:rsid w:val="00A95337"/>
    <w:rsid w:val="00A956FE"/>
    <w:rsid w:val="00A95771"/>
    <w:rsid w:val="00A95AA1"/>
    <w:rsid w:val="00A962BD"/>
    <w:rsid w:val="00A96BBF"/>
    <w:rsid w:val="00A96D41"/>
    <w:rsid w:val="00A96F2C"/>
    <w:rsid w:val="00A9749B"/>
    <w:rsid w:val="00A974C2"/>
    <w:rsid w:val="00AA0119"/>
    <w:rsid w:val="00AA03D9"/>
    <w:rsid w:val="00AA0AA6"/>
    <w:rsid w:val="00AA16FB"/>
    <w:rsid w:val="00AA1FEB"/>
    <w:rsid w:val="00AA2AA8"/>
    <w:rsid w:val="00AA32F1"/>
    <w:rsid w:val="00AA365E"/>
    <w:rsid w:val="00AA36B6"/>
    <w:rsid w:val="00AA389A"/>
    <w:rsid w:val="00AA3A5A"/>
    <w:rsid w:val="00AA4E7A"/>
    <w:rsid w:val="00AA52BF"/>
    <w:rsid w:val="00AA58D3"/>
    <w:rsid w:val="00AA5BC5"/>
    <w:rsid w:val="00AA5C14"/>
    <w:rsid w:val="00AA5C54"/>
    <w:rsid w:val="00AA5DAA"/>
    <w:rsid w:val="00AA67F1"/>
    <w:rsid w:val="00AA7303"/>
    <w:rsid w:val="00AA75AE"/>
    <w:rsid w:val="00AA7B93"/>
    <w:rsid w:val="00AA7E21"/>
    <w:rsid w:val="00AB03FE"/>
    <w:rsid w:val="00AB0686"/>
    <w:rsid w:val="00AB08DF"/>
    <w:rsid w:val="00AB0B34"/>
    <w:rsid w:val="00AB130A"/>
    <w:rsid w:val="00AB180A"/>
    <w:rsid w:val="00AB1A34"/>
    <w:rsid w:val="00AB1F9E"/>
    <w:rsid w:val="00AB2152"/>
    <w:rsid w:val="00AB27AB"/>
    <w:rsid w:val="00AB2FD8"/>
    <w:rsid w:val="00AB30F7"/>
    <w:rsid w:val="00AB3723"/>
    <w:rsid w:val="00AB3B0C"/>
    <w:rsid w:val="00AB3E22"/>
    <w:rsid w:val="00AB4000"/>
    <w:rsid w:val="00AB4F7D"/>
    <w:rsid w:val="00AB527D"/>
    <w:rsid w:val="00AB5DAD"/>
    <w:rsid w:val="00AB64F7"/>
    <w:rsid w:val="00AB6B93"/>
    <w:rsid w:val="00AB799A"/>
    <w:rsid w:val="00AB79AB"/>
    <w:rsid w:val="00AB7BEA"/>
    <w:rsid w:val="00AB7F94"/>
    <w:rsid w:val="00AC03DB"/>
    <w:rsid w:val="00AC137A"/>
    <w:rsid w:val="00AC2374"/>
    <w:rsid w:val="00AC296B"/>
    <w:rsid w:val="00AC2B53"/>
    <w:rsid w:val="00AC2D3B"/>
    <w:rsid w:val="00AC2DAA"/>
    <w:rsid w:val="00AC316F"/>
    <w:rsid w:val="00AC3361"/>
    <w:rsid w:val="00AC3785"/>
    <w:rsid w:val="00AC39FB"/>
    <w:rsid w:val="00AC3DB3"/>
    <w:rsid w:val="00AC4CA7"/>
    <w:rsid w:val="00AC4D20"/>
    <w:rsid w:val="00AC551A"/>
    <w:rsid w:val="00AC554C"/>
    <w:rsid w:val="00AC5C88"/>
    <w:rsid w:val="00AC64A5"/>
    <w:rsid w:val="00AC66EC"/>
    <w:rsid w:val="00AC677A"/>
    <w:rsid w:val="00AC690D"/>
    <w:rsid w:val="00AC6AD0"/>
    <w:rsid w:val="00AC6B70"/>
    <w:rsid w:val="00AC6E70"/>
    <w:rsid w:val="00AC7526"/>
    <w:rsid w:val="00AC7554"/>
    <w:rsid w:val="00AD14AD"/>
    <w:rsid w:val="00AD1568"/>
    <w:rsid w:val="00AD194F"/>
    <w:rsid w:val="00AD249B"/>
    <w:rsid w:val="00AD32B4"/>
    <w:rsid w:val="00AD34E7"/>
    <w:rsid w:val="00AD38B3"/>
    <w:rsid w:val="00AD3D13"/>
    <w:rsid w:val="00AD42CE"/>
    <w:rsid w:val="00AD43A0"/>
    <w:rsid w:val="00AD4EAF"/>
    <w:rsid w:val="00AD5B37"/>
    <w:rsid w:val="00AD65B5"/>
    <w:rsid w:val="00AD73D8"/>
    <w:rsid w:val="00AD7A35"/>
    <w:rsid w:val="00AD7BFD"/>
    <w:rsid w:val="00AE0BAB"/>
    <w:rsid w:val="00AE0BC8"/>
    <w:rsid w:val="00AE1538"/>
    <w:rsid w:val="00AE1ADA"/>
    <w:rsid w:val="00AE21DB"/>
    <w:rsid w:val="00AE2306"/>
    <w:rsid w:val="00AE25A9"/>
    <w:rsid w:val="00AE2A45"/>
    <w:rsid w:val="00AE2BE9"/>
    <w:rsid w:val="00AE2D0D"/>
    <w:rsid w:val="00AE321E"/>
    <w:rsid w:val="00AE37DC"/>
    <w:rsid w:val="00AE389E"/>
    <w:rsid w:val="00AE462B"/>
    <w:rsid w:val="00AE47CA"/>
    <w:rsid w:val="00AE481A"/>
    <w:rsid w:val="00AE4E71"/>
    <w:rsid w:val="00AE51CB"/>
    <w:rsid w:val="00AE5447"/>
    <w:rsid w:val="00AE5654"/>
    <w:rsid w:val="00AE574E"/>
    <w:rsid w:val="00AE575A"/>
    <w:rsid w:val="00AE5B4D"/>
    <w:rsid w:val="00AE5EB2"/>
    <w:rsid w:val="00AE681C"/>
    <w:rsid w:val="00AE7047"/>
    <w:rsid w:val="00AE715D"/>
    <w:rsid w:val="00AE7579"/>
    <w:rsid w:val="00AF02C5"/>
    <w:rsid w:val="00AF089C"/>
    <w:rsid w:val="00AF0BC5"/>
    <w:rsid w:val="00AF1564"/>
    <w:rsid w:val="00AF16AA"/>
    <w:rsid w:val="00AF22A0"/>
    <w:rsid w:val="00AF3654"/>
    <w:rsid w:val="00AF3DA2"/>
    <w:rsid w:val="00AF412E"/>
    <w:rsid w:val="00AF41A6"/>
    <w:rsid w:val="00AF4651"/>
    <w:rsid w:val="00AF4D44"/>
    <w:rsid w:val="00AF53AA"/>
    <w:rsid w:val="00AF55FA"/>
    <w:rsid w:val="00AF57DE"/>
    <w:rsid w:val="00AF5C1F"/>
    <w:rsid w:val="00AF676E"/>
    <w:rsid w:val="00AF67FA"/>
    <w:rsid w:val="00AF68F5"/>
    <w:rsid w:val="00AF6C54"/>
    <w:rsid w:val="00AF726B"/>
    <w:rsid w:val="00AF7334"/>
    <w:rsid w:val="00AF7782"/>
    <w:rsid w:val="00AF7B6C"/>
    <w:rsid w:val="00B007FC"/>
    <w:rsid w:val="00B00EFD"/>
    <w:rsid w:val="00B02196"/>
    <w:rsid w:val="00B02514"/>
    <w:rsid w:val="00B02958"/>
    <w:rsid w:val="00B02B6A"/>
    <w:rsid w:val="00B02DC1"/>
    <w:rsid w:val="00B02F12"/>
    <w:rsid w:val="00B02F40"/>
    <w:rsid w:val="00B03B75"/>
    <w:rsid w:val="00B03C83"/>
    <w:rsid w:val="00B03E15"/>
    <w:rsid w:val="00B03E37"/>
    <w:rsid w:val="00B03FF3"/>
    <w:rsid w:val="00B04230"/>
    <w:rsid w:val="00B04A4F"/>
    <w:rsid w:val="00B04DAF"/>
    <w:rsid w:val="00B05391"/>
    <w:rsid w:val="00B053FF"/>
    <w:rsid w:val="00B054F8"/>
    <w:rsid w:val="00B055B7"/>
    <w:rsid w:val="00B056C5"/>
    <w:rsid w:val="00B05927"/>
    <w:rsid w:val="00B060E8"/>
    <w:rsid w:val="00B0618D"/>
    <w:rsid w:val="00B06945"/>
    <w:rsid w:val="00B06E1A"/>
    <w:rsid w:val="00B06E72"/>
    <w:rsid w:val="00B06F15"/>
    <w:rsid w:val="00B07DF0"/>
    <w:rsid w:val="00B104EB"/>
    <w:rsid w:val="00B106B2"/>
    <w:rsid w:val="00B109A5"/>
    <w:rsid w:val="00B109A7"/>
    <w:rsid w:val="00B10EC1"/>
    <w:rsid w:val="00B11CFD"/>
    <w:rsid w:val="00B11E92"/>
    <w:rsid w:val="00B123BA"/>
    <w:rsid w:val="00B128B7"/>
    <w:rsid w:val="00B128FC"/>
    <w:rsid w:val="00B12FE7"/>
    <w:rsid w:val="00B13032"/>
    <w:rsid w:val="00B13306"/>
    <w:rsid w:val="00B13D7A"/>
    <w:rsid w:val="00B14479"/>
    <w:rsid w:val="00B14529"/>
    <w:rsid w:val="00B147CF"/>
    <w:rsid w:val="00B149C2"/>
    <w:rsid w:val="00B149FB"/>
    <w:rsid w:val="00B14A60"/>
    <w:rsid w:val="00B14C6C"/>
    <w:rsid w:val="00B15028"/>
    <w:rsid w:val="00B1510F"/>
    <w:rsid w:val="00B154D1"/>
    <w:rsid w:val="00B1576F"/>
    <w:rsid w:val="00B15814"/>
    <w:rsid w:val="00B15E6E"/>
    <w:rsid w:val="00B1651B"/>
    <w:rsid w:val="00B16791"/>
    <w:rsid w:val="00B173B2"/>
    <w:rsid w:val="00B17A8F"/>
    <w:rsid w:val="00B17DBC"/>
    <w:rsid w:val="00B17F20"/>
    <w:rsid w:val="00B2016E"/>
    <w:rsid w:val="00B20398"/>
    <w:rsid w:val="00B20B45"/>
    <w:rsid w:val="00B210CF"/>
    <w:rsid w:val="00B21102"/>
    <w:rsid w:val="00B21569"/>
    <w:rsid w:val="00B21D6A"/>
    <w:rsid w:val="00B21FE2"/>
    <w:rsid w:val="00B222CD"/>
    <w:rsid w:val="00B2318F"/>
    <w:rsid w:val="00B231E8"/>
    <w:rsid w:val="00B23216"/>
    <w:rsid w:val="00B23B3A"/>
    <w:rsid w:val="00B2532C"/>
    <w:rsid w:val="00B25617"/>
    <w:rsid w:val="00B2618C"/>
    <w:rsid w:val="00B261AF"/>
    <w:rsid w:val="00B26311"/>
    <w:rsid w:val="00B2654B"/>
    <w:rsid w:val="00B26692"/>
    <w:rsid w:val="00B26802"/>
    <w:rsid w:val="00B26CF6"/>
    <w:rsid w:val="00B307D6"/>
    <w:rsid w:val="00B30B6E"/>
    <w:rsid w:val="00B30C1B"/>
    <w:rsid w:val="00B3136B"/>
    <w:rsid w:val="00B31757"/>
    <w:rsid w:val="00B318A8"/>
    <w:rsid w:val="00B3299C"/>
    <w:rsid w:val="00B32A15"/>
    <w:rsid w:val="00B32CE4"/>
    <w:rsid w:val="00B330B6"/>
    <w:rsid w:val="00B33BDB"/>
    <w:rsid w:val="00B3423D"/>
    <w:rsid w:val="00B3447C"/>
    <w:rsid w:val="00B34655"/>
    <w:rsid w:val="00B34FD2"/>
    <w:rsid w:val="00B351C0"/>
    <w:rsid w:val="00B355EB"/>
    <w:rsid w:val="00B3568D"/>
    <w:rsid w:val="00B35718"/>
    <w:rsid w:val="00B35793"/>
    <w:rsid w:val="00B35895"/>
    <w:rsid w:val="00B3598E"/>
    <w:rsid w:val="00B35C1D"/>
    <w:rsid w:val="00B35FE3"/>
    <w:rsid w:val="00B36400"/>
    <w:rsid w:val="00B36476"/>
    <w:rsid w:val="00B369B1"/>
    <w:rsid w:val="00B36C86"/>
    <w:rsid w:val="00B37E4A"/>
    <w:rsid w:val="00B4059C"/>
    <w:rsid w:val="00B405BC"/>
    <w:rsid w:val="00B4067C"/>
    <w:rsid w:val="00B40B61"/>
    <w:rsid w:val="00B40F60"/>
    <w:rsid w:val="00B4117D"/>
    <w:rsid w:val="00B4127A"/>
    <w:rsid w:val="00B4185C"/>
    <w:rsid w:val="00B41D1C"/>
    <w:rsid w:val="00B424A6"/>
    <w:rsid w:val="00B424ED"/>
    <w:rsid w:val="00B42530"/>
    <w:rsid w:val="00B42847"/>
    <w:rsid w:val="00B43076"/>
    <w:rsid w:val="00B435DB"/>
    <w:rsid w:val="00B4378D"/>
    <w:rsid w:val="00B4388E"/>
    <w:rsid w:val="00B439BD"/>
    <w:rsid w:val="00B43E7F"/>
    <w:rsid w:val="00B43EA7"/>
    <w:rsid w:val="00B441D4"/>
    <w:rsid w:val="00B44843"/>
    <w:rsid w:val="00B44865"/>
    <w:rsid w:val="00B44E44"/>
    <w:rsid w:val="00B44F51"/>
    <w:rsid w:val="00B4503B"/>
    <w:rsid w:val="00B45C1D"/>
    <w:rsid w:val="00B46842"/>
    <w:rsid w:val="00B47F0C"/>
    <w:rsid w:val="00B500BF"/>
    <w:rsid w:val="00B503E1"/>
    <w:rsid w:val="00B509B4"/>
    <w:rsid w:val="00B5172D"/>
    <w:rsid w:val="00B51E3C"/>
    <w:rsid w:val="00B52262"/>
    <w:rsid w:val="00B52559"/>
    <w:rsid w:val="00B52623"/>
    <w:rsid w:val="00B528C5"/>
    <w:rsid w:val="00B52FDD"/>
    <w:rsid w:val="00B547CC"/>
    <w:rsid w:val="00B549C6"/>
    <w:rsid w:val="00B54D06"/>
    <w:rsid w:val="00B54D94"/>
    <w:rsid w:val="00B55E07"/>
    <w:rsid w:val="00B55E26"/>
    <w:rsid w:val="00B56C13"/>
    <w:rsid w:val="00B56DBE"/>
    <w:rsid w:val="00B570FA"/>
    <w:rsid w:val="00B57115"/>
    <w:rsid w:val="00B576A9"/>
    <w:rsid w:val="00B576C7"/>
    <w:rsid w:val="00B5789C"/>
    <w:rsid w:val="00B57D06"/>
    <w:rsid w:val="00B57D29"/>
    <w:rsid w:val="00B57FDE"/>
    <w:rsid w:val="00B60254"/>
    <w:rsid w:val="00B60AB0"/>
    <w:rsid w:val="00B60CBE"/>
    <w:rsid w:val="00B60DC5"/>
    <w:rsid w:val="00B60DD9"/>
    <w:rsid w:val="00B60E60"/>
    <w:rsid w:val="00B61236"/>
    <w:rsid w:val="00B612C6"/>
    <w:rsid w:val="00B612FF"/>
    <w:rsid w:val="00B6181A"/>
    <w:rsid w:val="00B61B1D"/>
    <w:rsid w:val="00B61E36"/>
    <w:rsid w:val="00B61ECB"/>
    <w:rsid w:val="00B6235A"/>
    <w:rsid w:val="00B62F8F"/>
    <w:rsid w:val="00B6305D"/>
    <w:rsid w:val="00B636FF"/>
    <w:rsid w:val="00B63D76"/>
    <w:rsid w:val="00B63F81"/>
    <w:rsid w:val="00B64C56"/>
    <w:rsid w:val="00B65004"/>
    <w:rsid w:val="00B65024"/>
    <w:rsid w:val="00B650C4"/>
    <w:rsid w:val="00B657DC"/>
    <w:rsid w:val="00B65950"/>
    <w:rsid w:val="00B6625D"/>
    <w:rsid w:val="00B66268"/>
    <w:rsid w:val="00B66561"/>
    <w:rsid w:val="00B66B63"/>
    <w:rsid w:val="00B66EF3"/>
    <w:rsid w:val="00B671D0"/>
    <w:rsid w:val="00B67B32"/>
    <w:rsid w:val="00B67DD6"/>
    <w:rsid w:val="00B70092"/>
    <w:rsid w:val="00B700DF"/>
    <w:rsid w:val="00B709F9"/>
    <w:rsid w:val="00B70DA4"/>
    <w:rsid w:val="00B710C0"/>
    <w:rsid w:val="00B71F68"/>
    <w:rsid w:val="00B7200B"/>
    <w:rsid w:val="00B723B5"/>
    <w:rsid w:val="00B72ACD"/>
    <w:rsid w:val="00B73093"/>
    <w:rsid w:val="00B73864"/>
    <w:rsid w:val="00B73B94"/>
    <w:rsid w:val="00B74322"/>
    <w:rsid w:val="00B75744"/>
    <w:rsid w:val="00B758CE"/>
    <w:rsid w:val="00B75A6C"/>
    <w:rsid w:val="00B75F10"/>
    <w:rsid w:val="00B7620E"/>
    <w:rsid w:val="00B762C0"/>
    <w:rsid w:val="00B778B4"/>
    <w:rsid w:val="00B779DB"/>
    <w:rsid w:val="00B77B66"/>
    <w:rsid w:val="00B8087F"/>
    <w:rsid w:val="00B80B42"/>
    <w:rsid w:val="00B80B64"/>
    <w:rsid w:val="00B811B3"/>
    <w:rsid w:val="00B8189D"/>
    <w:rsid w:val="00B81B00"/>
    <w:rsid w:val="00B81F3F"/>
    <w:rsid w:val="00B8204A"/>
    <w:rsid w:val="00B82C6A"/>
    <w:rsid w:val="00B82EEF"/>
    <w:rsid w:val="00B835E8"/>
    <w:rsid w:val="00B835F0"/>
    <w:rsid w:val="00B83824"/>
    <w:rsid w:val="00B83C50"/>
    <w:rsid w:val="00B83EAC"/>
    <w:rsid w:val="00B83F1E"/>
    <w:rsid w:val="00B845DF"/>
    <w:rsid w:val="00B84D7C"/>
    <w:rsid w:val="00B84DA8"/>
    <w:rsid w:val="00B85287"/>
    <w:rsid w:val="00B8550A"/>
    <w:rsid w:val="00B8581A"/>
    <w:rsid w:val="00B85A9C"/>
    <w:rsid w:val="00B85D62"/>
    <w:rsid w:val="00B85E45"/>
    <w:rsid w:val="00B85E6D"/>
    <w:rsid w:val="00B86135"/>
    <w:rsid w:val="00B86433"/>
    <w:rsid w:val="00B86671"/>
    <w:rsid w:val="00B8681B"/>
    <w:rsid w:val="00B86D14"/>
    <w:rsid w:val="00B9077E"/>
    <w:rsid w:val="00B9079A"/>
    <w:rsid w:val="00B9079B"/>
    <w:rsid w:val="00B909FF"/>
    <w:rsid w:val="00B91232"/>
    <w:rsid w:val="00B9158D"/>
    <w:rsid w:val="00B91BA7"/>
    <w:rsid w:val="00B92069"/>
    <w:rsid w:val="00B923AB"/>
    <w:rsid w:val="00B92577"/>
    <w:rsid w:val="00B925E9"/>
    <w:rsid w:val="00B93F1F"/>
    <w:rsid w:val="00B94377"/>
    <w:rsid w:val="00B94571"/>
    <w:rsid w:val="00B94971"/>
    <w:rsid w:val="00B94CFC"/>
    <w:rsid w:val="00B95549"/>
    <w:rsid w:val="00B9583D"/>
    <w:rsid w:val="00B963A8"/>
    <w:rsid w:val="00B96830"/>
    <w:rsid w:val="00B975C8"/>
    <w:rsid w:val="00B9774B"/>
    <w:rsid w:val="00BA026A"/>
    <w:rsid w:val="00BA0352"/>
    <w:rsid w:val="00BA145B"/>
    <w:rsid w:val="00BA1D68"/>
    <w:rsid w:val="00BA1DEF"/>
    <w:rsid w:val="00BA2BF0"/>
    <w:rsid w:val="00BA2D47"/>
    <w:rsid w:val="00BA3272"/>
    <w:rsid w:val="00BA3873"/>
    <w:rsid w:val="00BA49EB"/>
    <w:rsid w:val="00BA4A63"/>
    <w:rsid w:val="00BA5223"/>
    <w:rsid w:val="00BA5A1E"/>
    <w:rsid w:val="00BA5AC9"/>
    <w:rsid w:val="00BA66A9"/>
    <w:rsid w:val="00BA6B05"/>
    <w:rsid w:val="00BA7B68"/>
    <w:rsid w:val="00BA7EB7"/>
    <w:rsid w:val="00BB03F9"/>
    <w:rsid w:val="00BB0575"/>
    <w:rsid w:val="00BB07E0"/>
    <w:rsid w:val="00BB0B84"/>
    <w:rsid w:val="00BB0F4E"/>
    <w:rsid w:val="00BB2686"/>
    <w:rsid w:val="00BB2BF6"/>
    <w:rsid w:val="00BB2F9C"/>
    <w:rsid w:val="00BB31A4"/>
    <w:rsid w:val="00BB31A7"/>
    <w:rsid w:val="00BB40DC"/>
    <w:rsid w:val="00BB4299"/>
    <w:rsid w:val="00BB442F"/>
    <w:rsid w:val="00BB4DCF"/>
    <w:rsid w:val="00BB4E28"/>
    <w:rsid w:val="00BB59C0"/>
    <w:rsid w:val="00BB6386"/>
    <w:rsid w:val="00BB6387"/>
    <w:rsid w:val="00BB63AA"/>
    <w:rsid w:val="00BB6410"/>
    <w:rsid w:val="00BB6CDE"/>
    <w:rsid w:val="00BB6FB8"/>
    <w:rsid w:val="00BB721E"/>
    <w:rsid w:val="00BB7427"/>
    <w:rsid w:val="00BB755D"/>
    <w:rsid w:val="00BB77F1"/>
    <w:rsid w:val="00BC01C2"/>
    <w:rsid w:val="00BC0D4C"/>
    <w:rsid w:val="00BC1013"/>
    <w:rsid w:val="00BC11DD"/>
    <w:rsid w:val="00BC153E"/>
    <w:rsid w:val="00BC1B02"/>
    <w:rsid w:val="00BC2D5D"/>
    <w:rsid w:val="00BC359F"/>
    <w:rsid w:val="00BC51E9"/>
    <w:rsid w:val="00BC557F"/>
    <w:rsid w:val="00BC5601"/>
    <w:rsid w:val="00BC58C3"/>
    <w:rsid w:val="00BC5A3F"/>
    <w:rsid w:val="00BC5B2D"/>
    <w:rsid w:val="00BC5C0C"/>
    <w:rsid w:val="00BC62BD"/>
    <w:rsid w:val="00BC6942"/>
    <w:rsid w:val="00BC6A58"/>
    <w:rsid w:val="00BC6CE9"/>
    <w:rsid w:val="00BC7A01"/>
    <w:rsid w:val="00BC7B1D"/>
    <w:rsid w:val="00BC7C05"/>
    <w:rsid w:val="00BC7F18"/>
    <w:rsid w:val="00BD0086"/>
    <w:rsid w:val="00BD11BC"/>
    <w:rsid w:val="00BD14F5"/>
    <w:rsid w:val="00BD192B"/>
    <w:rsid w:val="00BD2166"/>
    <w:rsid w:val="00BD279B"/>
    <w:rsid w:val="00BD300E"/>
    <w:rsid w:val="00BD3218"/>
    <w:rsid w:val="00BD3302"/>
    <w:rsid w:val="00BD3354"/>
    <w:rsid w:val="00BD3480"/>
    <w:rsid w:val="00BD34C7"/>
    <w:rsid w:val="00BD4590"/>
    <w:rsid w:val="00BD479D"/>
    <w:rsid w:val="00BD483B"/>
    <w:rsid w:val="00BD5A52"/>
    <w:rsid w:val="00BD5AAA"/>
    <w:rsid w:val="00BD6056"/>
    <w:rsid w:val="00BD644C"/>
    <w:rsid w:val="00BD6539"/>
    <w:rsid w:val="00BD67E3"/>
    <w:rsid w:val="00BD6981"/>
    <w:rsid w:val="00BD7099"/>
    <w:rsid w:val="00BD7577"/>
    <w:rsid w:val="00BD7624"/>
    <w:rsid w:val="00BD7C19"/>
    <w:rsid w:val="00BE023C"/>
    <w:rsid w:val="00BE0277"/>
    <w:rsid w:val="00BE101C"/>
    <w:rsid w:val="00BE1194"/>
    <w:rsid w:val="00BE2287"/>
    <w:rsid w:val="00BE24F0"/>
    <w:rsid w:val="00BE258E"/>
    <w:rsid w:val="00BE2787"/>
    <w:rsid w:val="00BE2D48"/>
    <w:rsid w:val="00BE2F1E"/>
    <w:rsid w:val="00BE2F50"/>
    <w:rsid w:val="00BE3281"/>
    <w:rsid w:val="00BE346B"/>
    <w:rsid w:val="00BE3D84"/>
    <w:rsid w:val="00BE3EFA"/>
    <w:rsid w:val="00BE3F08"/>
    <w:rsid w:val="00BE423B"/>
    <w:rsid w:val="00BE4779"/>
    <w:rsid w:val="00BE4899"/>
    <w:rsid w:val="00BE50E8"/>
    <w:rsid w:val="00BE5327"/>
    <w:rsid w:val="00BE55D1"/>
    <w:rsid w:val="00BE58F9"/>
    <w:rsid w:val="00BE5A0B"/>
    <w:rsid w:val="00BE5B88"/>
    <w:rsid w:val="00BE5DE6"/>
    <w:rsid w:val="00BE62E6"/>
    <w:rsid w:val="00BE666E"/>
    <w:rsid w:val="00BE71D2"/>
    <w:rsid w:val="00BE76AD"/>
    <w:rsid w:val="00BE7A94"/>
    <w:rsid w:val="00BF01E3"/>
    <w:rsid w:val="00BF0317"/>
    <w:rsid w:val="00BF13A4"/>
    <w:rsid w:val="00BF15A3"/>
    <w:rsid w:val="00BF175C"/>
    <w:rsid w:val="00BF18B8"/>
    <w:rsid w:val="00BF1DFC"/>
    <w:rsid w:val="00BF2167"/>
    <w:rsid w:val="00BF256B"/>
    <w:rsid w:val="00BF2AF3"/>
    <w:rsid w:val="00BF3482"/>
    <w:rsid w:val="00BF3A85"/>
    <w:rsid w:val="00BF3AF7"/>
    <w:rsid w:val="00BF5BA8"/>
    <w:rsid w:val="00BF5DD1"/>
    <w:rsid w:val="00BF604F"/>
    <w:rsid w:val="00BF6A4C"/>
    <w:rsid w:val="00BF6B3F"/>
    <w:rsid w:val="00BF7A43"/>
    <w:rsid w:val="00BF7F85"/>
    <w:rsid w:val="00C000DB"/>
    <w:rsid w:val="00C00C15"/>
    <w:rsid w:val="00C00D3E"/>
    <w:rsid w:val="00C01348"/>
    <w:rsid w:val="00C01698"/>
    <w:rsid w:val="00C019B5"/>
    <w:rsid w:val="00C01AF4"/>
    <w:rsid w:val="00C02CF2"/>
    <w:rsid w:val="00C02F89"/>
    <w:rsid w:val="00C039E8"/>
    <w:rsid w:val="00C04AB5"/>
    <w:rsid w:val="00C05D3F"/>
    <w:rsid w:val="00C065F7"/>
    <w:rsid w:val="00C06B07"/>
    <w:rsid w:val="00C06DFA"/>
    <w:rsid w:val="00C07AA0"/>
    <w:rsid w:val="00C1073B"/>
    <w:rsid w:val="00C10C2D"/>
    <w:rsid w:val="00C11508"/>
    <w:rsid w:val="00C11B12"/>
    <w:rsid w:val="00C11D12"/>
    <w:rsid w:val="00C1241C"/>
    <w:rsid w:val="00C12A08"/>
    <w:rsid w:val="00C12B97"/>
    <w:rsid w:val="00C12BE8"/>
    <w:rsid w:val="00C13125"/>
    <w:rsid w:val="00C1442F"/>
    <w:rsid w:val="00C146E0"/>
    <w:rsid w:val="00C14813"/>
    <w:rsid w:val="00C14972"/>
    <w:rsid w:val="00C14D04"/>
    <w:rsid w:val="00C14FF1"/>
    <w:rsid w:val="00C1534C"/>
    <w:rsid w:val="00C157C2"/>
    <w:rsid w:val="00C15C43"/>
    <w:rsid w:val="00C163D2"/>
    <w:rsid w:val="00C1642B"/>
    <w:rsid w:val="00C16872"/>
    <w:rsid w:val="00C16BE4"/>
    <w:rsid w:val="00C16CAA"/>
    <w:rsid w:val="00C17707"/>
    <w:rsid w:val="00C1771E"/>
    <w:rsid w:val="00C17B4E"/>
    <w:rsid w:val="00C17B4F"/>
    <w:rsid w:val="00C205EA"/>
    <w:rsid w:val="00C2093C"/>
    <w:rsid w:val="00C20B60"/>
    <w:rsid w:val="00C20E35"/>
    <w:rsid w:val="00C21808"/>
    <w:rsid w:val="00C218C3"/>
    <w:rsid w:val="00C21A2E"/>
    <w:rsid w:val="00C21AB2"/>
    <w:rsid w:val="00C21B6F"/>
    <w:rsid w:val="00C21D41"/>
    <w:rsid w:val="00C23C21"/>
    <w:rsid w:val="00C23EB0"/>
    <w:rsid w:val="00C24620"/>
    <w:rsid w:val="00C24817"/>
    <w:rsid w:val="00C24937"/>
    <w:rsid w:val="00C24F91"/>
    <w:rsid w:val="00C25099"/>
    <w:rsid w:val="00C25130"/>
    <w:rsid w:val="00C25225"/>
    <w:rsid w:val="00C25A31"/>
    <w:rsid w:val="00C25DE0"/>
    <w:rsid w:val="00C26155"/>
    <w:rsid w:val="00C26240"/>
    <w:rsid w:val="00C26424"/>
    <w:rsid w:val="00C268E2"/>
    <w:rsid w:val="00C269CF"/>
    <w:rsid w:val="00C271F0"/>
    <w:rsid w:val="00C277D6"/>
    <w:rsid w:val="00C3015B"/>
    <w:rsid w:val="00C30305"/>
    <w:rsid w:val="00C3060A"/>
    <w:rsid w:val="00C309DE"/>
    <w:rsid w:val="00C31125"/>
    <w:rsid w:val="00C31177"/>
    <w:rsid w:val="00C31309"/>
    <w:rsid w:val="00C31B20"/>
    <w:rsid w:val="00C3218A"/>
    <w:rsid w:val="00C3264B"/>
    <w:rsid w:val="00C328C3"/>
    <w:rsid w:val="00C32E39"/>
    <w:rsid w:val="00C33660"/>
    <w:rsid w:val="00C342A6"/>
    <w:rsid w:val="00C34868"/>
    <w:rsid w:val="00C34A65"/>
    <w:rsid w:val="00C34DBE"/>
    <w:rsid w:val="00C35D78"/>
    <w:rsid w:val="00C35E37"/>
    <w:rsid w:val="00C36B26"/>
    <w:rsid w:val="00C36DBC"/>
    <w:rsid w:val="00C40295"/>
    <w:rsid w:val="00C4087D"/>
    <w:rsid w:val="00C408AA"/>
    <w:rsid w:val="00C40A2B"/>
    <w:rsid w:val="00C40BBB"/>
    <w:rsid w:val="00C40F26"/>
    <w:rsid w:val="00C40F87"/>
    <w:rsid w:val="00C4141D"/>
    <w:rsid w:val="00C418A8"/>
    <w:rsid w:val="00C41D51"/>
    <w:rsid w:val="00C42BC1"/>
    <w:rsid w:val="00C42ED0"/>
    <w:rsid w:val="00C4310E"/>
    <w:rsid w:val="00C432E3"/>
    <w:rsid w:val="00C43754"/>
    <w:rsid w:val="00C44072"/>
    <w:rsid w:val="00C444BE"/>
    <w:rsid w:val="00C44522"/>
    <w:rsid w:val="00C44A8C"/>
    <w:rsid w:val="00C45471"/>
    <w:rsid w:val="00C45AE8"/>
    <w:rsid w:val="00C45ED2"/>
    <w:rsid w:val="00C460DA"/>
    <w:rsid w:val="00C463E9"/>
    <w:rsid w:val="00C46946"/>
    <w:rsid w:val="00C4717B"/>
    <w:rsid w:val="00C475D9"/>
    <w:rsid w:val="00C479E5"/>
    <w:rsid w:val="00C47B5B"/>
    <w:rsid w:val="00C47D58"/>
    <w:rsid w:val="00C47E72"/>
    <w:rsid w:val="00C5032E"/>
    <w:rsid w:val="00C503D9"/>
    <w:rsid w:val="00C51064"/>
    <w:rsid w:val="00C515B9"/>
    <w:rsid w:val="00C52292"/>
    <w:rsid w:val="00C52A05"/>
    <w:rsid w:val="00C52BD4"/>
    <w:rsid w:val="00C5341C"/>
    <w:rsid w:val="00C538AE"/>
    <w:rsid w:val="00C53B04"/>
    <w:rsid w:val="00C54169"/>
    <w:rsid w:val="00C54621"/>
    <w:rsid w:val="00C546F6"/>
    <w:rsid w:val="00C54983"/>
    <w:rsid w:val="00C54B27"/>
    <w:rsid w:val="00C54BA2"/>
    <w:rsid w:val="00C54E71"/>
    <w:rsid w:val="00C54EE3"/>
    <w:rsid w:val="00C5536F"/>
    <w:rsid w:val="00C553BA"/>
    <w:rsid w:val="00C555A1"/>
    <w:rsid w:val="00C556BE"/>
    <w:rsid w:val="00C55CB7"/>
    <w:rsid w:val="00C5638B"/>
    <w:rsid w:val="00C56406"/>
    <w:rsid w:val="00C5643B"/>
    <w:rsid w:val="00C56F76"/>
    <w:rsid w:val="00C56FE9"/>
    <w:rsid w:val="00C5757F"/>
    <w:rsid w:val="00C576A7"/>
    <w:rsid w:val="00C57ADB"/>
    <w:rsid w:val="00C57BD1"/>
    <w:rsid w:val="00C608E6"/>
    <w:rsid w:val="00C60C27"/>
    <w:rsid w:val="00C60F02"/>
    <w:rsid w:val="00C61463"/>
    <w:rsid w:val="00C61CF3"/>
    <w:rsid w:val="00C623C5"/>
    <w:rsid w:val="00C62927"/>
    <w:rsid w:val="00C62D94"/>
    <w:rsid w:val="00C63371"/>
    <w:rsid w:val="00C633C4"/>
    <w:rsid w:val="00C64652"/>
    <w:rsid w:val="00C654D1"/>
    <w:rsid w:val="00C658C8"/>
    <w:rsid w:val="00C65A7D"/>
    <w:rsid w:val="00C66CA0"/>
    <w:rsid w:val="00C676AC"/>
    <w:rsid w:val="00C67A8E"/>
    <w:rsid w:val="00C70B94"/>
    <w:rsid w:val="00C7169C"/>
    <w:rsid w:val="00C729AC"/>
    <w:rsid w:val="00C7301F"/>
    <w:rsid w:val="00C73071"/>
    <w:rsid w:val="00C73ACA"/>
    <w:rsid w:val="00C7480D"/>
    <w:rsid w:val="00C74B43"/>
    <w:rsid w:val="00C74BF0"/>
    <w:rsid w:val="00C74C5D"/>
    <w:rsid w:val="00C769E7"/>
    <w:rsid w:val="00C76D23"/>
    <w:rsid w:val="00C7766B"/>
    <w:rsid w:val="00C77F1C"/>
    <w:rsid w:val="00C80485"/>
    <w:rsid w:val="00C80A8B"/>
    <w:rsid w:val="00C80B01"/>
    <w:rsid w:val="00C80F7D"/>
    <w:rsid w:val="00C810FD"/>
    <w:rsid w:val="00C81286"/>
    <w:rsid w:val="00C81336"/>
    <w:rsid w:val="00C81687"/>
    <w:rsid w:val="00C82570"/>
    <w:rsid w:val="00C82A50"/>
    <w:rsid w:val="00C82D3F"/>
    <w:rsid w:val="00C83516"/>
    <w:rsid w:val="00C845F6"/>
    <w:rsid w:val="00C854DD"/>
    <w:rsid w:val="00C85BFC"/>
    <w:rsid w:val="00C86911"/>
    <w:rsid w:val="00C87727"/>
    <w:rsid w:val="00C87AC5"/>
    <w:rsid w:val="00C87B96"/>
    <w:rsid w:val="00C87E8E"/>
    <w:rsid w:val="00C90474"/>
    <w:rsid w:val="00C90C12"/>
    <w:rsid w:val="00C90F10"/>
    <w:rsid w:val="00C910C3"/>
    <w:rsid w:val="00C9175B"/>
    <w:rsid w:val="00C9226F"/>
    <w:rsid w:val="00C9277B"/>
    <w:rsid w:val="00C92B49"/>
    <w:rsid w:val="00C92B95"/>
    <w:rsid w:val="00C92D15"/>
    <w:rsid w:val="00C92E1D"/>
    <w:rsid w:val="00C9345C"/>
    <w:rsid w:val="00C93837"/>
    <w:rsid w:val="00C93E24"/>
    <w:rsid w:val="00C93F57"/>
    <w:rsid w:val="00C9413E"/>
    <w:rsid w:val="00C94F0E"/>
    <w:rsid w:val="00C95538"/>
    <w:rsid w:val="00C95BE2"/>
    <w:rsid w:val="00C960D8"/>
    <w:rsid w:val="00C9625F"/>
    <w:rsid w:val="00C96428"/>
    <w:rsid w:val="00C966F8"/>
    <w:rsid w:val="00C96A1A"/>
    <w:rsid w:val="00C96CDD"/>
    <w:rsid w:val="00C97164"/>
    <w:rsid w:val="00C9718E"/>
    <w:rsid w:val="00C973F2"/>
    <w:rsid w:val="00C9744E"/>
    <w:rsid w:val="00C979FF"/>
    <w:rsid w:val="00C97C5C"/>
    <w:rsid w:val="00C97E22"/>
    <w:rsid w:val="00CA05D5"/>
    <w:rsid w:val="00CA0983"/>
    <w:rsid w:val="00CA0FF3"/>
    <w:rsid w:val="00CA1127"/>
    <w:rsid w:val="00CA1C3F"/>
    <w:rsid w:val="00CA1EF2"/>
    <w:rsid w:val="00CA23E6"/>
    <w:rsid w:val="00CA2C4F"/>
    <w:rsid w:val="00CA2C51"/>
    <w:rsid w:val="00CA2FCF"/>
    <w:rsid w:val="00CA3B83"/>
    <w:rsid w:val="00CA44EA"/>
    <w:rsid w:val="00CA52F1"/>
    <w:rsid w:val="00CA5804"/>
    <w:rsid w:val="00CA5BE0"/>
    <w:rsid w:val="00CA6350"/>
    <w:rsid w:val="00CA6AF6"/>
    <w:rsid w:val="00CA6C72"/>
    <w:rsid w:val="00CA6E70"/>
    <w:rsid w:val="00CA7033"/>
    <w:rsid w:val="00CA71B4"/>
    <w:rsid w:val="00CA7915"/>
    <w:rsid w:val="00CB0089"/>
    <w:rsid w:val="00CB0B3F"/>
    <w:rsid w:val="00CB11E2"/>
    <w:rsid w:val="00CB1382"/>
    <w:rsid w:val="00CB13EE"/>
    <w:rsid w:val="00CB1981"/>
    <w:rsid w:val="00CB19F3"/>
    <w:rsid w:val="00CB1A34"/>
    <w:rsid w:val="00CB1EB2"/>
    <w:rsid w:val="00CB2428"/>
    <w:rsid w:val="00CB277F"/>
    <w:rsid w:val="00CB41CC"/>
    <w:rsid w:val="00CB4467"/>
    <w:rsid w:val="00CB4CEC"/>
    <w:rsid w:val="00CB4D0E"/>
    <w:rsid w:val="00CB561D"/>
    <w:rsid w:val="00CB5B84"/>
    <w:rsid w:val="00CB6F33"/>
    <w:rsid w:val="00CB6F44"/>
    <w:rsid w:val="00CB762E"/>
    <w:rsid w:val="00CB77D3"/>
    <w:rsid w:val="00CC0B48"/>
    <w:rsid w:val="00CC13DF"/>
    <w:rsid w:val="00CC13FA"/>
    <w:rsid w:val="00CC16DB"/>
    <w:rsid w:val="00CC1817"/>
    <w:rsid w:val="00CC1896"/>
    <w:rsid w:val="00CC251D"/>
    <w:rsid w:val="00CC2C7D"/>
    <w:rsid w:val="00CC2CE0"/>
    <w:rsid w:val="00CC3469"/>
    <w:rsid w:val="00CC3811"/>
    <w:rsid w:val="00CC39D6"/>
    <w:rsid w:val="00CC4010"/>
    <w:rsid w:val="00CC4690"/>
    <w:rsid w:val="00CC496E"/>
    <w:rsid w:val="00CC5141"/>
    <w:rsid w:val="00CC522D"/>
    <w:rsid w:val="00CC652F"/>
    <w:rsid w:val="00CC6833"/>
    <w:rsid w:val="00CC6C3E"/>
    <w:rsid w:val="00CC6E33"/>
    <w:rsid w:val="00CC7B21"/>
    <w:rsid w:val="00CC7BBE"/>
    <w:rsid w:val="00CC7C29"/>
    <w:rsid w:val="00CC7D30"/>
    <w:rsid w:val="00CD09E4"/>
    <w:rsid w:val="00CD0A0E"/>
    <w:rsid w:val="00CD0B41"/>
    <w:rsid w:val="00CD0EBC"/>
    <w:rsid w:val="00CD12A2"/>
    <w:rsid w:val="00CD14FC"/>
    <w:rsid w:val="00CD1585"/>
    <w:rsid w:val="00CD1DC7"/>
    <w:rsid w:val="00CD1E12"/>
    <w:rsid w:val="00CD279B"/>
    <w:rsid w:val="00CD3478"/>
    <w:rsid w:val="00CD3743"/>
    <w:rsid w:val="00CD3D3C"/>
    <w:rsid w:val="00CD423B"/>
    <w:rsid w:val="00CD458B"/>
    <w:rsid w:val="00CD5552"/>
    <w:rsid w:val="00CD5799"/>
    <w:rsid w:val="00CD66DF"/>
    <w:rsid w:val="00CD66F6"/>
    <w:rsid w:val="00CD6CE6"/>
    <w:rsid w:val="00CD71A2"/>
    <w:rsid w:val="00CD7264"/>
    <w:rsid w:val="00CD760D"/>
    <w:rsid w:val="00CD76F9"/>
    <w:rsid w:val="00CD78DD"/>
    <w:rsid w:val="00CD7997"/>
    <w:rsid w:val="00CE0730"/>
    <w:rsid w:val="00CE0EA0"/>
    <w:rsid w:val="00CE142D"/>
    <w:rsid w:val="00CE1AA5"/>
    <w:rsid w:val="00CE1CEF"/>
    <w:rsid w:val="00CE2B97"/>
    <w:rsid w:val="00CE373E"/>
    <w:rsid w:val="00CE39A5"/>
    <w:rsid w:val="00CE3BDF"/>
    <w:rsid w:val="00CE4212"/>
    <w:rsid w:val="00CE45EE"/>
    <w:rsid w:val="00CE4C00"/>
    <w:rsid w:val="00CE4E57"/>
    <w:rsid w:val="00CE50BE"/>
    <w:rsid w:val="00CE53F7"/>
    <w:rsid w:val="00CE573A"/>
    <w:rsid w:val="00CE57FD"/>
    <w:rsid w:val="00CE5944"/>
    <w:rsid w:val="00CE5CAE"/>
    <w:rsid w:val="00CE5FBE"/>
    <w:rsid w:val="00CE62F5"/>
    <w:rsid w:val="00CE63A0"/>
    <w:rsid w:val="00CE6B52"/>
    <w:rsid w:val="00CE79E9"/>
    <w:rsid w:val="00CE7BD7"/>
    <w:rsid w:val="00CE7D7D"/>
    <w:rsid w:val="00CE7E8B"/>
    <w:rsid w:val="00CF04B5"/>
    <w:rsid w:val="00CF071A"/>
    <w:rsid w:val="00CF0919"/>
    <w:rsid w:val="00CF0AC1"/>
    <w:rsid w:val="00CF0AFD"/>
    <w:rsid w:val="00CF156A"/>
    <w:rsid w:val="00CF185A"/>
    <w:rsid w:val="00CF18C4"/>
    <w:rsid w:val="00CF1AF8"/>
    <w:rsid w:val="00CF1E4A"/>
    <w:rsid w:val="00CF28CF"/>
    <w:rsid w:val="00CF30C5"/>
    <w:rsid w:val="00CF347C"/>
    <w:rsid w:val="00CF3BE1"/>
    <w:rsid w:val="00CF42CA"/>
    <w:rsid w:val="00CF43A6"/>
    <w:rsid w:val="00CF43E0"/>
    <w:rsid w:val="00CF4473"/>
    <w:rsid w:val="00CF50B2"/>
    <w:rsid w:val="00CF521F"/>
    <w:rsid w:val="00CF564C"/>
    <w:rsid w:val="00CF589E"/>
    <w:rsid w:val="00CF5D3C"/>
    <w:rsid w:val="00CF5FD3"/>
    <w:rsid w:val="00CF7DB5"/>
    <w:rsid w:val="00CF7DF4"/>
    <w:rsid w:val="00CF7F75"/>
    <w:rsid w:val="00D00315"/>
    <w:rsid w:val="00D00501"/>
    <w:rsid w:val="00D015A9"/>
    <w:rsid w:val="00D019D1"/>
    <w:rsid w:val="00D0234C"/>
    <w:rsid w:val="00D0278D"/>
    <w:rsid w:val="00D029CF"/>
    <w:rsid w:val="00D044FC"/>
    <w:rsid w:val="00D04634"/>
    <w:rsid w:val="00D04B12"/>
    <w:rsid w:val="00D04B7C"/>
    <w:rsid w:val="00D05344"/>
    <w:rsid w:val="00D05412"/>
    <w:rsid w:val="00D05E06"/>
    <w:rsid w:val="00D05F37"/>
    <w:rsid w:val="00D06166"/>
    <w:rsid w:val="00D06859"/>
    <w:rsid w:val="00D10A74"/>
    <w:rsid w:val="00D10BD3"/>
    <w:rsid w:val="00D10FCC"/>
    <w:rsid w:val="00D1118C"/>
    <w:rsid w:val="00D111F3"/>
    <w:rsid w:val="00D11BB1"/>
    <w:rsid w:val="00D13040"/>
    <w:rsid w:val="00D13B20"/>
    <w:rsid w:val="00D14E35"/>
    <w:rsid w:val="00D15054"/>
    <w:rsid w:val="00D1510B"/>
    <w:rsid w:val="00D153CC"/>
    <w:rsid w:val="00D1569D"/>
    <w:rsid w:val="00D16722"/>
    <w:rsid w:val="00D169EA"/>
    <w:rsid w:val="00D20063"/>
    <w:rsid w:val="00D2068E"/>
    <w:rsid w:val="00D208BC"/>
    <w:rsid w:val="00D20A0B"/>
    <w:rsid w:val="00D20D4E"/>
    <w:rsid w:val="00D214D1"/>
    <w:rsid w:val="00D21A62"/>
    <w:rsid w:val="00D227F7"/>
    <w:rsid w:val="00D22B99"/>
    <w:rsid w:val="00D22BEF"/>
    <w:rsid w:val="00D237C1"/>
    <w:rsid w:val="00D238C7"/>
    <w:rsid w:val="00D23D44"/>
    <w:rsid w:val="00D2455B"/>
    <w:rsid w:val="00D24733"/>
    <w:rsid w:val="00D248D4"/>
    <w:rsid w:val="00D24999"/>
    <w:rsid w:val="00D24B2C"/>
    <w:rsid w:val="00D24B8E"/>
    <w:rsid w:val="00D250F1"/>
    <w:rsid w:val="00D25B6F"/>
    <w:rsid w:val="00D2634F"/>
    <w:rsid w:val="00D26CD7"/>
    <w:rsid w:val="00D272E7"/>
    <w:rsid w:val="00D2771C"/>
    <w:rsid w:val="00D27DE6"/>
    <w:rsid w:val="00D30576"/>
    <w:rsid w:val="00D3108D"/>
    <w:rsid w:val="00D314F5"/>
    <w:rsid w:val="00D31567"/>
    <w:rsid w:val="00D31783"/>
    <w:rsid w:val="00D31D5B"/>
    <w:rsid w:val="00D31DE1"/>
    <w:rsid w:val="00D32265"/>
    <w:rsid w:val="00D32356"/>
    <w:rsid w:val="00D3268B"/>
    <w:rsid w:val="00D3329C"/>
    <w:rsid w:val="00D3335D"/>
    <w:rsid w:val="00D33512"/>
    <w:rsid w:val="00D337A7"/>
    <w:rsid w:val="00D34203"/>
    <w:rsid w:val="00D34645"/>
    <w:rsid w:val="00D34C9A"/>
    <w:rsid w:val="00D350C6"/>
    <w:rsid w:val="00D35D19"/>
    <w:rsid w:val="00D35EF8"/>
    <w:rsid w:val="00D36175"/>
    <w:rsid w:val="00D36A36"/>
    <w:rsid w:val="00D370DE"/>
    <w:rsid w:val="00D373E6"/>
    <w:rsid w:val="00D37E96"/>
    <w:rsid w:val="00D37F44"/>
    <w:rsid w:val="00D401E3"/>
    <w:rsid w:val="00D40AAB"/>
    <w:rsid w:val="00D410CC"/>
    <w:rsid w:val="00D41D18"/>
    <w:rsid w:val="00D41D7F"/>
    <w:rsid w:val="00D42431"/>
    <w:rsid w:val="00D42567"/>
    <w:rsid w:val="00D425B6"/>
    <w:rsid w:val="00D4279D"/>
    <w:rsid w:val="00D42DA2"/>
    <w:rsid w:val="00D42DCC"/>
    <w:rsid w:val="00D43111"/>
    <w:rsid w:val="00D43359"/>
    <w:rsid w:val="00D43796"/>
    <w:rsid w:val="00D43A63"/>
    <w:rsid w:val="00D4468B"/>
    <w:rsid w:val="00D44792"/>
    <w:rsid w:val="00D44B81"/>
    <w:rsid w:val="00D44CE7"/>
    <w:rsid w:val="00D4510A"/>
    <w:rsid w:val="00D451E0"/>
    <w:rsid w:val="00D45B43"/>
    <w:rsid w:val="00D4604F"/>
    <w:rsid w:val="00D462A6"/>
    <w:rsid w:val="00D4640A"/>
    <w:rsid w:val="00D465E6"/>
    <w:rsid w:val="00D47531"/>
    <w:rsid w:val="00D47676"/>
    <w:rsid w:val="00D47A0D"/>
    <w:rsid w:val="00D50255"/>
    <w:rsid w:val="00D508C2"/>
    <w:rsid w:val="00D51271"/>
    <w:rsid w:val="00D5146B"/>
    <w:rsid w:val="00D514B5"/>
    <w:rsid w:val="00D51550"/>
    <w:rsid w:val="00D51B7E"/>
    <w:rsid w:val="00D51DA7"/>
    <w:rsid w:val="00D51E91"/>
    <w:rsid w:val="00D52728"/>
    <w:rsid w:val="00D527FB"/>
    <w:rsid w:val="00D52913"/>
    <w:rsid w:val="00D532A3"/>
    <w:rsid w:val="00D539EF"/>
    <w:rsid w:val="00D54E47"/>
    <w:rsid w:val="00D550C6"/>
    <w:rsid w:val="00D558C8"/>
    <w:rsid w:val="00D55D0B"/>
    <w:rsid w:val="00D55E1E"/>
    <w:rsid w:val="00D56125"/>
    <w:rsid w:val="00D566CE"/>
    <w:rsid w:val="00D5746D"/>
    <w:rsid w:val="00D5754C"/>
    <w:rsid w:val="00D5785A"/>
    <w:rsid w:val="00D579AE"/>
    <w:rsid w:val="00D57A32"/>
    <w:rsid w:val="00D57D14"/>
    <w:rsid w:val="00D60E80"/>
    <w:rsid w:val="00D60EDB"/>
    <w:rsid w:val="00D610CB"/>
    <w:rsid w:val="00D610D8"/>
    <w:rsid w:val="00D61906"/>
    <w:rsid w:val="00D61B18"/>
    <w:rsid w:val="00D61D4D"/>
    <w:rsid w:val="00D6255F"/>
    <w:rsid w:val="00D62952"/>
    <w:rsid w:val="00D62D8F"/>
    <w:rsid w:val="00D631FF"/>
    <w:rsid w:val="00D63421"/>
    <w:rsid w:val="00D6355A"/>
    <w:rsid w:val="00D635BB"/>
    <w:rsid w:val="00D64240"/>
    <w:rsid w:val="00D643BA"/>
    <w:rsid w:val="00D64EF9"/>
    <w:rsid w:val="00D65678"/>
    <w:rsid w:val="00D660B0"/>
    <w:rsid w:val="00D664D1"/>
    <w:rsid w:val="00D664D2"/>
    <w:rsid w:val="00D6652C"/>
    <w:rsid w:val="00D66632"/>
    <w:rsid w:val="00D66A4D"/>
    <w:rsid w:val="00D66E13"/>
    <w:rsid w:val="00D66F62"/>
    <w:rsid w:val="00D671F7"/>
    <w:rsid w:val="00D67211"/>
    <w:rsid w:val="00D67307"/>
    <w:rsid w:val="00D70140"/>
    <w:rsid w:val="00D70242"/>
    <w:rsid w:val="00D712CD"/>
    <w:rsid w:val="00D71F7A"/>
    <w:rsid w:val="00D727D3"/>
    <w:rsid w:val="00D729B8"/>
    <w:rsid w:val="00D72A9E"/>
    <w:rsid w:val="00D74148"/>
    <w:rsid w:val="00D74486"/>
    <w:rsid w:val="00D747B8"/>
    <w:rsid w:val="00D756B4"/>
    <w:rsid w:val="00D75A49"/>
    <w:rsid w:val="00D75F71"/>
    <w:rsid w:val="00D7659E"/>
    <w:rsid w:val="00D766C4"/>
    <w:rsid w:val="00D7770C"/>
    <w:rsid w:val="00D77A59"/>
    <w:rsid w:val="00D77D90"/>
    <w:rsid w:val="00D805F2"/>
    <w:rsid w:val="00D80857"/>
    <w:rsid w:val="00D82542"/>
    <w:rsid w:val="00D82598"/>
    <w:rsid w:val="00D833CD"/>
    <w:rsid w:val="00D833F3"/>
    <w:rsid w:val="00D8357F"/>
    <w:rsid w:val="00D84399"/>
    <w:rsid w:val="00D84622"/>
    <w:rsid w:val="00D849F4"/>
    <w:rsid w:val="00D84F0B"/>
    <w:rsid w:val="00D850DE"/>
    <w:rsid w:val="00D864A0"/>
    <w:rsid w:val="00D86CE6"/>
    <w:rsid w:val="00D86DC8"/>
    <w:rsid w:val="00D87476"/>
    <w:rsid w:val="00D87E50"/>
    <w:rsid w:val="00D87E68"/>
    <w:rsid w:val="00D902B3"/>
    <w:rsid w:val="00D904C4"/>
    <w:rsid w:val="00D90A35"/>
    <w:rsid w:val="00D90E0B"/>
    <w:rsid w:val="00D916DD"/>
    <w:rsid w:val="00D91B7C"/>
    <w:rsid w:val="00D92E01"/>
    <w:rsid w:val="00D92FCB"/>
    <w:rsid w:val="00D934F8"/>
    <w:rsid w:val="00D942AA"/>
    <w:rsid w:val="00D944A1"/>
    <w:rsid w:val="00D94C9D"/>
    <w:rsid w:val="00D95EE7"/>
    <w:rsid w:val="00D9691C"/>
    <w:rsid w:val="00D96A1A"/>
    <w:rsid w:val="00D96B57"/>
    <w:rsid w:val="00D96DD1"/>
    <w:rsid w:val="00D96EE6"/>
    <w:rsid w:val="00D96EEA"/>
    <w:rsid w:val="00D97389"/>
    <w:rsid w:val="00D975A9"/>
    <w:rsid w:val="00D9769E"/>
    <w:rsid w:val="00D97BBD"/>
    <w:rsid w:val="00DA0063"/>
    <w:rsid w:val="00DA0503"/>
    <w:rsid w:val="00DA0533"/>
    <w:rsid w:val="00DA0913"/>
    <w:rsid w:val="00DA111B"/>
    <w:rsid w:val="00DA128C"/>
    <w:rsid w:val="00DA190D"/>
    <w:rsid w:val="00DA1AE4"/>
    <w:rsid w:val="00DA1BF7"/>
    <w:rsid w:val="00DA1F97"/>
    <w:rsid w:val="00DA242D"/>
    <w:rsid w:val="00DA25B6"/>
    <w:rsid w:val="00DA2626"/>
    <w:rsid w:val="00DA2BA1"/>
    <w:rsid w:val="00DA2D4E"/>
    <w:rsid w:val="00DA2D67"/>
    <w:rsid w:val="00DA31E7"/>
    <w:rsid w:val="00DA3AA1"/>
    <w:rsid w:val="00DA424B"/>
    <w:rsid w:val="00DA496F"/>
    <w:rsid w:val="00DA49DF"/>
    <w:rsid w:val="00DA50A5"/>
    <w:rsid w:val="00DA545A"/>
    <w:rsid w:val="00DA571D"/>
    <w:rsid w:val="00DA5EC6"/>
    <w:rsid w:val="00DA6020"/>
    <w:rsid w:val="00DA609A"/>
    <w:rsid w:val="00DA738E"/>
    <w:rsid w:val="00DA7E20"/>
    <w:rsid w:val="00DB05FD"/>
    <w:rsid w:val="00DB0F76"/>
    <w:rsid w:val="00DB1458"/>
    <w:rsid w:val="00DB16CA"/>
    <w:rsid w:val="00DB1A8B"/>
    <w:rsid w:val="00DB2AC1"/>
    <w:rsid w:val="00DB3318"/>
    <w:rsid w:val="00DB3558"/>
    <w:rsid w:val="00DB3D96"/>
    <w:rsid w:val="00DB3DB7"/>
    <w:rsid w:val="00DB437A"/>
    <w:rsid w:val="00DB455A"/>
    <w:rsid w:val="00DB49CF"/>
    <w:rsid w:val="00DB4BC5"/>
    <w:rsid w:val="00DB4EA0"/>
    <w:rsid w:val="00DB4F4E"/>
    <w:rsid w:val="00DB4F68"/>
    <w:rsid w:val="00DB5145"/>
    <w:rsid w:val="00DB5667"/>
    <w:rsid w:val="00DB5E0A"/>
    <w:rsid w:val="00DB5E93"/>
    <w:rsid w:val="00DB5F28"/>
    <w:rsid w:val="00DB622D"/>
    <w:rsid w:val="00DB6523"/>
    <w:rsid w:val="00DB6B43"/>
    <w:rsid w:val="00DB779A"/>
    <w:rsid w:val="00DB7A41"/>
    <w:rsid w:val="00DB7DBC"/>
    <w:rsid w:val="00DC0456"/>
    <w:rsid w:val="00DC067F"/>
    <w:rsid w:val="00DC099D"/>
    <w:rsid w:val="00DC0B59"/>
    <w:rsid w:val="00DC0BB9"/>
    <w:rsid w:val="00DC0DA2"/>
    <w:rsid w:val="00DC0E43"/>
    <w:rsid w:val="00DC1C66"/>
    <w:rsid w:val="00DC1F3B"/>
    <w:rsid w:val="00DC2675"/>
    <w:rsid w:val="00DC3950"/>
    <w:rsid w:val="00DC3A0B"/>
    <w:rsid w:val="00DC4254"/>
    <w:rsid w:val="00DC4D22"/>
    <w:rsid w:val="00DC514D"/>
    <w:rsid w:val="00DC55A9"/>
    <w:rsid w:val="00DC5C66"/>
    <w:rsid w:val="00DC6272"/>
    <w:rsid w:val="00DC68DC"/>
    <w:rsid w:val="00DC6C1D"/>
    <w:rsid w:val="00DC6C3C"/>
    <w:rsid w:val="00DC71E4"/>
    <w:rsid w:val="00DD049C"/>
    <w:rsid w:val="00DD0936"/>
    <w:rsid w:val="00DD0D18"/>
    <w:rsid w:val="00DD0F1C"/>
    <w:rsid w:val="00DD17E9"/>
    <w:rsid w:val="00DD232D"/>
    <w:rsid w:val="00DD256A"/>
    <w:rsid w:val="00DD3571"/>
    <w:rsid w:val="00DD3A66"/>
    <w:rsid w:val="00DD3C46"/>
    <w:rsid w:val="00DD3D5C"/>
    <w:rsid w:val="00DD4179"/>
    <w:rsid w:val="00DD4271"/>
    <w:rsid w:val="00DD42F3"/>
    <w:rsid w:val="00DD45E6"/>
    <w:rsid w:val="00DD48DC"/>
    <w:rsid w:val="00DD539C"/>
    <w:rsid w:val="00DD6015"/>
    <w:rsid w:val="00DD624D"/>
    <w:rsid w:val="00DD6517"/>
    <w:rsid w:val="00DD68C5"/>
    <w:rsid w:val="00DD690A"/>
    <w:rsid w:val="00DD7712"/>
    <w:rsid w:val="00DD78F8"/>
    <w:rsid w:val="00DE0290"/>
    <w:rsid w:val="00DE0D99"/>
    <w:rsid w:val="00DE11B1"/>
    <w:rsid w:val="00DE122E"/>
    <w:rsid w:val="00DE1490"/>
    <w:rsid w:val="00DE15F6"/>
    <w:rsid w:val="00DE1731"/>
    <w:rsid w:val="00DE17EB"/>
    <w:rsid w:val="00DE1D0F"/>
    <w:rsid w:val="00DE20B8"/>
    <w:rsid w:val="00DE2907"/>
    <w:rsid w:val="00DE29C1"/>
    <w:rsid w:val="00DE3054"/>
    <w:rsid w:val="00DE30C4"/>
    <w:rsid w:val="00DE3418"/>
    <w:rsid w:val="00DE34EE"/>
    <w:rsid w:val="00DE371E"/>
    <w:rsid w:val="00DE3D74"/>
    <w:rsid w:val="00DE3E03"/>
    <w:rsid w:val="00DE3E28"/>
    <w:rsid w:val="00DE44CD"/>
    <w:rsid w:val="00DE57CA"/>
    <w:rsid w:val="00DE5909"/>
    <w:rsid w:val="00DE5D38"/>
    <w:rsid w:val="00DE5E33"/>
    <w:rsid w:val="00DE620B"/>
    <w:rsid w:val="00DE69B2"/>
    <w:rsid w:val="00DE6D30"/>
    <w:rsid w:val="00DE72D6"/>
    <w:rsid w:val="00DE7B45"/>
    <w:rsid w:val="00DF02A8"/>
    <w:rsid w:val="00DF031A"/>
    <w:rsid w:val="00DF0A0F"/>
    <w:rsid w:val="00DF0D64"/>
    <w:rsid w:val="00DF100A"/>
    <w:rsid w:val="00DF1757"/>
    <w:rsid w:val="00DF1D20"/>
    <w:rsid w:val="00DF2527"/>
    <w:rsid w:val="00DF273F"/>
    <w:rsid w:val="00DF3728"/>
    <w:rsid w:val="00DF3780"/>
    <w:rsid w:val="00DF4273"/>
    <w:rsid w:val="00DF43DF"/>
    <w:rsid w:val="00DF43FC"/>
    <w:rsid w:val="00DF481E"/>
    <w:rsid w:val="00DF4F53"/>
    <w:rsid w:val="00DF54B8"/>
    <w:rsid w:val="00DF5BA9"/>
    <w:rsid w:val="00DF5E58"/>
    <w:rsid w:val="00DF65A3"/>
    <w:rsid w:val="00E007D3"/>
    <w:rsid w:val="00E009FC"/>
    <w:rsid w:val="00E01DAF"/>
    <w:rsid w:val="00E020B6"/>
    <w:rsid w:val="00E02236"/>
    <w:rsid w:val="00E0301C"/>
    <w:rsid w:val="00E03F05"/>
    <w:rsid w:val="00E0422E"/>
    <w:rsid w:val="00E0427C"/>
    <w:rsid w:val="00E04792"/>
    <w:rsid w:val="00E04889"/>
    <w:rsid w:val="00E049E3"/>
    <w:rsid w:val="00E0507B"/>
    <w:rsid w:val="00E0586C"/>
    <w:rsid w:val="00E05D4B"/>
    <w:rsid w:val="00E0618C"/>
    <w:rsid w:val="00E06282"/>
    <w:rsid w:val="00E062B3"/>
    <w:rsid w:val="00E063B7"/>
    <w:rsid w:val="00E06B01"/>
    <w:rsid w:val="00E06C9E"/>
    <w:rsid w:val="00E072BF"/>
    <w:rsid w:val="00E07B5C"/>
    <w:rsid w:val="00E10845"/>
    <w:rsid w:val="00E10E57"/>
    <w:rsid w:val="00E123CE"/>
    <w:rsid w:val="00E12694"/>
    <w:rsid w:val="00E12727"/>
    <w:rsid w:val="00E12DC2"/>
    <w:rsid w:val="00E13174"/>
    <w:rsid w:val="00E1342F"/>
    <w:rsid w:val="00E135F0"/>
    <w:rsid w:val="00E13C39"/>
    <w:rsid w:val="00E13C7B"/>
    <w:rsid w:val="00E13D78"/>
    <w:rsid w:val="00E13E9A"/>
    <w:rsid w:val="00E13EAC"/>
    <w:rsid w:val="00E14349"/>
    <w:rsid w:val="00E14884"/>
    <w:rsid w:val="00E14983"/>
    <w:rsid w:val="00E14F9E"/>
    <w:rsid w:val="00E15546"/>
    <w:rsid w:val="00E15716"/>
    <w:rsid w:val="00E15FC8"/>
    <w:rsid w:val="00E1649E"/>
    <w:rsid w:val="00E168AE"/>
    <w:rsid w:val="00E16AA4"/>
    <w:rsid w:val="00E16BFE"/>
    <w:rsid w:val="00E16DC4"/>
    <w:rsid w:val="00E16FB2"/>
    <w:rsid w:val="00E17000"/>
    <w:rsid w:val="00E17024"/>
    <w:rsid w:val="00E172B8"/>
    <w:rsid w:val="00E174BA"/>
    <w:rsid w:val="00E20140"/>
    <w:rsid w:val="00E203D1"/>
    <w:rsid w:val="00E209F7"/>
    <w:rsid w:val="00E21542"/>
    <w:rsid w:val="00E21BBA"/>
    <w:rsid w:val="00E21F64"/>
    <w:rsid w:val="00E21FF4"/>
    <w:rsid w:val="00E22181"/>
    <w:rsid w:val="00E22328"/>
    <w:rsid w:val="00E226DE"/>
    <w:rsid w:val="00E22DCE"/>
    <w:rsid w:val="00E23552"/>
    <w:rsid w:val="00E236DA"/>
    <w:rsid w:val="00E23782"/>
    <w:rsid w:val="00E23818"/>
    <w:rsid w:val="00E2445C"/>
    <w:rsid w:val="00E245C6"/>
    <w:rsid w:val="00E251A6"/>
    <w:rsid w:val="00E25338"/>
    <w:rsid w:val="00E254C3"/>
    <w:rsid w:val="00E25AC2"/>
    <w:rsid w:val="00E26225"/>
    <w:rsid w:val="00E269A2"/>
    <w:rsid w:val="00E26F63"/>
    <w:rsid w:val="00E27715"/>
    <w:rsid w:val="00E27C56"/>
    <w:rsid w:val="00E27CC7"/>
    <w:rsid w:val="00E303AE"/>
    <w:rsid w:val="00E306FF"/>
    <w:rsid w:val="00E312FB"/>
    <w:rsid w:val="00E32B12"/>
    <w:rsid w:val="00E32F5B"/>
    <w:rsid w:val="00E32FF9"/>
    <w:rsid w:val="00E33868"/>
    <w:rsid w:val="00E3392F"/>
    <w:rsid w:val="00E33B87"/>
    <w:rsid w:val="00E342C9"/>
    <w:rsid w:val="00E3437B"/>
    <w:rsid w:val="00E349F1"/>
    <w:rsid w:val="00E351BE"/>
    <w:rsid w:val="00E35947"/>
    <w:rsid w:val="00E35C1E"/>
    <w:rsid w:val="00E35FC0"/>
    <w:rsid w:val="00E3723A"/>
    <w:rsid w:val="00E408A6"/>
    <w:rsid w:val="00E42CDC"/>
    <w:rsid w:val="00E42DEA"/>
    <w:rsid w:val="00E43076"/>
    <w:rsid w:val="00E432A2"/>
    <w:rsid w:val="00E43316"/>
    <w:rsid w:val="00E43D9E"/>
    <w:rsid w:val="00E440D3"/>
    <w:rsid w:val="00E440F8"/>
    <w:rsid w:val="00E44878"/>
    <w:rsid w:val="00E449BE"/>
    <w:rsid w:val="00E44C49"/>
    <w:rsid w:val="00E452D5"/>
    <w:rsid w:val="00E453D0"/>
    <w:rsid w:val="00E455A8"/>
    <w:rsid w:val="00E4568E"/>
    <w:rsid w:val="00E45B48"/>
    <w:rsid w:val="00E45FDF"/>
    <w:rsid w:val="00E46781"/>
    <w:rsid w:val="00E467C1"/>
    <w:rsid w:val="00E4682F"/>
    <w:rsid w:val="00E46D8E"/>
    <w:rsid w:val="00E47252"/>
    <w:rsid w:val="00E475CC"/>
    <w:rsid w:val="00E47706"/>
    <w:rsid w:val="00E478B2"/>
    <w:rsid w:val="00E5104F"/>
    <w:rsid w:val="00E51EAA"/>
    <w:rsid w:val="00E525A8"/>
    <w:rsid w:val="00E52A12"/>
    <w:rsid w:val="00E53E50"/>
    <w:rsid w:val="00E53E9A"/>
    <w:rsid w:val="00E53FFC"/>
    <w:rsid w:val="00E5576E"/>
    <w:rsid w:val="00E55ACC"/>
    <w:rsid w:val="00E55B39"/>
    <w:rsid w:val="00E55C9A"/>
    <w:rsid w:val="00E55E33"/>
    <w:rsid w:val="00E56207"/>
    <w:rsid w:val="00E5635B"/>
    <w:rsid w:val="00E56555"/>
    <w:rsid w:val="00E565CD"/>
    <w:rsid w:val="00E570AB"/>
    <w:rsid w:val="00E570C1"/>
    <w:rsid w:val="00E572F8"/>
    <w:rsid w:val="00E573C7"/>
    <w:rsid w:val="00E579E1"/>
    <w:rsid w:val="00E57B9A"/>
    <w:rsid w:val="00E57BBB"/>
    <w:rsid w:val="00E60213"/>
    <w:rsid w:val="00E60425"/>
    <w:rsid w:val="00E6183C"/>
    <w:rsid w:val="00E61861"/>
    <w:rsid w:val="00E61AD0"/>
    <w:rsid w:val="00E61D8A"/>
    <w:rsid w:val="00E61FE0"/>
    <w:rsid w:val="00E625C2"/>
    <w:rsid w:val="00E62FA6"/>
    <w:rsid w:val="00E62FA8"/>
    <w:rsid w:val="00E63397"/>
    <w:rsid w:val="00E63D8D"/>
    <w:rsid w:val="00E64003"/>
    <w:rsid w:val="00E6401F"/>
    <w:rsid w:val="00E64974"/>
    <w:rsid w:val="00E65025"/>
    <w:rsid w:val="00E66342"/>
    <w:rsid w:val="00E66574"/>
    <w:rsid w:val="00E67354"/>
    <w:rsid w:val="00E67771"/>
    <w:rsid w:val="00E7137A"/>
    <w:rsid w:val="00E7175E"/>
    <w:rsid w:val="00E71836"/>
    <w:rsid w:val="00E7203E"/>
    <w:rsid w:val="00E72132"/>
    <w:rsid w:val="00E72748"/>
    <w:rsid w:val="00E72D4C"/>
    <w:rsid w:val="00E72E9B"/>
    <w:rsid w:val="00E732E7"/>
    <w:rsid w:val="00E73958"/>
    <w:rsid w:val="00E73FD7"/>
    <w:rsid w:val="00E74C57"/>
    <w:rsid w:val="00E74E55"/>
    <w:rsid w:val="00E755D2"/>
    <w:rsid w:val="00E75A60"/>
    <w:rsid w:val="00E76268"/>
    <w:rsid w:val="00E76ACE"/>
    <w:rsid w:val="00E76CD2"/>
    <w:rsid w:val="00E7747B"/>
    <w:rsid w:val="00E803C6"/>
    <w:rsid w:val="00E80C61"/>
    <w:rsid w:val="00E80D7B"/>
    <w:rsid w:val="00E812BF"/>
    <w:rsid w:val="00E8163E"/>
    <w:rsid w:val="00E81A54"/>
    <w:rsid w:val="00E81F56"/>
    <w:rsid w:val="00E8217B"/>
    <w:rsid w:val="00E822F5"/>
    <w:rsid w:val="00E8256B"/>
    <w:rsid w:val="00E8267A"/>
    <w:rsid w:val="00E82AC6"/>
    <w:rsid w:val="00E82BEB"/>
    <w:rsid w:val="00E831C0"/>
    <w:rsid w:val="00E84084"/>
    <w:rsid w:val="00E8494E"/>
    <w:rsid w:val="00E8509A"/>
    <w:rsid w:val="00E85135"/>
    <w:rsid w:val="00E85BC1"/>
    <w:rsid w:val="00E8632F"/>
    <w:rsid w:val="00E863DE"/>
    <w:rsid w:val="00E86403"/>
    <w:rsid w:val="00E86551"/>
    <w:rsid w:val="00E86CE9"/>
    <w:rsid w:val="00E8765D"/>
    <w:rsid w:val="00E876E9"/>
    <w:rsid w:val="00E87FCA"/>
    <w:rsid w:val="00E901C6"/>
    <w:rsid w:val="00E903A7"/>
    <w:rsid w:val="00E90692"/>
    <w:rsid w:val="00E90D4E"/>
    <w:rsid w:val="00E9101C"/>
    <w:rsid w:val="00E91424"/>
    <w:rsid w:val="00E91971"/>
    <w:rsid w:val="00E91B34"/>
    <w:rsid w:val="00E91EEC"/>
    <w:rsid w:val="00E924A0"/>
    <w:rsid w:val="00E92FB1"/>
    <w:rsid w:val="00E93356"/>
    <w:rsid w:val="00E93D78"/>
    <w:rsid w:val="00E93E6C"/>
    <w:rsid w:val="00E9407E"/>
    <w:rsid w:val="00E9427D"/>
    <w:rsid w:val="00E94E26"/>
    <w:rsid w:val="00E95420"/>
    <w:rsid w:val="00E95D99"/>
    <w:rsid w:val="00E95FFC"/>
    <w:rsid w:val="00E96B0C"/>
    <w:rsid w:val="00E96B2D"/>
    <w:rsid w:val="00E970D6"/>
    <w:rsid w:val="00E97390"/>
    <w:rsid w:val="00E97853"/>
    <w:rsid w:val="00E97BB5"/>
    <w:rsid w:val="00EA00A8"/>
    <w:rsid w:val="00EA0FF9"/>
    <w:rsid w:val="00EA137D"/>
    <w:rsid w:val="00EA2170"/>
    <w:rsid w:val="00EA226A"/>
    <w:rsid w:val="00EA27EB"/>
    <w:rsid w:val="00EA3126"/>
    <w:rsid w:val="00EA3128"/>
    <w:rsid w:val="00EA398A"/>
    <w:rsid w:val="00EA3B9F"/>
    <w:rsid w:val="00EA3DA0"/>
    <w:rsid w:val="00EA3F7B"/>
    <w:rsid w:val="00EA3F8B"/>
    <w:rsid w:val="00EA42FA"/>
    <w:rsid w:val="00EA44B0"/>
    <w:rsid w:val="00EA4BAF"/>
    <w:rsid w:val="00EA4BDC"/>
    <w:rsid w:val="00EA585A"/>
    <w:rsid w:val="00EA598F"/>
    <w:rsid w:val="00EA5D81"/>
    <w:rsid w:val="00EA7E2F"/>
    <w:rsid w:val="00EA7EAB"/>
    <w:rsid w:val="00EB0326"/>
    <w:rsid w:val="00EB0791"/>
    <w:rsid w:val="00EB0872"/>
    <w:rsid w:val="00EB0C15"/>
    <w:rsid w:val="00EB2263"/>
    <w:rsid w:val="00EB2571"/>
    <w:rsid w:val="00EB31E6"/>
    <w:rsid w:val="00EB35D3"/>
    <w:rsid w:val="00EB3B8B"/>
    <w:rsid w:val="00EB4DE8"/>
    <w:rsid w:val="00EB537F"/>
    <w:rsid w:val="00EB5425"/>
    <w:rsid w:val="00EB5A49"/>
    <w:rsid w:val="00EB5BDD"/>
    <w:rsid w:val="00EB5D7F"/>
    <w:rsid w:val="00EB63D2"/>
    <w:rsid w:val="00EB6840"/>
    <w:rsid w:val="00EB6A69"/>
    <w:rsid w:val="00EB6A8E"/>
    <w:rsid w:val="00EB6C85"/>
    <w:rsid w:val="00EB72AB"/>
    <w:rsid w:val="00EB7705"/>
    <w:rsid w:val="00EB781D"/>
    <w:rsid w:val="00EB7BE9"/>
    <w:rsid w:val="00EC0EE3"/>
    <w:rsid w:val="00EC0FB8"/>
    <w:rsid w:val="00EC12F4"/>
    <w:rsid w:val="00EC1E5B"/>
    <w:rsid w:val="00EC2380"/>
    <w:rsid w:val="00EC2463"/>
    <w:rsid w:val="00EC272B"/>
    <w:rsid w:val="00EC2A73"/>
    <w:rsid w:val="00EC331D"/>
    <w:rsid w:val="00EC3384"/>
    <w:rsid w:val="00EC38B1"/>
    <w:rsid w:val="00EC422A"/>
    <w:rsid w:val="00EC43C1"/>
    <w:rsid w:val="00EC4497"/>
    <w:rsid w:val="00EC4A79"/>
    <w:rsid w:val="00EC4AAA"/>
    <w:rsid w:val="00EC4D09"/>
    <w:rsid w:val="00EC4E22"/>
    <w:rsid w:val="00EC50CF"/>
    <w:rsid w:val="00EC51C8"/>
    <w:rsid w:val="00EC52F6"/>
    <w:rsid w:val="00EC5449"/>
    <w:rsid w:val="00EC5A60"/>
    <w:rsid w:val="00EC5FEE"/>
    <w:rsid w:val="00EC6469"/>
    <w:rsid w:val="00EC6595"/>
    <w:rsid w:val="00EC692A"/>
    <w:rsid w:val="00EC6F98"/>
    <w:rsid w:val="00EC717F"/>
    <w:rsid w:val="00EC7338"/>
    <w:rsid w:val="00EC75FC"/>
    <w:rsid w:val="00EC7804"/>
    <w:rsid w:val="00EC794F"/>
    <w:rsid w:val="00EC7CFF"/>
    <w:rsid w:val="00ED03F7"/>
    <w:rsid w:val="00ED04CC"/>
    <w:rsid w:val="00ED0919"/>
    <w:rsid w:val="00ED1005"/>
    <w:rsid w:val="00ED10C0"/>
    <w:rsid w:val="00ED14EF"/>
    <w:rsid w:val="00ED1772"/>
    <w:rsid w:val="00ED18CF"/>
    <w:rsid w:val="00ED18DC"/>
    <w:rsid w:val="00ED1CBF"/>
    <w:rsid w:val="00ED21F9"/>
    <w:rsid w:val="00ED2252"/>
    <w:rsid w:val="00ED3070"/>
    <w:rsid w:val="00ED314E"/>
    <w:rsid w:val="00ED332F"/>
    <w:rsid w:val="00ED38FB"/>
    <w:rsid w:val="00ED4490"/>
    <w:rsid w:val="00ED5199"/>
    <w:rsid w:val="00ED530F"/>
    <w:rsid w:val="00ED5634"/>
    <w:rsid w:val="00ED580F"/>
    <w:rsid w:val="00ED593E"/>
    <w:rsid w:val="00ED5B62"/>
    <w:rsid w:val="00ED6B3C"/>
    <w:rsid w:val="00ED6CC7"/>
    <w:rsid w:val="00ED6F2C"/>
    <w:rsid w:val="00ED756B"/>
    <w:rsid w:val="00ED761B"/>
    <w:rsid w:val="00ED7885"/>
    <w:rsid w:val="00EE062A"/>
    <w:rsid w:val="00EE0891"/>
    <w:rsid w:val="00EE08D5"/>
    <w:rsid w:val="00EE0971"/>
    <w:rsid w:val="00EE0F50"/>
    <w:rsid w:val="00EE1026"/>
    <w:rsid w:val="00EE1045"/>
    <w:rsid w:val="00EE140B"/>
    <w:rsid w:val="00EE16D9"/>
    <w:rsid w:val="00EE2158"/>
    <w:rsid w:val="00EE2975"/>
    <w:rsid w:val="00EE2A21"/>
    <w:rsid w:val="00EE35F1"/>
    <w:rsid w:val="00EE3A26"/>
    <w:rsid w:val="00EE3B19"/>
    <w:rsid w:val="00EE4330"/>
    <w:rsid w:val="00EE5610"/>
    <w:rsid w:val="00EE5668"/>
    <w:rsid w:val="00EE5F00"/>
    <w:rsid w:val="00EE650B"/>
    <w:rsid w:val="00EE65D9"/>
    <w:rsid w:val="00EE6A7B"/>
    <w:rsid w:val="00EE6B79"/>
    <w:rsid w:val="00EE6E75"/>
    <w:rsid w:val="00EE71C6"/>
    <w:rsid w:val="00EE758A"/>
    <w:rsid w:val="00EE7737"/>
    <w:rsid w:val="00EE7B4C"/>
    <w:rsid w:val="00EF021D"/>
    <w:rsid w:val="00EF0670"/>
    <w:rsid w:val="00EF0771"/>
    <w:rsid w:val="00EF138B"/>
    <w:rsid w:val="00EF14BD"/>
    <w:rsid w:val="00EF159A"/>
    <w:rsid w:val="00EF1A72"/>
    <w:rsid w:val="00EF1BFB"/>
    <w:rsid w:val="00EF1C3B"/>
    <w:rsid w:val="00EF1D46"/>
    <w:rsid w:val="00EF32B4"/>
    <w:rsid w:val="00EF3C16"/>
    <w:rsid w:val="00EF4C4A"/>
    <w:rsid w:val="00EF5440"/>
    <w:rsid w:val="00EF5497"/>
    <w:rsid w:val="00EF5533"/>
    <w:rsid w:val="00EF5A45"/>
    <w:rsid w:val="00EF616D"/>
    <w:rsid w:val="00EF6343"/>
    <w:rsid w:val="00EF669B"/>
    <w:rsid w:val="00EF67B4"/>
    <w:rsid w:val="00EF6E1C"/>
    <w:rsid w:val="00EF722D"/>
    <w:rsid w:val="00EF73E6"/>
    <w:rsid w:val="00F007CA"/>
    <w:rsid w:val="00F00D89"/>
    <w:rsid w:val="00F00DA2"/>
    <w:rsid w:val="00F012DF"/>
    <w:rsid w:val="00F01D6E"/>
    <w:rsid w:val="00F03F58"/>
    <w:rsid w:val="00F03F84"/>
    <w:rsid w:val="00F04235"/>
    <w:rsid w:val="00F0454F"/>
    <w:rsid w:val="00F05216"/>
    <w:rsid w:val="00F05228"/>
    <w:rsid w:val="00F05C7B"/>
    <w:rsid w:val="00F067F6"/>
    <w:rsid w:val="00F07461"/>
    <w:rsid w:val="00F10EE4"/>
    <w:rsid w:val="00F1117E"/>
    <w:rsid w:val="00F115AE"/>
    <w:rsid w:val="00F1270D"/>
    <w:rsid w:val="00F12890"/>
    <w:rsid w:val="00F128E9"/>
    <w:rsid w:val="00F12CB8"/>
    <w:rsid w:val="00F12D88"/>
    <w:rsid w:val="00F13716"/>
    <w:rsid w:val="00F1375E"/>
    <w:rsid w:val="00F15700"/>
    <w:rsid w:val="00F163C7"/>
    <w:rsid w:val="00F1686B"/>
    <w:rsid w:val="00F16D8A"/>
    <w:rsid w:val="00F171BA"/>
    <w:rsid w:val="00F172FC"/>
    <w:rsid w:val="00F175B9"/>
    <w:rsid w:val="00F17633"/>
    <w:rsid w:val="00F17742"/>
    <w:rsid w:val="00F17B2F"/>
    <w:rsid w:val="00F17C93"/>
    <w:rsid w:val="00F20039"/>
    <w:rsid w:val="00F201E4"/>
    <w:rsid w:val="00F20C02"/>
    <w:rsid w:val="00F20CCC"/>
    <w:rsid w:val="00F20DA8"/>
    <w:rsid w:val="00F2187B"/>
    <w:rsid w:val="00F21B4F"/>
    <w:rsid w:val="00F22663"/>
    <w:rsid w:val="00F231E4"/>
    <w:rsid w:val="00F234B2"/>
    <w:rsid w:val="00F239A0"/>
    <w:rsid w:val="00F23C53"/>
    <w:rsid w:val="00F23C91"/>
    <w:rsid w:val="00F24F2A"/>
    <w:rsid w:val="00F25374"/>
    <w:rsid w:val="00F257F0"/>
    <w:rsid w:val="00F26BBE"/>
    <w:rsid w:val="00F27690"/>
    <w:rsid w:val="00F27AD5"/>
    <w:rsid w:val="00F27FA5"/>
    <w:rsid w:val="00F30038"/>
    <w:rsid w:val="00F3041C"/>
    <w:rsid w:val="00F30608"/>
    <w:rsid w:val="00F3081B"/>
    <w:rsid w:val="00F30D26"/>
    <w:rsid w:val="00F30DF6"/>
    <w:rsid w:val="00F319DF"/>
    <w:rsid w:val="00F31D5C"/>
    <w:rsid w:val="00F33298"/>
    <w:rsid w:val="00F33369"/>
    <w:rsid w:val="00F33540"/>
    <w:rsid w:val="00F338D9"/>
    <w:rsid w:val="00F338F0"/>
    <w:rsid w:val="00F3421B"/>
    <w:rsid w:val="00F34358"/>
    <w:rsid w:val="00F349E7"/>
    <w:rsid w:val="00F34BB6"/>
    <w:rsid w:val="00F350A0"/>
    <w:rsid w:val="00F3598E"/>
    <w:rsid w:val="00F363B4"/>
    <w:rsid w:val="00F3647C"/>
    <w:rsid w:val="00F364D0"/>
    <w:rsid w:val="00F366A9"/>
    <w:rsid w:val="00F37A04"/>
    <w:rsid w:val="00F37DA8"/>
    <w:rsid w:val="00F40C0C"/>
    <w:rsid w:val="00F41752"/>
    <w:rsid w:val="00F41B03"/>
    <w:rsid w:val="00F41CDD"/>
    <w:rsid w:val="00F42179"/>
    <w:rsid w:val="00F42282"/>
    <w:rsid w:val="00F424BC"/>
    <w:rsid w:val="00F437E2"/>
    <w:rsid w:val="00F4393A"/>
    <w:rsid w:val="00F43A50"/>
    <w:rsid w:val="00F43A89"/>
    <w:rsid w:val="00F43C88"/>
    <w:rsid w:val="00F43CAA"/>
    <w:rsid w:val="00F44FF4"/>
    <w:rsid w:val="00F4524A"/>
    <w:rsid w:val="00F4549A"/>
    <w:rsid w:val="00F45A3E"/>
    <w:rsid w:val="00F45BC0"/>
    <w:rsid w:val="00F45D2B"/>
    <w:rsid w:val="00F4623E"/>
    <w:rsid w:val="00F4662C"/>
    <w:rsid w:val="00F46FF4"/>
    <w:rsid w:val="00F470D5"/>
    <w:rsid w:val="00F47317"/>
    <w:rsid w:val="00F47834"/>
    <w:rsid w:val="00F4788A"/>
    <w:rsid w:val="00F47983"/>
    <w:rsid w:val="00F47C06"/>
    <w:rsid w:val="00F5016D"/>
    <w:rsid w:val="00F50866"/>
    <w:rsid w:val="00F5106C"/>
    <w:rsid w:val="00F51348"/>
    <w:rsid w:val="00F51612"/>
    <w:rsid w:val="00F52E6D"/>
    <w:rsid w:val="00F53747"/>
    <w:rsid w:val="00F537B2"/>
    <w:rsid w:val="00F54121"/>
    <w:rsid w:val="00F54D37"/>
    <w:rsid w:val="00F55471"/>
    <w:rsid w:val="00F55B0E"/>
    <w:rsid w:val="00F55FBB"/>
    <w:rsid w:val="00F56669"/>
    <w:rsid w:val="00F5667C"/>
    <w:rsid w:val="00F5696E"/>
    <w:rsid w:val="00F5733D"/>
    <w:rsid w:val="00F575E9"/>
    <w:rsid w:val="00F57EAA"/>
    <w:rsid w:val="00F60234"/>
    <w:rsid w:val="00F602A7"/>
    <w:rsid w:val="00F605A5"/>
    <w:rsid w:val="00F6091B"/>
    <w:rsid w:val="00F60BA1"/>
    <w:rsid w:val="00F60CDC"/>
    <w:rsid w:val="00F60F67"/>
    <w:rsid w:val="00F6114E"/>
    <w:rsid w:val="00F6120F"/>
    <w:rsid w:val="00F6198E"/>
    <w:rsid w:val="00F61B01"/>
    <w:rsid w:val="00F62494"/>
    <w:rsid w:val="00F62633"/>
    <w:rsid w:val="00F62647"/>
    <w:rsid w:val="00F626EB"/>
    <w:rsid w:val="00F62BE8"/>
    <w:rsid w:val="00F62F53"/>
    <w:rsid w:val="00F63A4E"/>
    <w:rsid w:val="00F641F2"/>
    <w:rsid w:val="00F645EB"/>
    <w:rsid w:val="00F64D5A"/>
    <w:rsid w:val="00F66032"/>
    <w:rsid w:val="00F66570"/>
    <w:rsid w:val="00F67019"/>
    <w:rsid w:val="00F671A3"/>
    <w:rsid w:val="00F671A4"/>
    <w:rsid w:val="00F67722"/>
    <w:rsid w:val="00F67C27"/>
    <w:rsid w:val="00F67E8D"/>
    <w:rsid w:val="00F70146"/>
    <w:rsid w:val="00F7058D"/>
    <w:rsid w:val="00F707F6"/>
    <w:rsid w:val="00F711CA"/>
    <w:rsid w:val="00F716AE"/>
    <w:rsid w:val="00F7256D"/>
    <w:rsid w:val="00F7293E"/>
    <w:rsid w:val="00F72AD1"/>
    <w:rsid w:val="00F72AD6"/>
    <w:rsid w:val="00F73155"/>
    <w:rsid w:val="00F7377B"/>
    <w:rsid w:val="00F738D1"/>
    <w:rsid w:val="00F74278"/>
    <w:rsid w:val="00F75426"/>
    <w:rsid w:val="00F7610E"/>
    <w:rsid w:val="00F76676"/>
    <w:rsid w:val="00F766E4"/>
    <w:rsid w:val="00F76727"/>
    <w:rsid w:val="00F76862"/>
    <w:rsid w:val="00F77ACD"/>
    <w:rsid w:val="00F77EAC"/>
    <w:rsid w:val="00F81402"/>
    <w:rsid w:val="00F8153D"/>
    <w:rsid w:val="00F815F3"/>
    <w:rsid w:val="00F817C2"/>
    <w:rsid w:val="00F81C2D"/>
    <w:rsid w:val="00F822D8"/>
    <w:rsid w:val="00F8297E"/>
    <w:rsid w:val="00F82BD1"/>
    <w:rsid w:val="00F82FA4"/>
    <w:rsid w:val="00F8301D"/>
    <w:rsid w:val="00F83795"/>
    <w:rsid w:val="00F837C1"/>
    <w:rsid w:val="00F83A37"/>
    <w:rsid w:val="00F84548"/>
    <w:rsid w:val="00F84800"/>
    <w:rsid w:val="00F84944"/>
    <w:rsid w:val="00F85610"/>
    <w:rsid w:val="00F85EAD"/>
    <w:rsid w:val="00F8693C"/>
    <w:rsid w:val="00F86B2B"/>
    <w:rsid w:val="00F86BBD"/>
    <w:rsid w:val="00F87025"/>
    <w:rsid w:val="00F8713D"/>
    <w:rsid w:val="00F8716B"/>
    <w:rsid w:val="00F877BC"/>
    <w:rsid w:val="00F87B3A"/>
    <w:rsid w:val="00F87DE1"/>
    <w:rsid w:val="00F900C9"/>
    <w:rsid w:val="00F90943"/>
    <w:rsid w:val="00F90E57"/>
    <w:rsid w:val="00F90F65"/>
    <w:rsid w:val="00F90F8A"/>
    <w:rsid w:val="00F91237"/>
    <w:rsid w:val="00F91D4D"/>
    <w:rsid w:val="00F92327"/>
    <w:rsid w:val="00F9267B"/>
    <w:rsid w:val="00F92709"/>
    <w:rsid w:val="00F92C46"/>
    <w:rsid w:val="00F92CDE"/>
    <w:rsid w:val="00F92DF3"/>
    <w:rsid w:val="00F93157"/>
    <w:rsid w:val="00F9404C"/>
    <w:rsid w:val="00F94845"/>
    <w:rsid w:val="00F96369"/>
    <w:rsid w:val="00F96D3F"/>
    <w:rsid w:val="00F9790A"/>
    <w:rsid w:val="00F97A45"/>
    <w:rsid w:val="00F97B39"/>
    <w:rsid w:val="00F97D5F"/>
    <w:rsid w:val="00FA0199"/>
    <w:rsid w:val="00FA019A"/>
    <w:rsid w:val="00FA03F1"/>
    <w:rsid w:val="00FA0F82"/>
    <w:rsid w:val="00FA1936"/>
    <w:rsid w:val="00FA19A1"/>
    <w:rsid w:val="00FA1A57"/>
    <w:rsid w:val="00FA23C3"/>
    <w:rsid w:val="00FA27F9"/>
    <w:rsid w:val="00FA34A5"/>
    <w:rsid w:val="00FA3753"/>
    <w:rsid w:val="00FA3935"/>
    <w:rsid w:val="00FA3E27"/>
    <w:rsid w:val="00FA3F69"/>
    <w:rsid w:val="00FA4173"/>
    <w:rsid w:val="00FA44CA"/>
    <w:rsid w:val="00FA4678"/>
    <w:rsid w:val="00FA4BB4"/>
    <w:rsid w:val="00FA4E50"/>
    <w:rsid w:val="00FA55F7"/>
    <w:rsid w:val="00FA5C83"/>
    <w:rsid w:val="00FA6413"/>
    <w:rsid w:val="00FA649B"/>
    <w:rsid w:val="00FA6A80"/>
    <w:rsid w:val="00FA6C30"/>
    <w:rsid w:val="00FA79ED"/>
    <w:rsid w:val="00FA7BAE"/>
    <w:rsid w:val="00FA7D79"/>
    <w:rsid w:val="00FB0702"/>
    <w:rsid w:val="00FB10A9"/>
    <w:rsid w:val="00FB161D"/>
    <w:rsid w:val="00FB1F4A"/>
    <w:rsid w:val="00FB250B"/>
    <w:rsid w:val="00FB2557"/>
    <w:rsid w:val="00FB2584"/>
    <w:rsid w:val="00FB2707"/>
    <w:rsid w:val="00FB2F4D"/>
    <w:rsid w:val="00FB32BD"/>
    <w:rsid w:val="00FB3402"/>
    <w:rsid w:val="00FB378A"/>
    <w:rsid w:val="00FB3B2F"/>
    <w:rsid w:val="00FB3ECC"/>
    <w:rsid w:val="00FB4DA3"/>
    <w:rsid w:val="00FB5489"/>
    <w:rsid w:val="00FB559E"/>
    <w:rsid w:val="00FB5CC3"/>
    <w:rsid w:val="00FB669F"/>
    <w:rsid w:val="00FB7378"/>
    <w:rsid w:val="00FC016B"/>
    <w:rsid w:val="00FC0F6A"/>
    <w:rsid w:val="00FC10CD"/>
    <w:rsid w:val="00FC20AD"/>
    <w:rsid w:val="00FC2215"/>
    <w:rsid w:val="00FC222A"/>
    <w:rsid w:val="00FC24FF"/>
    <w:rsid w:val="00FC2832"/>
    <w:rsid w:val="00FC2D60"/>
    <w:rsid w:val="00FC2E0A"/>
    <w:rsid w:val="00FC2EBF"/>
    <w:rsid w:val="00FC2FC1"/>
    <w:rsid w:val="00FC3267"/>
    <w:rsid w:val="00FC33BB"/>
    <w:rsid w:val="00FC3515"/>
    <w:rsid w:val="00FC3575"/>
    <w:rsid w:val="00FC3635"/>
    <w:rsid w:val="00FC3CA2"/>
    <w:rsid w:val="00FC4B3B"/>
    <w:rsid w:val="00FC4E75"/>
    <w:rsid w:val="00FC5477"/>
    <w:rsid w:val="00FC5913"/>
    <w:rsid w:val="00FC5B28"/>
    <w:rsid w:val="00FC5B77"/>
    <w:rsid w:val="00FC5F5F"/>
    <w:rsid w:val="00FC701E"/>
    <w:rsid w:val="00FC73C4"/>
    <w:rsid w:val="00FC751B"/>
    <w:rsid w:val="00FC7667"/>
    <w:rsid w:val="00FC7964"/>
    <w:rsid w:val="00FD00B0"/>
    <w:rsid w:val="00FD0377"/>
    <w:rsid w:val="00FD11C9"/>
    <w:rsid w:val="00FD162F"/>
    <w:rsid w:val="00FD16B3"/>
    <w:rsid w:val="00FD1927"/>
    <w:rsid w:val="00FD19E4"/>
    <w:rsid w:val="00FD1F56"/>
    <w:rsid w:val="00FD2443"/>
    <w:rsid w:val="00FD2685"/>
    <w:rsid w:val="00FD2D3D"/>
    <w:rsid w:val="00FD2E7A"/>
    <w:rsid w:val="00FD360B"/>
    <w:rsid w:val="00FD39B6"/>
    <w:rsid w:val="00FD4224"/>
    <w:rsid w:val="00FD458B"/>
    <w:rsid w:val="00FD4895"/>
    <w:rsid w:val="00FD48F2"/>
    <w:rsid w:val="00FD4ACB"/>
    <w:rsid w:val="00FD4CAD"/>
    <w:rsid w:val="00FD5638"/>
    <w:rsid w:val="00FD56DE"/>
    <w:rsid w:val="00FD58D3"/>
    <w:rsid w:val="00FD5DA1"/>
    <w:rsid w:val="00FD62D3"/>
    <w:rsid w:val="00FD6C11"/>
    <w:rsid w:val="00FD7454"/>
    <w:rsid w:val="00FE0344"/>
    <w:rsid w:val="00FE03CA"/>
    <w:rsid w:val="00FE04A2"/>
    <w:rsid w:val="00FE058D"/>
    <w:rsid w:val="00FE08D3"/>
    <w:rsid w:val="00FE0CCB"/>
    <w:rsid w:val="00FE1305"/>
    <w:rsid w:val="00FE1495"/>
    <w:rsid w:val="00FE1805"/>
    <w:rsid w:val="00FE2E2E"/>
    <w:rsid w:val="00FE3CEC"/>
    <w:rsid w:val="00FE3E4B"/>
    <w:rsid w:val="00FE402A"/>
    <w:rsid w:val="00FE4293"/>
    <w:rsid w:val="00FE5EAA"/>
    <w:rsid w:val="00FE6448"/>
    <w:rsid w:val="00FE64A1"/>
    <w:rsid w:val="00FE655D"/>
    <w:rsid w:val="00FE6593"/>
    <w:rsid w:val="00FE6EA3"/>
    <w:rsid w:val="00FE7B2C"/>
    <w:rsid w:val="00FF0049"/>
    <w:rsid w:val="00FF08C3"/>
    <w:rsid w:val="00FF0A09"/>
    <w:rsid w:val="00FF11B3"/>
    <w:rsid w:val="00FF208C"/>
    <w:rsid w:val="00FF22DB"/>
    <w:rsid w:val="00FF267C"/>
    <w:rsid w:val="00FF29B5"/>
    <w:rsid w:val="00FF3613"/>
    <w:rsid w:val="00FF4AD1"/>
    <w:rsid w:val="00FF4C1E"/>
    <w:rsid w:val="00FF4CCC"/>
    <w:rsid w:val="00FF4E64"/>
    <w:rsid w:val="00FF56B5"/>
    <w:rsid w:val="00FF5C1E"/>
    <w:rsid w:val="00FF6720"/>
    <w:rsid w:val="00FF6A8F"/>
    <w:rsid w:val="00FF71BD"/>
    <w:rsid w:val="00FF7339"/>
    <w:rsid w:val="00FF744C"/>
    <w:rsid w:val="00FF79B8"/>
    <w:rsid w:val="00FF7BEF"/>
    <w:rsid w:val="00FF7D1B"/>
    <w:rsid w:val="010473D8"/>
    <w:rsid w:val="01159392"/>
    <w:rsid w:val="0120D8E4"/>
    <w:rsid w:val="01510C1E"/>
    <w:rsid w:val="0174D516"/>
    <w:rsid w:val="02BD2C26"/>
    <w:rsid w:val="032C0006"/>
    <w:rsid w:val="035E91F7"/>
    <w:rsid w:val="03D9AB14"/>
    <w:rsid w:val="05177A07"/>
    <w:rsid w:val="05580860"/>
    <w:rsid w:val="0567B58D"/>
    <w:rsid w:val="056C180C"/>
    <w:rsid w:val="05A8CF4C"/>
    <w:rsid w:val="070127D8"/>
    <w:rsid w:val="070A46B9"/>
    <w:rsid w:val="0965FEC3"/>
    <w:rsid w:val="097BE8A4"/>
    <w:rsid w:val="09D94075"/>
    <w:rsid w:val="0A16153A"/>
    <w:rsid w:val="0A8F918F"/>
    <w:rsid w:val="0B2E50B1"/>
    <w:rsid w:val="0B5D4A3A"/>
    <w:rsid w:val="0BCA1BEE"/>
    <w:rsid w:val="0CB12E7F"/>
    <w:rsid w:val="0D158A8D"/>
    <w:rsid w:val="0DC0E898"/>
    <w:rsid w:val="0E387611"/>
    <w:rsid w:val="0E524957"/>
    <w:rsid w:val="0E61E388"/>
    <w:rsid w:val="0ED3053B"/>
    <w:rsid w:val="0EEA7ADC"/>
    <w:rsid w:val="0EF53F93"/>
    <w:rsid w:val="0F1C7221"/>
    <w:rsid w:val="0FF69DD5"/>
    <w:rsid w:val="0FFDB3E9"/>
    <w:rsid w:val="10B5A269"/>
    <w:rsid w:val="10C7B58E"/>
    <w:rsid w:val="11322989"/>
    <w:rsid w:val="11C3D21C"/>
    <w:rsid w:val="11CEE230"/>
    <w:rsid w:val="11F96D39"/>
    <w:rsid w:val="12232988"/>
    <w:rsid w:val="1247DAE8"/>
    <w:rsid w:val="127C914A"/>
    <w:rsid w:val="12B29FAF"/>
    <w:rsid w:val="12C77BAC"/>
    <w:rsid w:val="1302E85F"/>
    <w:rsid w:val="130D3CC3"/>
    <w:rsid w:val="136BC880"/>
    <w:rsid w:val="1499F2C4"/>
    <w:rsid w:val="14A37DF3"/>
    <w:rsid w:val="151B2835"/>
    <w:rsid w:val="15810D6C"/>
    <w:rsid w:val="1594302A"/>
    <w:rsid w:val="170B1570"/>
    <w:rsid w:val="180227EA"/>
    <w:rsid w:val="182FF22E"/>
    <w:rsid w:val="18D8575E"/>
    <w:rsid w:val="19631FD8"/>
    <w:rsid w:val="19B0B8E2"/>
    <w:rsid w:val="1A7A76E2"/>
    <w:rsid w:val="1AFCBF6D"/>
    <w:rsid w:val="1B74057C"/>
    <w:rsid w:val="1BE894DA"/>
    <w:rsid w:val="1C12ED5C"/>
    <w:rsid w:val="1CC8DBC2"/>
    <w:rsid w:val="1E328465"/>
    <w:rsid w:val="213C40F7"/>
    <w:rsid w:val="216C00F1"/>
    <w:rsid w:val="22D5DD52"/>
    <w:rsid w:val="23382D05"/>
    <w:rsid w:val="24193447"/>
    <w:rsid w:val="247A6CD0"/>
    <w:rsid w:val="24AC4CB1"/>
    <w:rsid w:val="256B13CC"/>
    <w:rsid w:val="25BA171E"/>
    <w:rsid w:val="260595C7"/>
    <w:rsid w:val="26455337"/>
    <w:rsid w:val="26538C51"/>
    <w:rsid w:val="26553F77"/>
    <w:rsid w:val="2662EED5"/>
    <w:rsid w:val="2682BA85"/>
    <w:rsid w:val="27A63AC7"/>
    <w:rsid w:val="289C4202"/>
    <w:rsid w:val="297FE633"/>
    <w:rsid w:val="2A43308A"/>
    <w:rsid w:val="2A63C7BC"/>
    <w:rsid w:val="2A90C53E"/>
    <w:rsid w:val="2A95548F"/>
    <w:rsid w:val="2B8E545D"/>
    <w:rsid w:val="2BB29B0B"/>
    <w:rsid w:val="2BE7570B"/>
    <w:rsid w:val="2C06269C"/>
    <w:rsid w:val="2C722406"/>
    <w:rsid w:val="2C781B23"/>
    <w:rsid w:val="2DAD2230"/>
    <w:rsid w:val="2EECCC7E"/>
    <w:rsid w:val="2F1D3109"/>
    <w:rsid w:val="2F7BB928"/>
    <w:rsid w:val="30B9016A"/>
    <w:rsid w:val="30E32F5B"/>
    <w:rsid w:val="3134ACBE"/>
    <w:rsid w:val="315B95A1"/>
    <w:rsid w:val="31ACC45D"/>
    <w:rsid w:val="31DF9947"/>
    <w:rsid w:val="3254D1CB"/>
    <w:rsid w:val="328DDCB3"/>
    <w:rsid w:val="32F287C4"/>
    <w:rsid w:val="3609DCEC"/>
    <w:rsid w:val="3633E54F"/>
    <w:rsid w:val="364EDB28"/>
    <w:rsid w:val="36D9688C"/>
    <w:rsid w:val="37303074"/>
    <w:rsid w:val="377378E5"/>
    <w:rsid w:val="38B2479C"/>
    <w:rsid w:val="39C61CBC"/>
    <w:rsid w:val="3A126AEF"/>
    <w:rsid w:val="3A3F2933"/>
    <w:rsid w:val="3AF8D684"/>
    <w:rsid w:val="3BEA793A"/>
    <w:rsid w:val="3CABAF05"/>
    <w:rsid w:val="3DE478F4"/>
    <w:rsid w:val="3EBA07E2"/>
    <w:rsid w:val="3F16C83B"/>
    <w:rsid w:val="3F29E6A6"/>
    <w:rsid w:val="40D78439"/>
    <w:rsid w:val="4108C1CC"/>
    <w:rsid w:val="429A805B"/>
    <w:rsid w:val="4305731B"/>
    <w:rsid w:val="4366A60E"/>
    <w:rsid w:val="43B65952"/>
    <w:rsid w:val="43EB6580"/>
    <w:rsid w:val="442ACCBB"/>
    <w:rsid w:val="4440628E"/>
    <w:rsid w:val="444B2D93"/>
    <w:rsid w:val="457A8C81"/>
    <w:rsid w:val="467722B4"/>
    <w:rsid w:val="467EF7B1"/>
    <w:rsid w:val="46A370AA"/>
    <w:rsid w:val="46B3232E"/>
    <w:rsid w:val="46D5D6BE"/>
    <w:rsid w:val="47CBA388"/>
    <w:rsid w:val="48C8FC42"/>
    <w:rsid w:val="492DC4C2"/>
    <w:rsid w:val="496191E7"/>
    <w:rsid w:val="49EFA5CD"/>
    <w:rsid w:val="4AA8617A"/>
    <w:rsid w:val="4C2BADDB"/>
    <w:rsid w:val="4C901390"/>
    <w:rsid w:val="4CF3E069"/>
    <w:rsid w:val="4D441C23"/>
    <w:rsid w:val="4DD4901F"/>
    <w:rsid w:val="4E8FB0CA"/>
    <w:rsid w:val="4F402B4C"/>
    <w:rsid w:val="50DF9DAD"/>
    <w:rsid w:val="511E94BC"/>
    <w:rsid w:val="51DA430B"/>
    <w:rsid w:val="520B9975"/>
    <w:rsid w:val="5250A542"/>
    <w:rsid w:val="540DEBCA"/>
    <w:rsid w:val="545E73DE"/>
    <w:rsid w:val="54A53D4C"/>
    <w:rsid w:val="55271893"/>
    <w:rsid w:val="55440B4F"/>
    <w:rsid w:val="565B252D"/>
    <w:rsid w:val="568822AF"/>
    <w:rsid w:val="57748F94"/>
    <w:rsid w:val="57EB874A"/>
    <w:rsid w:val="5A832AEF"/>
    <w:rsid w:val="5ABEB86C"/>
    <w:rsid w:val="5AC0C6D5"/>
    <w:rsid w:val="5AC7ECCC"/>
    <w:rsid w:val="5D57F284"/>
    <w:rsid w:val="5DC44C76"/>
    <w:rsid w:val="5DD9D55B"/>
    <w:rsid w:val="5E92065B"/>
    <w:rsid w:val="5F793C09"/>
    <w:rsid w:val="603EC048"/>
    <w:rsid w:val="60C2FE11"/>
    <w:rsid w:val="619FA729"/>
    <w:rsid w:val="61AAC569"/>
    <w:rsid w:val="6320DC8B"/>
    <w:rsid w:val="63D1ECD7"/>
    <w:rsid w:val="66179F13"/>
    <w:rsid w:val="66B16607"/>
    <w:rsid w:val="67884D8A"/>
    <w:rsid w:val="678A2D2B"/>
    <w:rsid w:val="67BCA01F"/>
    <w:rsid w:val="683B7C03"/>
    <w:rsid w:val="684BBBC7"/>
    <w:rsid w:val="685F288B"/>
    <w:rsid w:val="6886BF83"/>
    <w:rsid w:val="68E38971"/>
    <w:rsid w:val="6A22A361"/>
    <w:rsid w:val="6A2993BA"/>
    <w:rsid w:val="6B739C53"/>
    <w:rsid w:val="6BB0A592"/>
    <w:rsid w:val="6BBE73C2"/>
    <w:rsid w:val="6BEB0519"/>
    <w:rsid w:val="6D0E2862"/>
    <w:rsid w:val="6D598DA7"/>
    <w:rsid w:val="6E5DF82C"/>
    <w:rsid w:val="6F406E10"/>
    <w:rsid w:val="7022C8CE"/>
    <w:rsid w:val="7091E4E5"/>
    <w:rsid w:val="70D311B1"/>
    <w:rsid w:val="70E75414"/>
    <w:rsid w:val="71F8D3CF"/>
    <w:rsid w:val="73715EA5"/>
    <w:rsid w:val="74514E3E"/>
    <w:rsid w:val="746A83A5"/>
    <w:rsid w:val="74A32D53"/>
    <w:rsid w:val="756989B5"/>
    <w:rsid w:val="75DBAEB6"/>
    <w:rsid w:val="77929914"/>
    <w:rsid w:val="77E7B32A"/>
    <w:rsid w:val="78521F5B"/>
    <w:rsid w:val="793ADD7C"/>
    <w:rsid w:val="7A552716"/>
    <w:rsid w:val="7ABA427F"/>
    <w:rsid w:val="7C237430"/>
    <w:rsid w:val="7D25F581"/>
    <w:rsid w:val="7D7BB77B"/>
    <w:rsid w:val="7DA70184"/>
    <w:rsid w:val="7E0C9FEF"/>
    <w:rsid w:val="7E1A02D3"/>
    <w:rsid w:val="7EF38A96"/>
    <w:rsid w:val="7FF8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3CB76F"/>
  <w15:chartTrackingRefBased/>
  <w15:docId w15:val="{6F375694-F849-4197-A120-6D11D084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2B3C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7"/>
    <w:qFormat/>
    <w:rsid w:val="009B400C"/>
    <w:pPr>
      <w:spacing w:before="240" w:after="0"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C66CA0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7"/>
    <w:rsid w:val="00B92577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4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B92577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4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15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15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1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15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3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15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2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15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15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9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9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C57BD1"/>
    <w:pPr>
      <w:pBdr>
        <w:bottom w:val="single" w:sz="12" w:space="1" w:color="595959" w:themeColor="text1" w:themeTint="A6"/>
      </w:pBdr>
      <w:spacing w:before="36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8800DB"/>
    <w:pPr>
      <w:keepNext/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C57BD1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1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6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6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44D13"/>
    <w:rPr>
      <w:color w:val="605E5C"/>
      <w:shd w:val="clear" w:color="auto" w:fill="E1DFDD"/>
    </w:rPr>
  </w:style>
  <w:style w:type="paragraph" w:customStyle="1" w:styleId="pododr">
    <w:name w:val="pod odr."/>
    <w:basedOn w:val="odrpsm"/>
    <w:uiPriority w:val="9"/>
    <w:qFormat/>
    <w:rsid w:val="00D6255F"/>
    <w:pPr>
      <w:ind w:left="1418" w:hanging="317"/>
    </w:pPr>
  </w:style>
  <w:style w:type="paragraph" w:customStyle="1" w:styleId="PodOdst">
    <w:name w:val="Pod Odst."/>
    <w:basedOn w:val="Normln"/>
    <w:uiPriority w:val="4"/>
    <w:qFormat/>
    <w:rsid w:val="00D6255F"/>
    <w:pPr>
      <w:spacing w:before="240"/>
      <w:ind w:left="709" w:hanging="709"/>
      <w:jc w:val="both"/>
    </w:pPr>
    <w:rPr>
      <w:rFonts w:ascii="Arial" w:hAnsi="Arial" w:cs="Tahoma"/>
      <w:b/>
      <w:bCs/>
      <w:caps/>
      <w:sz w:val="22"/>
      <w:szCs w:val="20"/>
    </w:rPr>
  </w:style>
  <w:style w:type="paragraph" w:customStyle="1" w:styleId="odrpsm">
    <w:name w:val="odr. písm."/>
    <w:basedOn w:val="Normln"/>
    <w:uiPriority w:val="8"/>
    <w:qFormat/>
    <w:rsid w:val="00D6255F"/>
    <w:pPr>
      <w:ind w:left="993" w:hanging="426"/>
      <w:jc w:val="both"/>
    </w:pPr>
    <w:rPr>
      <w:rFonts w:cs="Tahoma"/>
    </w:rPr>
  </w:style>
  <w:style w:type="paragraph" w:customStyle="1" w:styleId="Normlntext">
    <w:name w:val="Normální text"/>
    <w:basedOn w:val="Normln"/>
    <w:qFormat/>
    <w:rsid w:val="00D6255F"/>
    <w:pPr>
      <w:jc w:val="both"/>
    </w:pPr>
    <w:rPr>
      <w:rFonts w:cs="Tahoma"/>
    </w:rPr>
  </w:style>
  <w:style w:type="paragraph" w:customStyle="1" w:styleId="Odrkyodst">
    <w:name w:val="Odrážky odst."/>
    <w:basedOn w:val="Seznamsodrkami2"/>
    <w:autoRedefine/>
    <w:qFormat/>
    <w:rsid w:val="00D6255F"/>
    <w:pPr>
      <w:numPr>
        <w:numId w:val="13"/>
      </w:numPr>
      <w:tabs>
        <w:tab w:val="num" w:pos="360"/>
      </w:tabs>
      <w:contextualSpacing w:val="0"/>
      <w:jc w:val="both"/>
    </w:pPr>
    <w:rPr>
      <w:rFonts w:cs="Tahoma"/>
      <w:szCs w:val="20"/>
    </w:rPr>
  </w:style>
  <w:style w:type="paragraph" w:styleId="Seznamsodrkami2">
    <w:name w:val="List Bullet 2"/>
    <w:basedOn w:val="Normln"/>
    <w:uiPriority w:val="99"/>
    <w:semiHidden/>
    <w:unhideWhenUsed/>
    <w:rsid w:val="00D6255F"/>
    <w:pPr>
      <w:numPr>
        <w:numId w:val="12"/>
      </w:numPr>
      <w:contextualSpacing/>
    </w:pPr>
  </w:style>
  <w:style w:type="paragraph" w:customStyle="1" w:styleId="lnek">
    <w:name w:val="Článek"/>
    <w:basedOn w:val="Normln"/>
    <w:uiPriority w:val="2"/>
    <w:qFormat/>
    <w:rsid w:val="001201DA"/>
    <w:pPr>
      <w:keepNext/>
      <w:spacing w:before="360" w:after="240"/>
      <w:ind w:left="851" w:hanging="851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Pod-lnek">
    <w:name w:val="Pod-článek"/>
    <w:basedOn w:val="Normln"/>
    <w:link w:val="Pod-lnekChar"/>
    <w:uiPriority w:val="3"/>
    <w:qFormat/>
    <w:rsid w:val="001201DA"/>
    <w:pPr>
      <w:keepNext/>
      <w:spacing w:before="240" w:after="240"/>
      <w:ind w:left="851" w:hanging="851"/>
      <w:outlineLvl w:val="1"/>
    </w:pPr>
    <w:rPr>
      <w:rFonts w:ascii="Arial" w:hAnsi="Arial" w:cs="Arial"/>
      <w:b/>
      <w:bCs/>
      <w:sz w:val="22"/>
    </w:rPr>
  </w:style>
  <w:style w:type="paragraph" w:customStyle="1" w:styleId="Pod-lnek2">
    <w:name w:val="Pod-článek 2"/>
    <w:basedOn w:val="Normln"/>
    <w:uiPriority w:val="5"/>
    <w:qFormat/>
    <w:rsid w:val="001201DA"/>
    <w:pPr>
      <w:keepNext/>
      <w:spacing w:before="240" w:after="240"/>
      <w:ind w:left="851" w:hanging="851"/>
      <w:outlineLvl w:val="1"/>
    </w:pPr>
    <w:rPr>
      <w:rFonts w:ascii="Arial" w:hAnsi="Arial" w:cs="Arial"/>
      <w:b/>
      <w:bCs/>
      <w:sz w:val="22"/>
    </w:rPr>
  </w:style>
  <w:style w:type="character" w:customStyle="1" w:styleId="Pod-lnekChar">
    <w:name w:val="Pod-článek Char"/>
    <w:basedOn w:val="Standardnpsmoodstavce"/>
    <w:link w:val="Pod-lnek"/>
    <w:uiPriority w:val="3"/>
    <w:rsid w:val="001201DA"/>
    <w:rPr>
      <w:rFonts w:ascii="Arial" w:hAnsi="Arial" w:cs="Arial"/>
      <w:b/>
      <w:bCs/>
    </w:rPr>
  </w:style>
  <w:style w:type="paragraph" w:customStyle="1" w:styleId="Pod-lnek3">
    <w:name w:val="Pod-článek 3"/>
    <w:basedOn w:val="Normln"/>
    <w:uiPriority w:val="6"/>
    <w:qFormat/>
    <w:rsid w:val="001201DA"/>
    <w:pPr>
      <w:spacing w:after="240"/>
      <w:ind w:left="1701" w:hanging="850"/>
      <w:jc w:val="both"/>
    </w:pPr>
    <w:rPr>
      <w:rFonts w:ascii="Arial" w:hAnsi="Arial"/>
    </w:rPr>
  </w:style>
  <w:style w:type="paragraph" w:customStyle="1" w:styleId="Psmenoa">
    <w:name w:val="Písmeno (a)"/>
    <w:basedOn w:val="Normln"/>
    <w:uiPriority w:val="7"/>
    <w:qFormat/>
    <w:rsid w:val="001201DA"/>
    <w:pPr>
      <w:spacing w:after="240"/>
      <w:ind w:left="1701" w:hanging="850"/>
      <w:jc w:val="both"/>
    </w:pPr>
    <w:rPr>
      <w:rFonts w:ascii="Arial" w:hAnsi="Arial"/>
    </w:rPr>
  </w:style>
  <w:style w:type="paragraph" w:customStyle="1" w:styleId="Psmenoa0">
    <w:name w:val="Písmeno a)"/>
    <w:basedOn w:val="Normln"/>
    <w:uiPriority w:val="8"/>
    <w:qFormat/>
    <w:rsid w:val="001201DA"/>
    <w:pPr>
      <w:spacing w:after="240"/>
      <w:ind w:left="1701" w:hanging="850"/>
      <w:jc w:val="both"/>
    </w:pPr>
    <w:rPr>
      <w:rFonts w:ascii="Arial" w:hAnsi="Arial"/>
    </w:rPr>
  </w:style>
  <w:style w:type="paragraph" w:customStyle="1" w:styleId="PsmenoapodPod-lnek3">
    <w:name w:val="Písmeno (a) pod Pod-článek 3"/>
    <w:basedOn w:val="Normln"/>
    <w:uiPriority w:val="12"/>
    <w:qFormat/>
    <w:rsid w:val="001201DA"/>
    <w:pPr>
      <w:spacing w:after="240"/>
      <w:ind w:left="2552" w:hanging="851"/>
      <w:jc w:val="both"/>
    </w:pPr>
    <w:rPr>
      <w:rFonts w:ascii="Arial" w:hAnsi="Arial"/>
    </w:rPr>
  </w:style>
  <w:style w:type="paragraph" w:customStyle="1" w:styleId="Tabodsazen1">
    <w:name w:val="Tab. odsazený 1"/>
    <w:basedOn w:val="Normln"/>
    <w:link w:val="Tabodsazen1Char"/>
    <w:uiPriority w:val="14"/>
    <w:rsid w:val="00704949"/>
    <w:pPr>
      <w:spacing w:after="60"/>
      <w:ind w:left="397" w:hanging="397"/>
    </w:pPr>
  </w:style>
  <w:style w:type="paragraph" w:customStyle="1" w:styleId="Tabodsazen2">
    <w:name w:val="Tab. odsazený 2"/>
    <w:basedOn w:val="Normln"/>
    <w:link w:val="Tabodsazen2Char"/>
    <w:uiPriority w:val="15"/>
    <w:rsid w:val="00704949"/>
    <w:pPr>
      <w:spacing w:after="60"/>
      <w:ind w:left="794" w:hanging="397"/>
    </w:pPr>
  </w:style>
  <w:style w:type="character" w:customStyle="1" w:styleId="Tabodsazen1Char">
    <w:name w:val="Tab. odsazený 1 Char"/>
    <w:basedOn w:val="Standardnpsmoodstavce"/>
    <w:link w:val="Tabodsazen1"/>
    <w:uiPriority w:val="14"/>
    <w:rsid w:val="00704949"/>
    <w:rPr>
      <w:rFonts w:ascii="Tahoma" w:hAnsi="Tahoma"/>
      <w:sz w:val="20"/>
    </w:rPr>
  </w:style>
  <w:style w:type="paragraph" w:styleId="Textpoznpodarou">
    <w:name w:val="footnote text"/>
    <w:basedOn w:val="Normln"/>
    <w:link w:val="TextpoznpodarouChar"/>
    <w:uiPriority w:val="99"/>
    <w:rsid w:val="00184633"/>
    <w:pPr>
      <w:spacing w:after="60" w:line="240" w:lineRule="auto"/>
      <w:ind w:left="284" w:hanging="284"/>
      <w:jc w:val="both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84633"/>
    <w:rPr>
      <w:rFonts w:ascii="Tahoma" w:hAnsi="Tahoma"/>
      <w:sz w:val="18"/>
      <w:szCs w:val="20"/>
    </w:rPr>
  </w:style>
  <w:style w:type="character" w:customStyle="1" w:styleId="Tabodsazen2Char">
    <w:name w:val="Tab. odsazený 2 Char"/>
    <w:basedOn w:val="Standardnpsmoodstavce"/>
    <w:link w:val="Tabodsazen2"/>
    <w:uiPriority w:val="15"/>
    <w:rsid w:val="00704949"/>
    <w:rPr>
      <w:rFonts w:ascii="Tahoma" w:hAnsi="Tahoma"/>
      <w:sz w:val="20"/>
    </w:rPr>
  </w:style>
  <w:style w:type="paragraph" w:styleId="Revize">
    <w:name w:val="Revision"/>
    <w:hidden/>
    <w:uiPriority w:val="99"/>
    <w:semiHidden/>
    <w:rsid w:val="00A14B35"/>
    <w:pPr>
      <w:spacing w:after="0" w:line="240" w:lineRule="auto"/>
    </w:pPr>
    <w:rPr>
      <w:rFonts w:ascii="Tahoma" w:hAnsi="Tahoma"/>
      <w:sz w:val="20"/>
    </w:rPr>
  </w:style>
  <w:style w:type="paragraph" w:customStyle="1" w:styleId="TabpodTabPsm">
    <w:name w:val="Tab. pod Tab. Písm."/>
    <w:basedOn w:val="Normln"/>
    <w:link w:val="TabpodTabPsmChar"/>
    <w:uiPriority w:val="15"/>
    <w:qFormat/>
    <w:rsid w:val="009C297D"/>
    <w:pPr>
      <w:spacing w:after="0"/>
      <w:ind w:left="567"/>
    </w:pPr>
  </w:style>
  <w:style w:type="paragraph" w:customStyle="1" w:styleId="TabPsm">
    <w:name w:val="Tab. Písm."/>
    <w:basedOn w:val="Normln"/>
    <w:link w:val="TabPsmChar"/>
    <w:uiPriority w:val="14"/>
    <w:qFormat/>
    <w:rsid w:val="008043E8"/>
    <w:pPr>
      <w:numPr>
        <w:numId w:val="34"/>
      </w:numPr>
      <w:spacing w:after="60"/>
    </w:pPr>
  </w:style>
  <w:style w:type="paragraph" w:customStyle="1" w:styleId="Tabm">
    <w:name w:val="Tab. Řím"/>
    <w:basedOn w:val="Normln"/>
    <w:link w:val="TabmChar"/>
    <w:uiPriority w:val="16"/>
    <w:qFormat/>
    <w:rsid w:val="009C297D"/>
    <w:pPr>
      <w:numPr>
        <w:numId w:val="18"/>
      </w:numPr>
      <w:spacing w:after="60"/>
    </w:pPr>
  </w:style>
  <w:style w:type="character" w:customStyle="1" w:styleId="TabPsmChar">
    <w:name w:val="Tab. Písm. Char"/>
    <w:basedOn w:val="Standardnpsmoodstavce"/>
    <w:link w:val="TabPsm"/>
    <w:uiPriority w:val="14"/>
    <w:rsid w:val="008043E8"/>
    <w:rPr>
      <w:rFonts w:ascii="Tahoma" w:hAnsi="Tahoma"/>
      <w:sz w:val="20"/>
    </w:rPr>
  </w:style>
  <w:style w:type="character" w:customStyle="1" w:styleId="TabmChar">
    <w:name w:val="Tab. Řím Char"/>
    <w:basedOn w:val="Standardnpsmoodstavce"/>
    <w:link w:val="Tabm"/>
    <w:uiPriority w:val="16"/>
    <w:rsid w:val="009C297D"/>
    <w:rPr>
      <w:rFonts w:ascii="Tahoma" w:hAnsi="Tahoma"/>
      <w:sz w:val="20"/>
    </w:rPr>
  </w:style>
  <w:style w:type="character" w:customStyle="1" w:styleId="TabpodTabPsmChar">
    <w:name w:val="Tab. pod Tab. Písm. Char"/>
    <w:basedOn w:val="Standardnpsmoodstavce"/>
    <w:link w:val="TabpodTabPsm"/>
    <w:uiPriority w:val="15"/>
    <w:rsid w:val="009C297D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mailto:fakturace@pvs.cz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fdi.cz/pravidla-metodiky-a-ceniky/metodiky/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fakturace@tsk-praha.cz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petr.kalous@tsk-praha.cz" TargetMode="External"/><Relationship Id="rId20" Type="http://schemas.openxmlformats.org/officeDocument/2006/relationships/hyperlink" Target="https://www.sfdi.cz/pravidla-metodiky-a-ceniky/metodik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zuzana.hronova@tsk-praha.cz" TargetMode="External"/><Relationship Id="rId23" Type="http://schemas.openxmlformats.org/officeDocument/2006/relationships/hyperlink" Target="https://www.sfdi.cz/pravidla-metodiky-a-ceniky/metodiky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sfdi.cz/pravidla-metodiky-a-ceniky/metodik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fdi.cz/pravidla-metodiky-a-ceniky/metodiky/" TargetMode="External"/><Relationship Id="rId22" Type="http://schemas.openxmlformats.org/officeDocument/2006/relationships/hyperlink" Target="https://www.sfdi.cz/pravidla-metodiky-a-ceniky/metodik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61F755CD23644ADDD0DB9E25B2508" ma:contentTypeVersion="4" ma:contentTypeDescription="Create a new document." ma:contentTypeScope="" ma:versionID="5312f21b8506f1847d437862d48a98cf">
  <xsd:schema xmlns:xsd="http://www.w3.org/2001/XMLSchema" xmlns:xs="http://www.w3.org/2001/XMLSchema" xmlns:p="http://schemas.microsoft.com/office/2006/metadata/properties" xmlns:ns2="95b0914e-8c66-4019-a007-415c3920d071" targetNamespace="http://schemas.microsoft.com/office/2006/metadata/properties" ma:root="true" ma:fieldsID="a09adf558896186ba5d68f38ebb48bfa" ns2:_="">
    <xsd:import namespace="95b0914e-8c66-4019-a007-415c3920d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0914e-8c66-4019-a007-415c3920d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B780A9-0B7E-46A1-B781-F9EE1D83D4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10BF71-AAA3-456D-9E56-84D602A200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5D1A7-5692-4410-8AAC-1EA597106B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E03638-1B34-40BE-A1F0-27EB503AF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0914e-8c66-4019-a007-415c3920d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3140</Words>
  <Characters>18527</Characters>
  <Application>Microsoft Office Word</Application>
  <DocSecurity>0</DocSecurity>
  <Lines>154</Lines>
  <Paragraphs>43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21624</CharactersWithSpaces>
  <SharedDoc>false</SharedDoc>
  <HLinks>
    <vt:vector size="42" baseType="variant">
      <vt:variant>
        <vt:i4>5242898</vt:i4>
      </vt:variant>
      <vt:variant>
        <vt:i4>18</vt:i4>
      </vt:variant>
      <vt:variant>
        <vt:i4>0</vt:i4>
      </vt:variant>
      <vt:variant>
        <vt:i4>5</vt:i4>
      </vt:variant>
      <vt:variant>
        <vt:lpwstr>https://www.sfdi.cz/pravidla-metodiky-a-ceniky/metodiky/</vt:lpwstr>
      </vt:variant>
      <vt:variant>
        <vt:lpwstr/>
      </vt:variant>
      <vt:variant>
        <vt:i4>5242898</vt:i4>
      </vt:variant>
      <vt:variant>
        <vt:i4>15</vt:i4>
      </vt:variant>
      <vt:variant>
        <vt:i4>0</vt:i4>
      </vt:variant>
      <vt:variant>
        <vt:i4>5</vt:i4>
      </vt:variant>
      <vt:variant>
        <vt:lpwstr>https://www.sfdi.cz/pravidla-metodiky-a-ceniky/metodiky/</vt:lpwstr>
      </vt:variant>
      <vt:variant>
        <vt:lpwstr/>
      </vt:variant>
      <vt:variant>
        <vt:i4>5242898</vt:i4>
      </vt:variant>
      <vt:variant>
        <vt:i4>12</vt:i4>
      </vt:variant>
      <vt:variant>
        <vt:i4>0</vt:i4>
      </vt:variant>
      <vt:variant>
        <vt:i4>5</vt:i4>
      </vt:variant>
      <vt:variant>
        <vt:lpwstr>https://www.sfdi.cz/pravidla-metodiky-a-ceniky/metodiky/</vt:lpwstr>
      </vt:variant>
      <vt:variant>
        <vt:lpwstr/>
      </vt:variant>
      <vt:variant>
        <vt:i4>5242898</vt:i4>
      </vt:variant>
      <vt:variant>
        <vt:i4>9</vt:i4>
      </vt:variant>
      <vt:variant>
        <vt:i4>0</vt:i4>
      </vt:variant>
      <vt:variant>
        <vt:i4>5</vt:i4>
      </vt:variant>
      <vt:variant>
        <vt:lpwstr>https://www.sfdi.cz/pravidla-metodiky-a-ceniky/metodiky/</vt:lpwstr>
      </vt:variant>
      <vt:variant>
        <vt:lpwstr/>
      </vt:variant>
      <vt:variant>
        <vt:i4>5242898</vt:i4>
      </vt:variant>
      <vt:variant>
        <vt:i4>6</vt:i4>
      </vt:variant>
      <vt:variant>
        <vt:i4>0</vt:i4>
      </vt:variant>
      <vt:variant>
        <vt:i4>5</vt:i4>
      </vt:variant>
      <vt:variant>
        <vt:lpwstr>https://www.sfdi.cz/pravidla-metodiky-a-ceniky/metodiky/</vt:lpwstr>
      </vt:variant>
      <vt:variant>
        <vt:lpwstr/>
      </vt:variant>
      <vt:variant>
        <vt:i4>1179748</vt:i4>
      </vt:variant>
      <vt:variant>
        <vt:i4>3</vt:i4>
      </vt:variant>
      <vt:variant>
        <vt:i4>0</vt:i4>
      </vt:variant>
      <vt:variant>
        <vt:i4>5</vt:i4>
      </vt:variant>
      <vt:variant>
        <vt:lpwstr>mailto:fakturace@tsk-praha.cz</vt:lpwstr>
      </vt:variant>
      <vt:variant>
        <vt:lpwstr/>
      </vt:variant>
      <vt:variant>
        <vt:i4>5242898</vt:i4>
      </vt:variant>
      <vt:variant>
        <vt:i4>0</vt:i4>
      </vt:variant>
      <vt:variant>
        <vt:i4>0</vt:i4>
      </vt:variant>
      <vt:variant>
        <vt:i4>5</vt:i4>
      </vt:variant>
      <vt:variant>
        <vt:lpwstr>https://www.sfdi.cz/pravidla-metodiky-a-ceniky/metodiky/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Novotny</dc:creator>
  <cp:keywords/>
  <dc:description/>
  <cp:lastModifiedBy>Všetečková Tereza</cp:lastModifiedBy>
  <cp:revision>2</cp:revision>
  <cp:lastPrinted>2024-05-29T13:43:00Z</cp:lastPrinted>
  <dcterms:created xsi:type="dcterms:W3CDTF">2024-06-11T11:34:00Z</dcterms:created>
  <dcterms:modified xsi:type="dcterms:W3CDTF">2024-06-11T11:34:00Z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0x010100D0961F755CD23644ADDD0DB9E25B2508</vt:lpwstr>
  </property>
  <property fmtid="{D5CDD505-2E9C-101B-9397-08002B2CF9AE}" pid="3" name="MediaServiceImageTags">
    <vt:lpwstr/>
  </property>
  <property fmtid="{D5CDD505-2E9C-101B-9397-08002B2CF9AE}" pid="4" name="Order">
    <vt:r8>375300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