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B494" w14:textId="77777777" w:rsidR="008D3C03" w:rsidRPr="001B7754" w:rsidRDefault="008D3C03" w:rsidP="008D3C03">
      <w:pPr>
        <w:pStyle w:val="Nadpis1"/>
      </w:pPr>
      <w:r w:rsidRPr="00FB04B5">
        <w:t xml:space="preserve">DODATEK č. </w:t>
      </w:r>
      <w:r w:rsidR="00E0666C" w:rsidRPr="00FB04B5">
        <w:t>1</w:t>
      </w:r>
    </w:p>
    <w:p w14:paraId="58D27438" w14:textId="26BC3A03" w:rsidR="008D3C03" w:rsidRPr="00A80907" w:rsidRDefault="008D3C03" w:rsidP="008D3C03">
      <w:pPr>
        <w:jc w:val="center"/>
        <w:rPr>
          <w:lang w:val="en-US"/>
        </w:rPr>
      </w:pPr>
      <w:r w:rsidRPr="001B7754">
        <w:t>k</w:t>
      </w:r>
      <w:r w:rsidR="00D8195A">
        <w:t> Subdodavatelské smlouvě</w:t>
      </w:r>
    </w:p>
    <w:p w14:paraId="1CC17C1C" w14:textId="77777777" w:rsidR="008D3C03" w:rsidRPr="001B7754" w:rsidRDefault="008D3C03" w:rsidP="008D3C03"/>
    <w:p w14:paraId="45C30A00" w14:textId="77777777" w:rsidR="008D3C03" w:rsidRPr="001B7754" w:rsidRDefault="008D3C03" w:rsidP="008D3C03">
      <w:r w:rsidRPr="001B7754">
        <w:t>mezi</w:t>
      </w:r>
    </w:p>
    <w:p w14:paraId="666374F2" w14:textId="77777777" w:rsidR="008D3C03" w:rsidRPr="001B7754" w:rsidRDefault="008D3C03" w:rsidP="008D3C03"/>
    <w:p w14:paraId="108A44AE" w14:textId="77777777" w:rsidR="008D3C03" w:rsidRPr="00E0666C" w:rsidRDefault="008D3C03" w:rsidP="008D3C03">
      <w:pPr>
        <w:rPr>
          <w:b/>
          <w:bCs/>
        </w:rPr>
      </w:pPr>
      <w:r w:rsidRPr="00E0666C">
        <w:rPr>
          <w:b/>
          <w:bCs/>
        </w:rPr>
        <w:t>Deloitte Advisory s.r.o.</w:t>
      </w:r>
    </w:p>
    <w:p w14:paraId="237975BE" w14:textId="77777777" w:rsidR="008D3C03" w:rsidRPr="00E0666C" w:rsidRDefault="008D3C03" w:rsidP="008D3C03">
      <w:r w:rsidRPr="00E0666C">
        <w:t>se sídlem Italská 2581/67, Vinohrady, 120 00 Praha 2, Česká republika,</w:t>
      </w:r>
    </w:p>
    <w:p w14:paraId="05A6CC26" w14:textId="77777777" w:rsidR="008D3C03" w:rsidRPr="00E0666C" w:rsidRDefault="008D3C03" w:rsidP="008D3C03">
      <w:r w:rsidRPr="00E0666C">
        <w:t xml:space="preserve">zapsanou v obchodním rejstříku vedeném Městským soudem v Praze, </w:t>
      </w:r>
      <w:proofErr w:type="spellStart"/>
      <w:r w:rsidR="00A526D2" w:rsidRPr="00E0666C">
        <w:t>sp</w:t>
      </w:r>
      <w:proofErr w:type="spellEnd"/>
      <w:r w:rsidR="00A526D2" w:rsidRPr="00E0666C">
        <w:t>. zn. C</w:t>
      </w:r>
      <w:r w:rsidRPr="00E0666C">
        <w:t xml:space="preserve"> 113225,</w:t>
      </w:r>
    </w:p>
    <w:p w14:paraId="6AF28446" w14:textId="77777777" w:rsidR="008D3C03" w:rsidRPr="001B7754" w:rsidRDefault="008D3C03" w:rsidP="008D3C03">
      <w:r w:rsidRPr="00E0666C">
        <w:t>IČO: 27582167, DIČ CZ27582167</w:t>
      </w:r>
    </w:p>
    <w:p w14:paraId="74C973A7" w14:textId="79D4CEFF" w:rsidR="008D3C03" w:rsidRDefault="008D3C03" w:rsidP="008D3C03">
      <w:r w:rsidRPr="001B7754">
        <w:t xml:space="preserve">bankovní spojení: </w:t>
      </w:r>
      <w:bookmarkStart w:id="0" w:name="Mena"/>
      <w:bookmarkEnd w:id="0"/>
      <w:proofErr w:type="spellStart"/>
      <w:r w:rsidR="00FB4559">
        <w:t>xxxxxxxxxxxxxxxxxxxxxxxx</w:t>
      </w:r>
      <w:proofErr w:type="spellEnd"/>
      <w:r w:rsidRPr="001B7754">
        <w:t xml:space="preserve"> </w:t>
      </w:r>
      <w:r w:rsidRPr="001B7754">
        <w:br/>
        <w:t xml:space="preserve">Číslo účtu: </w:t>
      </w:r>
      <w:proofErr w:type="spellStart"/>
      <w:r w:rsidR="00FB4559">
        <w:t>xxxxxxxxxxxxxxxxxxxxxxxxxxxxxxx</w:t>
      </w:r>
      <w:proofErr w:type="spellEnd"/>
    </w:p>
    <w:p w14:paraId="6F66C22E" w14:textId="75C8296A" w:rsidR="0031599E" w:rsidRPr="001B7754" w:rsidRDefault="0031599E" w:rsidP="008D3C03">
      <w:r w:rsidRPr="00FB04B5">
        <w:t xml:space="preserve">zastoupená </w:t>
      </w:r>
      <w:r w:rsidR="009F1C39" w:rsidRPr="002472CC">
        <w:rPr>
          <w:rFonts w:cstheme="minorHAnsi"/>
        </w:rPr>
        <w:t>Miroslavem Svobodou</w:t>
      </w:r>
      <w:r w:rsidR="00EB748C" w:rsidRPr="002472CC">
        <w:rPr>
          <w:rFonts w:cstheme="minorHAnsi"/>
        </w:rPr>
        <w:t xml:space="preserve">, </w:t>
      </w:r>
      <w:r w:rsidR="00DB6D24" w:rsidRPr="002472CC">
        <w:rPr>
          <w:rFonts w:cstheme="minorHAnsi"/>
        </w:rPr>
        <w:t xml:space="preserve">partnerem, </w:t>
      </w:r>
      <w:r w:rsidR="00EB748C" w:rsidRPr="002472CC">
        <w:rPr>
          <w:rFonts w:cstheme="minorHAnsi"/>
        </w:rPr>
        <w:t>na základě plné moci</w:t>
      </w:r>
    </w:p>
    <w:p w14:paraId="543449EF" w14:textId="77777777" w:rsidR="008D3C03" w:rsidRPr="00FB04B5" w:rsidRDefault="008D3C03" w:rsidP="008D3C03">
      <w:pPr>
        <w:rPr>
          <w:lang w:val="en-US"/>
        </w:rPr>
      </w:pPr>
      <w:r w:rsidRPr="001B7754">
        <w:t>(„</w:t>
      </w:r>
      <w:r w:rsidRPr="0018619C">
        <w:rPr>
          <w:b/>
          <w:bCs/>
        </w:rPr>
        <w:t>Deloitte</w:t>
      </w:r>
      <w:r w:rsidRPr="001B7754">
        <w:t>“)</w:t>
      </w:r>
    </w:p>
    <w:p w14:paraId="75052CF7" w14:textId="77777777" w:rsidR="008D3C03" w:rsidRPr="001B7754" w:rsidRDefault="008D3C03" w:rsidP="008D3C03"/>
    <w:p w14:paraId="629AE315" w14:textId="77777777" w:rsidR="008D3C03" w:rsidRPr="001B7754" w:rsidRDefault="008D3C03" w:rsidP="008D3C03">
      <w:r w:rsidRPr="001B7754">
        <w:t>a</w:t>
      </w:r>
    </w:p>
    <w:p w14:paraId="6B06976F" w14:textId="77777777" w:rsidR="008D3C03" w:rsidRPr="001B7754" w:rsidRDefault="008D3C03" w:rsidP="008D3C03"/>
    <w:p w14:paraId="76EC725C" w14:textId="77777777" w:rsidR="00E0666C" w:rsidRDefault="00E0666C" w:rsidP="00E0666C">
      <w:pPr>
        <w:jc w:val="both"/>
        <w:rPr>
          <w:rFonts w:cstheme="minorHAnsi"/>
          <w:szCs w:val="20"/>
        </w:rPr>
      </w:pPr>
      <w:bookmarkStart w:id="1" w:name="DNazev"/>
      <w:bookmarkEnd w:id="1"/>
      <w:r w:rsidRPr="002D74AC">
        <w:rPr>
          <w:rFonts w:cstheme="minorHAnsi"/>
          <w:b/>
          <w:bCs/>
          <w:szCs w:val="20"/>
        </w:rPr>
        <w:t xml:space="preserve">České vysoké učení technické v Praze, </w:t>
      </w:r>
      <w:r w:rsidRPr="002D74AC">
        <w:rPr>
          <w:rFonts w:cstheme="minorHAnsi"/>
          <w:szCs w:val="20"/>
        </w:rPr>
        <w:t>IČO 68407700, se sídlem Jugoslávských partyzánů 1580/3, Praha 6 – Dejvice, 160 00 Praha 6</w:t>
      </w:r>
    </w:p>
    <w:p w14:paraId="67EC2922" w14:textId="77777777" w:rsidR="00E0666C" w:rsidRDefault="00E0666C" w:rsidP="00E0666C">
      <w:pPr>
        <w:jc w:val="both"/>
        <w:rPr>
          <w:rFonts w:cstheme="minorHAnsi"/>
          <w:b/>
          <w:bCs/>
          <w:szCs w:val="20"/>
        </w:rPr>
      </w:pPr>
      <w:r>
        <w:rPr>
          <w:rFonts w:cstheme="minorHAnsi"/>
          <w:szCs w:val="20"/>
        </w:rPr>
        <w:t xml:space="preserve">Pracoviště: </w:t>
      </w:r>
      <w:r w:rsidRPr="002D74AC">
        <w:rPr>
          <w:rFonts w:cstheme="minorHAnsi"/>
          <w:b/>
          <w:bCs/>
          <w:szCs w:val="20"/>
        </w:rPr>
        <w:t>Univerzitní centrum energeticky efektivních budov</w:t>
      </w:r>
      <w:r>
        <w:rPr>
          <w:rFonts w:cstheme="minorHAnsi"/>
          <w:b/>
          <w:bCs/>
          <w:szCs w:val="20"/>
        </w:rPr>
        <w:t xml:space="preserve"> (UCEEB)</w:t>
      </w:r>
    </w:p>
    <w:p w14:paraId="69F2E4FA" w14:textId="77777777" w:rsidR="00E0666C" w:rsidRPr="002D74AC" w:rsidRDefault="00E0666C" w:rsidP="00E0666C">
      <w:pPr>
        <w:jc w:val="both"/>
        <w:rPr>
          <w:rFonts w:cstheme="minorHAnsi"/>
          <w:szCs w:val="20"/>
        </w:rPr>
      </w:pPr>
      <w:r>
        <w:rPr>
          <w:rFonts w:cstheme="minorHAnsi"/>
          <w:b/>
          <w:bCs/>
          <w:szCs w:val="20"/>
        </w:rPr>
        <w:t>Adresa: Třinecká 1024, 27343 Buštěhrad</w:t>
      </w:r>
    </w:p>
    <w:p w14:paraId="26472CAE" w14:textId="77777777" w:rsidR="00E0666C" w:rsidRPr="002D74AC" w:rsidRDefault="00E0666C" w:rsidP="00E0666C">
      <w:pPr>
        <w:jc w:val="both"/>
        <w:rPr>
          <w:rFonts w:cstheme="minorHAnsi"/>
          <w:szCs w:val="20"/>
        </w:rPr>
      </w:pPr>
      <w:r w:rsidRPr="002D74AC">
        <w:rPr>
          <w:rFonts w:cstheme="minorHAnsi"/>
          <w:szCs w:val="20"/>
        </w:rPr>
        <w:t>Zastoupenou Ing. Robertem Járou, Ph.D., ředitelem</w:t>
      </w:r>
      <w:r>
        <w:rPr>
          <w:rFonts w:cstheme="minorHAnsi"/>
          <w:szCs w:val="20"/>
        </w:rPr>
        <w:t xml:space="preserve"> UCEEB</w:t>
      </w:r>
      <w:r w:rsidRPr="002D74AC">
        <w:rPr>
          <w:rFonts w:cstheme="minorHAnsi"/>
          <w:szCs w:val="20"/>
        </w:rPr>
        <w:t>,</w:t>
      </w:r>
    </w:p>
    <w:p w14:paraId="1389CB3B" w14:textId="77777777" w:rsidR="00E0666C" w:rsidRPr="002D74AC" w:rsidRDefault="00E0666C" w:rsidP="00E0666C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(</w:t>
      </w:r>
      <w:r w:rsidRPr="002D74AC">
        <w:rPr>
          <w:rFonts w:cstheme="minorHAnsi"/>
          <w:szCs w:val="20"/>
        </w:rPr>
        <w:t>„</w:t>
      </w:r>
      <w:r w:rsidRPr="002D74AC">
        <w:rPr>
          <w:rFonts w:cstheme="minorHAnsi"/>
          <w:b/>
          <w:szCs w:val="20"/>
        </w:rPr>
        <w:t>Subdodavatel</w:t>
      </w:r>
      <w:r w:rsidRPr="002D74AC">
        <w:rPr>
          <w:rFonts w:cstheme="minorHAnsi"/>
          <w:szCs w:val="20"/>
        </w:rPr>
        <w:t>“</w:t>
      </w:r>
      <w:r>
        <w:rPr>
          <w:rFonts w:cstheme="minorHAnsi"/>
          <w:szCs w:val="20"/>
        </w:rPr>
        <w:t xml:space="preserve"> a/nebo „</w:t>
      </w:r>
      <w:r w:rsidRPr="006D3CAF">
        <w:rPr>
          <w:rFonts w:cstheme="minorHAnsi"/>
          <w:b/>
          <w:bCs/>
          <w:szCs w:val="20"/>
        </w:rPr>
        <w:t>UCEEB</w:t>
      </w:r>
      <w:r>
        <w:rPr>
          <w:rFonts w:cstheme="minorHAnsi"/>
          <w:szCs w:val="20"/>
        </w:rPr>
        <w:t>“)</w:t>
      </w:r>
    </w:p>
    <w:p w14:paraId="28465CDE" w14:textId="77777777" w:rsidR="008D3C03" w:rsidRPr="001B7754" w:rsidRDefault="008D3C03" w:rsidP="008D3C03"/>
    <w:p w14:paraId="2E658099" w14:textId="77777777" w:rsidR="008D3C03" w:rsidRPr="001B7754" w:rsidRDefault="008D3C03" w:rsidP="008D3C03">
      <w:r>
        <w:t xml:space="preserve">Deloitte a </w:t>
      </w:r>
      <w:r w:rsidR="00DB6D24">
        <w:t>Subdodavatel</w:t>
      </w:r>
      <w:r>
        <w:t xml:space="preserve"> j</w:t>
      </w:r>
      <w:r w:rsidRPr="001B7754">
        <w:t xml:space="preserve">ednotlivě </w:t>
      </w:r>
      <w:r>
        <w:t xml:space="preserve">jako </w:t>
      </w:r>
      <w:r w:rsidRPr="001B7754">
        <w:t>„</w:t>
      </w:r>
      <w:r w:rsidRPr="00D53B93">
        <w:rPr>
          <w:b/>
          <w:bCs/>
        </w:rPr>
        <w:t>Strana</w:t>
      </w:r>
      <w:r w:rsidRPr="001B7754">
        <w:t>“ a společně „</w:t>
      </w:r>
      <w:r w:rsidRPr="00D53B93">
        <w:rPr>
          <w:b/>
          <w:bCs/>
        </w:rPr>
        <w:t>Strany</w:t>
      </w:r>
      <w:r w:rsidRPr="001B7754">
        <w:t>“</w:t>
      </w:r>
    </w:p>
    <w:p w14:paraId="07034028" w14:textId="77777777" w:rsidR="0017566E" w:rsidRDefault="0017566E" w:rsidP="0017566E">
      <w:pPr>
        <w:pStyle w:val="Nadpis3"/>
        <w:numPr>
          <w:ilvl w:val="0"/>
          <w:numId w:val="0"/>
        </w:numPr>
      </w:pPr>
      <w:bookmarkStart w:id="2" w:name="_Ref324530551"/>
    </w:p>
    <w:p w14:paraId="22C0F874" w14:textId="77777777" w:rsidR="0017566E" w:rsidRPr="00B852D7" w:rsidRDefault="0017566E" w:rsidP="0017566E">
      <w:pPr>
        <w:rPr>
          <w:b/>
          <w:bCs/>
        </w:rPr>
      </w:pPr>
      <w:r w:rsidRPr="00B852D7">
        <w:rPr>
          <w:b/>
          <w:bCs/>
        </w:rPr>
        <w:t>Vzhledem k tomu, že:</w:t>
      </w:r>
    </w:p>
    <w:p w14:paraId="60083D46" w14:textId="77777777" w:rsidR="008D3C03" w:rsidRPr="001B7754" w:rsidRDefault="008D3C03" w:rsidP="00B852D7">
      <w:pPr>
        <w:pStyle w:val="Nadpis3"/>
        <w:numPr>
          <w:ilvl w:val="1"/>
          <w:numId w:val="21"/>
        </w:numPr>
      </w:pPr>
      <w:r w:rsidRPr="001B7754">
        <w:t xml:space="preserve">Strany mezi sebou uzavřely dne </w:t>
      </w:r>
      <w:r w:rsidR="00E0666C">
        <w:t>22.1.2024 Subdodavatelskou smlouvu</w:t>
      </w:r>
      <w:r w:rsidRPr="001B7754">
        <w:t xml:space="preserve"> („</w:t>
      </w:r>
      <w:r w:rsidRPr="00B142FE">
        <w:rPr>
          <w:b/>
          <w:bCs w:val="0"/>
        </w:rPr>
        <w:t>Smlouva</w:t>
      </w:r>
      <w:r w:rsidRPr="001B7754">
        <w:t>“)</w:t>
      </w:r>
      <w:r w:rsidR="00265A51">
        <w:t xml:space="preserve"> a</w:t>
      </w:r>
      <w:r w:rsidRPr="001B7754">
        <w:t xml:space="preserve"> </w:t>
      </w:r>
    </w:p>
    <w:p w14:paraId="37239D0B" w14:textId="77777777" w:rsidR="008D3C03" w:rsidRPr="00B852D7" w:rsidRDefault="008D3C03" w:rsidP="00B852D7">
      <w:pPr>
        <w:pStyle w:val="Nadpis3"/>
        <w:numPr>
          <w:ilvl w:val="1"/>
          <w:numId w:val="21"/>
        </w:numPr>
      </w:pPr>
      <w:r w:rsidRPr="001B7754">
        <w:t>Strany chtějí</w:t>
      </w:r>
      <w:r w:rsidR="00265A51">
        <w:t xml:space="preserve"> změnit Smlouvu, jak se </w:t>
      </w:r>
      <w:r w:rsidR="009969D2">
        <w:t xml:space="preserve">sjednáno v tomto dodatku </w:t>
      </w:r>
      <w:r w:rsidR="00D13569" w:rsidRPr="00B852D7">
        <w:t>(„</w:t>
      </w:r>
      <w:r w:rsidR="00D13569" w:rsidRPr="00B852D7">
        <w:rPr>
          <w:b/>
          <w:bCs w:val="0"/>
        </w:rPr>
        <w:t>Dodatek</w:t>
      </w:r>
      <w:r w:rsidR="00D13569" w:rsidRPr="00B852D7">
        <w:t>“)</w:t>
      </w:r>
      <w:r w:rsidRPr="00B852D7">
        <w:t xml:space="preserve">. </w:t>
      </w:r>
      <w:bookmarkEnd w:id="2"/>
    </w:p>
    <w:p w14:paraId="6C4C7713" w14:textId="77777777" w:rsidR="00722E3E" w:rsidRPr="00B852D7" w:rsidRDefault="00B852D7" w:rsidP="00722E3E">
      <w:pPr>
        <w:rPr>
          <w:b/>
          <w:bCs/>
        </w:rPr>
      </w:pPr>
      <w:r w:rsidRPr="00B852D7">
        <w:rPr>
          <w:b/>
          <w:bCs/>
        </w:rPr>
        <w:t>s</w:t>
      </w:r>
      <w:r w:rsidR="00722E3E" w:rsidRPr="00B852D7">
        <w:rPr>
          <w:b/>
          <w:bCs/>
        </w:rPr>
        <w:t>e Strany dohodly následovně:</w:t>
      </w:r>
    </w:p>
    <w:p w14:paraId="4C810A10" w14:textId="77777777" w:rsidR="008D3C03" w:rsidRPr="007E0A5F" w:rsidRDefault="008D3C03" w:rsidP="009F2BC8">
      <w:pPr>
        <w:pStyle w:val="Nadpis2"/>
      </w:pPr>
      <w:bookmarkStart w:id="3" w:name="_Ref339300503"/>
      <w:r w:rsidRPr="007E0A5F">
        <w:t>Změny Smlouvy</w:t>
      </w:r>
      <w:bookmarkEnd w:id="3"/>
    </w:p>
    <w:p w14:paraId="0D6BF2E3" w14:textId="77777777" w:rsidR="008D3C03" w:rsidRPr="00DB6D24" w:rsidRDefault="008D3C03" w:rsidP="008D3C03">
      <w:pPr>
        <w:pStyle w:val="Nadpis3"/>
        <w:numPr>
          <w:ilvl w:val="1"/>
          <w:numId w:val="19"/>
        </w:numPr>
      </w:pPr>
      <w:bookmarkStart w:id="4" w:name="_Ref31383480"/>
      <w:r w:rsidRPr="00DB6D24">
        <w:t xml:space="preserve">Služby se rozšiřují o plnění, které popisuje Příloha </w:t>
      </w:r>
      <w:r w:rsidR="00B66E42" w:rsidRPr="00DB6D24">
        <w:t>1</w:t>
      </w:r>
      <w:r w:rsidRPr="00DB6D24">
        <w:t xml:space="preserve"> tohoto Dodatku </w:t>
      </w:r>
      <w:bookmarkEnd w:id="4"/>
      <w:r w:rsidRPr="00DB6D24">
        <w:t>(„</w:t>
      </w:r>
      <w:r w:rsidRPr="00DB6D24">
        <w:rPr>
          <w:b/>
        </w:rPr>
        <w:t>Dodatečné služby</w:t>
      </w:r>
      <w:r w:rsidRPr="00DB6D24">
        <w:t>“). Není-li uvedeno výslovně jinak, vztahuje se na poskytování Dodatečných služeb ustanovení týkající se Služeb přiměřeně.</w:t>
      </w:r>
    </w:p>
    <w:p w14:paraId="0151B799" w14:textId="77777777" w:rsidR="008D3C03" w:rsidRDefault="008D3C03" w:rsidP="008D3C03">
      <w:pPr>
        <w:pStyle w:val="Nadpis3"/>
        <w:numPr>
          <w:ilvl w:val="1"/>
          <w:numId w:val="19"/>
        </w:numPr>
      </w:pPr>
      <w:r>
        <w:t xml:space="preserve">Znění Přílohy č. </w:t>
      </w:r>
      <w:r w:rsidR="00B66E42">
        <w:t>A</w:t>
      </w:r>
      <w:r>
        <w:t xml:space="preserve"> Smlouvy se doplňuje o znění Přílohy </w:t>
      </w:r>
      <w:r w:rsidR="00B66E42">
        <w:t>1</w:t>
      </w:r>
      <w:r>
        <w:t xml:space="preserve"> tohoto Dodatku.</w:t>
      </w:r>
    </w:p>
    <w:p w14:paraId="36FD26D9" w14:textId="77777777" w:rsidR="008D3C03" w:rsidRPr="001B7754" w:rsidRDefault="008D3C03" w:rsidP="008D3C03">
      <w:pPr>
        <w:pStyle w:val="Nadpis2"/>
      </w:pPr>
      <w:bookmarkStart w:id="5" w:name="ZN11"/>
      <w:bookmarkStart w:id="6" w:name="ZN12"/>
      <w:bookmarkStart w:id="7" w:name="ZN13"/>
      <w:bookmarkStart w:id="8" w:name="ZN14"/>
      <w:bookmarkStart w:id="9" w:name="ZN15"/>
      <w:bookmarkStart w:id="10" w:name="_Ref324586860"/>
      <w:bookmarkEnd w:id="5"/>
      <w:bookmarkEnd w:id="6"/>
      <w:bookmarkEnd w:id="7"/>
      <w:bookmarkEnd w:id="8"/>
      <w:bookmarkEnd w:id="9"/>
      <w:r w:rsidRPr="001B7754">
        <w:t>Závěrečná ustanovení</w:t>
      </w:r>
      <w:bookmarkEnd w:id="10"/>
    </w:p>
    <w:p w14:paraId="28C82A80" w14:textId="77777777" w:rsidR="008D3C03" w:rsidRPr="00464F8A" w:rsidRDefault="008D3C03" w:rsidP="00464F8A">
      <w:pPr>
        <w:pStyle w:val="Nadpis3"/>
      </w:pPr>
      <w:r w:rsidRPr="00464F8A">
        <w:t>Tento Dodatek nabývá platnosti a účinnosti dnem podpisu oběma Stranami.</w:t>
      </w:r>
    </w:p>
    <w:p w14:paraId="2213435F" w14:textId="77777777" w:rsidR="008D3C03" w:rsidRPr="00464F8A" w:rsidRDefault="008D3C03" w:rsidP="00464F8A">
      <w:pPr>
        <w:pStyle w:val="Nadpis3"/>
      </w:pPr>
      <w:r w:rsidRPr="00464F8A">
        <w:t xml:space="preserve">Ustanovení Smlouvy, která nejsou tímto Dodatkem změněna a nejsou s ním v rozporu, zůstávají nadále platná a účinná. </w:t>
      </w:r>
      <w:r w:rsidR="00944E1A" w:rsidRPr="00464F8A">
        <w:t>Ustanovení Smlouvy se použijí pro tento Dodatek přiměřeně.</w:t>
      </w:r>
    </w:p>
    <w:p w14:paraId="580C694E" w14:textId="77777777" w:rsidR="0086200F" w:rsidRPr="00464F8A" w:rsidRDefault="0086200F" w:rsidP="0086200F">
      <w:pPr>
        <w:pStyle w:val="Nadpis3"/>
      </w:pPr>
      <w:r w:rsidRPr="00464F8A">
        <w:t>Pojmy uvedené v tomto Dodatku s velkým počátečním písmenem mají význam, který je jim přiřazen ve Smlouvě, nestanoví-li tento Dodatek jinak.</w:t>
      </w:r>
    </w:p>
    <w:p w14:paraId="6F30AE59" w14:textId="77777777" w:rsidR="0026174D" w:rsidRPr="00464F8A" w:rsidRDefault="0026174D" w:rsidP="0026174D">
      <w:pPr>
        <w:pStyle w:val="Nadpis3"/>
      </w:pPr>
      <w:r w:rsidRPr="00464F8A">
        <w:t>Veškerá vzájemná ujednání mezi Stranami, ať ústní nebo písemná předcházející uzavření tohoto Dodatku a vztahující se k tomuto Dodatku, pokud se nestala součástí tohoto Dodatku, uzavřením tohoto Dodatku zanikají.</w:t>
      </w:r>
    </w:p>
    <w:p w14:paraId="399D8471" w14:textId="3723D8E8" w:rsidR="008D3C03" w:rsidRPr="00464F8A" w:rsidRDefault="008D3C03" w:rsidP="00464F8A">
      <w:pPr>
        <w:pStyle w:val="Nadpis3"/>
      </w:pPr>
      <w:r w:rsidRPr="00464F8A">
        <w:t>Tento Dodatek byl vyhotoven ve dvou (2) stejnopisech s platností originálu</w:t>
      </w:r>
      <w:r w:rsidR="003D39A5">
        <w:t xml:space="preserve">, </w:t>
      </w:r>
      <w:r w:rsidRPr="00464F8A">
        <w:t xml:space="preserve">jeden (1) z nich obdrží </w:t>
      </w:r>
      <w:bookmarkStart w:id="11" w:name="ZN65"/>
      <w:bookmarkEnd w:id="11"/>
      <w:r w:rsidR="00D8195A">
        <w:t>Subdodavatel</w:t>
      </w:r>
      <w:r w:rsidRPr="00464F8A">
        <w:t xml:space="preserve"> a jeden (1) obdrží Deloitte. </w:t>
      </w:r>
    </w:p>
    <w:p w14:paraId="6AEEC37B" w14:textId="77777777" w:rsidR="008D3C03" w:rsidRPr="00464F8A" w:rsidRDefault="0093298D" w:rsidP="00464F8A">
      <w:pPr>
        <w:pStyle w:val="Nadpis3"/>
      </w:pPr>
      <w:r>
        <w:lastRenderedPageBreak/>
        <w:t>Následující přílohy tvoří nedílnou součást tohoto Dodatku</w:t>
      </w:r>
      <w:r w:rsidR="008D3C03" w:rsidRPr="00464F8A">
        <w:t>:</w:t>
      </w:r>
    </w:p>
    <w:p w14:paraId="64CE3D1E" w14:textId="77777777" w:rsidR="00BF0F80" w:rsidRPr="00DB6D24" w:rsidRDefault="008D3C03" w:rsidP="00BF0F80">
      <w:pPr>
        <w:ind w:left="426"/>
      </w:pPr>
      <w:r w:rsidRPr="00DB6D24">
        <w:t xml:space="preserve">Příloha </w:t>
      </w:r>
      <w:r w:rsidR="00B66E42" w:rsidRPr="00DB6D24">
        <w:t>1</w:t>
      </w:r>
      <w:r w:rsidRPr="00DB6D24">
        <w:t xml:space="preserve"> – </w:t>
      </w:r>
      <w:r w:rsidR="00BF0F80" w:rsidRPr="00DB6D24">
        <w:t xml:space="preserve">Popis </w:t>
      </w:r>
      <w:r w:rsidR="00BF0F80">
        <w:t>Dodatečných služeb, odměna a náklady Subdodavatele</w:t>
      </w:r>
    </w:p>
    <w:p w14:paraId="570B966B" w14:textId="77777777" w:rsidR="008D3C03" w:rsidRPr="00DB6D24" w:rsidRDefault="008D3C03" w:rsidP="008D3C03">
      <w:pPr>
        <w:pStyle w:val="Nadpis4"/>
      </w:pPr>
    </w:p>
    <w:p w14:paraId="72965DA3" w14:textId="77777777" w:rsidR="008D3C03" w:rsidRPr="001B7754" w:rsidRDefault="008D3C03" w:rsidP="008D3C03"/>
    <w:p w14:paraId="0D931D18" w14:textId="77777777" w:rsidR="008D3C03" w:rsidRPr="001B7754" w:rsidRDefault="008D3C03" w:rsidP="008D3C03"/>
    <w:p w14:paraId="5FCFE454" w14:textId="77777777" w:rsidR="008D3C03" w:rsidRPr="001B7754" w:rsidRDefault="008D3C03" w:rsidP="008D3C03"/>
    <w:tbl>
      <w:tblPr>
        <w:tblW w:w="0" w:type="auto"/>
        <w:tblLook w:val="04A0" w:firstRow="1" w:lastRow="0" w:firstColumn="1" w:lastColumn="0" w:noHBand="0" w:noVBand="1"/>
      </w:tblPr>
      <w:tblGrid>
        <w:gridCol w:w="4357"/>
        <w:gridCol w:w="4500"/>
      </w:tblGrid>
      <w:tr w:rsidR="008D3C03" w:rsidRPr="001B7754" w14:paraId="3E38BE89" w14:textId="77777777" w:rsidTr="0060213C">
        <w:tc>
          <w:tcPr>
            <w:tcW w:w="4357" w:type="dxa"/>
          </w:tcPr>
          <w:p w14:paraId="457756B6" w14:textId="77777777" w:rsidR="008D3C03" w:rsidRPr="001B7754" w:rsidRDefault="008D3C03" w:rsidP="0060213C">
            <w:r w:rsidRPr="001B7754">
              <w:t xml:space="preserve">za </w:t>
            </w:r>
            <w:r w:rsidRPr="00DB6D24">
              <w:rPr>
                <w:b/>
                <w:bCs/>
              </w:rPr>
              <w:t>Deloitte Advisory s.r.o.</w:t>
            </w:r>
          </w:p>
        </w:tc>
        <w:tc>
          <w:tcPr>
            <w:tcW w:w="4500" w:type="dxa"/>
          </w:tcPr>
          <w:p w14:paraId="0E46690D" w14:textId="77777777" w:rsidR="008D3C03" w:rsidRPr="001B7754" w:rsidRDefault="008D3C03" w:rsidP="0060213C">
            <w:r w:rsidRPr="001B7754">
              <w:t xml:space="preserve">za </w:t>
            </w:r>
            <w:r w:rsidR="00DB6D24" w:rsidRPr="002D74AC">
              <w:rPr>
                <w:rFonts w:cstheme="minorHAnsi"/>
                <w:b/>
                <w:bCs/>
                <w:szCs w:val="20"/>
              </w:rPr>
              <w:t>Č</w:t>
            </w:r>
            <w:r w:rsidR="00DB6D24">
              <w:rPr>
                <w:rFonts w:cstheme="minorHAnsi"/>
                <w:b/>
                <w:bCs/>
                <w:szCs w:val="20"/>
              </w:rPr>
              <w:t>VUT UCEEB</w:t>
            </w:r>
          </w:p>
        </w:tc>
      </w:tr>
      <w:tr w:rsidR="008D3C03" w:rsidRPr="001B7754" w14:paraId="1DB11955" w14:textId="77777777" w:rsidTr="0060213C">
        <w:tc>
          <w:tcPr>
            <w:tcW w:w="4357" w:type="dxa"/>
          </w:tcPr>
          <w:p w14:paraId="21F26B0F" w14:textId="77777777" w:rsidR="008D3C03" w:rsidRPr="001B7754" w:rsidRDefault="008D3C03" w:rsidP="0060213C"/>
        </w:tc>
        <w:tc>
          <w:tcPr>
            <w:tcW w:w="4500" w:type="dxa"/>
          </w:tcPr>
          <w:p w14:paraId="6C01D764" w14:textId="77777777" w:rsidR="008D3C03" w:rsidRPr="001B7754" w:rsidRDefault="008D3C03" w:rsidP="0060213C"/>
        </w:tc>
      </w:tr>
      <w:tr w:rsidR="008D3C03" w:rsidRPr="001B7754" w14:paraId="478AE003" w14:textId="77777777" w:rsidTr="0060213C">
        <w:tc>
          <w:tcPr>
            <w:tcW w:w="4357" w:type="dxa"/>
          </w:tcPr>
          <w:p w14:paraId="2E258B0D" w14:textId="17687092" w:rsidR="008D3C03" w:rsidRPr="001B7754" w:rsidRDefault="008D3C03" w:rsidP="0060213C">
            <w:r w:rsidRPr="001B7754">
              <w:t xml:space="preserve">V </w:t>
            </w:r>
            <w:r w:rsidR="00ED5E56">
              <w:t>Praze</w:t>
            </w:r>
            <w:r w:rsidRPr="001B7754">
              <w:t xml:space="preserve">, dne: </w:t>
            </w:r>
          </w:p>
        </w:tc>
        <w:tc>
          <w:tcPr>
            <w:tcW w:w="4500" w:type="dxa"/>
          </w:tcPr>
          <w:p w14:paraId="71543BE6" w14:textId="0B62182A" w:rsidR="008D3C03" w:rsidRPr="001B7754" w:rsidRDefault="008D3C03" w:rsidP="0060213C">
            <w:r w:rsidRPr="001B7754">
              <w:t xml:space="preserve">V </w:t>
            </w:r>
            <w:r w:rsidR="001700CF">
              <w:t>Buštěhradě</w:t>
            </w:r>
            <w:r w:rsidRPr="001B7754">
              <w:t xml:space="preserve"> dne: </w:t>
            </w:r>
            <w:r w:rsidR="00FB4559">
              <w:t xml:space="preserve"> </w:t>
            </w:r>
          </w:p>
        </w:tc>
      </w:tr>
      <w:tr w:rsidR="008D3C03" w:rsidRPr="001B7754" w14:paraId="46F36065" w14:textId="77777777" w:rsidTr="0060213C">
        <w:tc>
          <w:tcPr>
            <w:tcW w:w="4357" w:type="dxa"/>
          </w:tcPr>
          <w:p w14:paraId="35C0BDDD" w14:textId="77777777" w:rsidR="008D3C03" w:rsidRPr="001B7754" w:rsidRDefault="008D3C03" w:rsidP="0060213C"/>
          <w:p w14:paraId="3E409AE8" w14:textId="77777777" w:rsidR="008D3C03" w:rsidRPr="001B7754" w:rsidRDefault="008D3C03" w:rsidP="0060213C"/>
          <w:p w14:paraId="4F838508" w14:textId="77777777" w:rsidR="008D3C03" w:rsidRPr="001B7754" w:rsidRDefault="008D3C03" w:rsidP="0060213C"/>
        </w:tc>
        <w:tc>
          <w:tcPr>
            <w:tcW w:w="4500" w:type="dxa"/>
          </w:tcPr>
          <w:p w14:paraId="03935A14" w14:textId="77777777" w:rsidR="008D3C03" w:rsidRPr="001B7754" w:rsidRDefault="008D3C03" w:rsidP="0060213C"/>
        </w:tc>
      </w:tr>
      <w:tr w:rsidR="008D3C03" w:rsidRPr="001B7754" w14:paraId="10F2778E" w14:textId="77777777" w:rsidTr="00D203CE">
        <w:tc>
          <w:tcPr>
            <w:tcW w:w="4357" w:type="dxa"/>
            <w:shd w:val="clear" w:color="auto" w:fill="auto"/>
          </w:tcPr>
          <w:p w14:paraId="01C5E633" w14:textId="4E47F6B9" w:rsidR="008D3C03" w:rsidRPr="001B7754" w:rsidRDefault="0053355B" w:rsidP="0060213C">
            <w:r w:rsidRPr="00D203CE">
              <w:rPr>
                <w:rFonts w:cstheme="minorHAnsi"/>
                <w:szCs w:val="20"/>
              </w:rPr>
              <w:t>Osoba</w:t>
            </w:r>
            <w:r>
              <w:rPr>
                <w:rFonts w:cstheme="minorHAnsi"/>
                <w:szCs w:val="20"/>
              </w:rPr>
              <w:t>:</w:t>
            </w:r>
            <w:r w:rsidRPr="00D203CE">
              <w:rPr>
                <w:rFonts w:cstheme="minorHAnsi"/>
              </w:rPr>
              <w:t xml:space="preserve"> </w:t>
            </w:r>
            <w:r w:rsidR="00D203CE" w:rsidRPr="00D203CE">
              <w:rPr>
                <w:rFonts w:cstheme="minorHAnsi"/>
              </w:rPr>
              <w:t>Miroslav Svoboda</w:t>
            </w:r>
          </w:p>
        </w:tc>
        <w:tc>
          <w:tcPr>
            <w:tcW w:w="4500" w:type="dxa"/>
          </w:tcPr>
          <w:p w14:paraId="201CEE66" w14:textId="798E9024" w:rsidR="008D3C03" w:rsidRPr="001B7754" w:rsidRDefault="0053355B" w:rsidP="0060213C">
            <w:r w:rsidRPr="00D203CE">
              <w:rPr>
                <w:rFonts w:cstheme="minorHAnsi"/>
                <w:szCs w:val="20"/>
              </w:rPr>
              <w:t>Osoba</w:t>
            </w:r>
            <w:r>
              <w:rPr>
                <w:rFonts w:cstheme="minorHAnsi"/>
                <w:szCs w:val="20"/>
              </w:rPr>
              <w:t>:</w:t>
            </w:r>
            <w:r w:rsidRPr="00D203CE">
              <w:rPr>
                <w:rFonts w:cstheme="minorHAnsi"/>
              </w:rPr>
              <w:t xml:space="preserve"> </w:t>
            </w:r>
            <w:r w:rsidR="00D203CE" w:rsidRPr="002D74AC">
              <w:rPr>
                <w:rFonts w:cstheme="minorHAnsi"/>
                <w:szCs w:val="20"/>
              </w:rPr>
              <w:t>Ing. Robert Jára, Ph.D.</w:t>
            </w:r>
          </w:p>
        </w:tc>
      </w:tr>
      <w:tr w:rsidR="008D3C03" w:rsidRPr="001B7754" w14:paraId="75E5B246" w14:textId="77777777" w:rsidTr="0060213C">
        <w:tc>
          <w:tcPr>
            <w:tcW w:w="4357" w:type="dxa"/>
          </w:tcPr>
          <w:p w14:paraId="40E14B6B" w14:textId="531F2FF3" w:rsidR="008D3C03" w:rsidRPr="001B7754" w:rsidRDefault="0053355B" w:rsidP="0060213C">
            <w:r>
              <w:t xml:space="preserve">Funkce: </w:t>
            </w:r>
            <w:r w:rsidR="008D3C03" w:rsidRPr="00B04ED3">
              <w:t>Partner</w:t>
            </w:r>
          </w:p>
        </w:tc>
        <w:tc>
          <w:tcPr>
            <w:tcW w:w="4500" w:type="dxa"/>
          </w:tcPr>
          <w:p w14:paraId="1E1710A1" w14:textId="6D48FA9F" w:rsidR="008D3C03" w:rsidRPr="001B7754" w:rsidRDefault="0053355B" w:rsidP="0060213C">
            <w:r>
              <w:t>Funkce: Ředitel</w:t>
            </w:r>
          </w:p>
        </w:tc>
      </w:tr>
    </w:tbl>
    <w:p w14:paraId="07F513B4" w14:textId="77777777" w:rsidR="008D3C03" w:rsidRPr="001B7754" w:rsidRDefault="008D3C03" w:rsidP="008D3C03"/>
    <w:p w14:paraId="6001A5FF" w14:textId="77777777" w:rsidR="008D3C03" w:rsidRPr="001B7754" w:rsidRDefault="008D3C03" w:rsidP="008D3C03"/>
    <w:p w14:paraId="3A4A1E06" w14:textId="77777777" w:rsidR="008D3C03" w:rsidRPr="00BF0F80" w:rsidRDefault="008D3C03" w:rsidP="008D3C03">
      <w:pPr>
        <w:rPr>
          <w:b/>
          <w:bCs/>
        </w:rPr>
      </w:pPr>
      <w:r w:rsidRPr="001B7754">
        <w:br w:type="page"/>
      </w:r>
      <w:r w:rsidRPr="00BF0F80">
        <w:rPr>
          <w:b/>
          <w:bCs/>
        </w:rPr>
        <w:lastRenderedPageBreak/>
        <w:t xml:space="preserve">Příloha </w:t>
      </w:r>
      <w:r w:rsidR="00DB6D24" w:rsidRPr="00BF0F80">
        <w:rPr>
          <w:b/>
          <w:bCs/>
        </w:rPr>
        <w:t>1</w:t>
      </w:r>
    </w:p>
    <w:p w14:paraId="486EA5B8" w14:textId="77777777" w:rsidR="00D13569" w:rsidRPr="00BF0F80" w:rsidRDefault="008D3C03" w:rsidP="008D3C03">
      <w:pPr>
        <w:rPr>
          <w:b/>
          <w:bCs/>
        </w:rPr>
      </w:pPr>
      <w:r w:rsidRPr="00BF0F80">
        <w:rPr>
          <w:b/>
          <w:bCs/>
        </w:rPr>
        <w:t xml:space="preserve">Popis </w:t>
      </w:r>
      <w:r w:rsidR="00BF0F80" w:rsidRPr="00BF0F80">
        <w:rPr>
          <w:b/>
          <w:bCs/>
        </w:rPr>
        <w:t>Dodatečných služeb, odměna a náklady Subdodavatele</w:t>
      </w:r>
    </w:p>
    <w:p w14:paraId="57D86001" w14:textId="77777777" w:rsidR="00E0666C" w:rsidRDefault="00E0666C" w:rsidP="008D3C03">
      <w:pPr>
        <w:rPr>
          <w:highlight w:val="yellow"/>
        </w:rPr>
      </w:pPr>
    </w:p>
    <w:p w14:paraId="22E7F03D" w14:textId="77777777" w:rsidR="00E0666C" w:rsidRPr="002D74AC" w:rsidRDefault="00E0666C" w:rsidP="00E0666C">
      <w:pPr>
        <w:jc w:val="both"/>
        <w:rPr>
          <w:rFonts w:cstheme="minorHAnsi"/>
          <w:szCs w:val="20"/>
        </w:rPr>
      </w:pPr>
      <w:r w:rsidRPr="002D74AC">
        <w:rPr>
          <w:rFonts w:cstheme="minorHAnsi"/>
          <w:szCs w:val="20"/>
        </w:rPr>
        <w:t xml:space="preserve">Tato příloha </w:t>
      </w:r>
      <w:r w:rsidR="00DB6D24">
        <w:rPr>
          <w:rFonts w:cstheme="minorHAnsi"/>
          <w:szCs w:val="20"/>
        </w:rPr>
        <w:t>1</w:t>
      </w:r>
      <w:r w:rsidRPr="002D74AC">
        <w:rPr>
          <w:rFonts w:cstheme="minorHAnsi"/>
          <w:szCs w:val="20"/>
        </w:rPr>
        <w:t xml:space="preserve"> je neoddělitelnou součástí Smlouvy mezi Deloitte a UCEEB (Subdodavatel) ze dne </w:t>
      </w:r>
      <w:r>
        <w:rPr>
          <w:rFonts w:cstheme="minorHAnsi"/>
          <w:szCs w:val="20"/>
        </w:rPr>
        <w:t>22.1.2024</w:t>
      </w:r>
      <w:r w:rsidRPr="002D74AC">
        <w:rPr>
          <w:rFonts w:cstheme="minorHAnsi"/>
          <w:szCs w:val="20"/>
        </w:rPr>
        <w:t xml:space="preserve">, je k ní připojena a stanovuje typy </w:t>
      </w:r>
      <w:r w:rsidR="00DB6D24">
        <w:rPr>
          <w:rFonts w:cstheme="minorHAnsi"/>
          <w:szCs w:val="20"/>
        </w:rPr>
        <w:t>Dodatečných s</w:t>
      </w:r>
      <w:r w:rsidRPr="002D74AC">
        <w:rPr>
          <w:rFonts w:cstheme="minorHAnsi"/>
          <w:szCs w:val="20"/>
        </w:rPr>
        <w:t xml:space="preserve">lužeb, které má Subdodavatel vykonat, sazbu odměn Subdodavatele za Služby poskytnuté Deloitte a kategorie nákladů vynaložených v souvislosti s poskytováním Služeb, které budou Subdodavateli nahrazeny ze strany Deloitte. </w:t>
      </w:r>
      <w:r>
        <w:rPr>
          <w:rFonts w:cstheme="minorHAnsi"/>
          <w:szCs w:val="20"/>
        </w:rPr>
        <w:t xml:space="preserve"> </w:t>
      </w:r>
    </w:p>
    <w:p w14:paraId="36F820E3" w14:textId="77777777" w:rsidR="00E0666C" w:rsidRPr="002D74AC" w:rsidRDefault="00E0666C" w:rsidP="00E0666C">
      <w:pPr>
        <w:jc w:val="both"/>
        <w:rPr>
          <w:rFonts w:cstheme="minorHAnsi"/>
          <w:szCs w:val="20"/>
        </w:rPr>
      </w:pPr>
      <w:r w:rsidRPr="002D74AC">
        <w:rPr>
          <w:rFonts w:cstheme="minorHAnsi"/>
          <w:szCs w:val="20"/>
        </w:rPr>
        <w:t xml:space="preserve"> </w:t>
      </w:r>
    </w:p>
    <w:p w14:paraId="68127E4D" w14:textId="77777777" w:rsidR="00E0666C" w:rsidRPr="002D74AC" w:rsidRDefault="00E0666C" w:rsidP="00E0666C">
      <w:pPr>
        <w:jc w:val="both"/>
        <w:rPr>
          <w:rFonts w:cstheme="minorHAnsi"/>
          <w:b/>
          <w:szCs w:val="20"/>
        </w:rPr>
      </w:pPr>
      <w:r w:rsidRPr="002D74AC">
        <w:rPr>
          <w:rFonts w:cstheme="minorHAnsi"/>
          <w:b/>
          <w:szCs w:val="20"/>
        </w:rPr>
        <w:t xml:space="preserve">Popis </w:t>
      </w:r>
      <w:r w:rsidR="00DB6D24">
        <w:rPr>
          <w:rFonts w:cstheme="minorHAnsi"/>
          <w:b/>
          <w:szCs w:val="20"/>
        </w:rPr>
        <w:t>Dodatečný s</w:t>
      </w:r>
      <w:r w:rsidRPr="002D74AC">
        <w:rPr>
          <w:rFonts w:cstheme="minorHAnsi"/>
          <w:b/>
          <w:szCs w:val="20"/>
        </w:rPr>
        <w:t xml:space="preserve">lužeb: </w:t>
      </w:r>
    </w:p>
    <w:p w14:paraId="28844802" w14:textId="3677F503" w:rsidR="00B66E42" w:rsidRDefault="00E0666C" w:rsidP="00E0666C">
      <w:pPr>
        <w:spacing w:before="0" w:after="160" w:line="259" w:lineRule="auto"/>
      </w:pPr>
      <w:r>
        <w:t>Předmětem</w:t>
      </w:r>
      <w:r w:rsidR="00DB6D24">
        <w:t xml:space="preserve"> Dodatečných</w:t>
      </w:r>
      <w:r>
        <w:t xml:space="preserve"> </w:t>
      </w:r>
      <w:r w:rsidR="00DB6D24">
        <w:t>s</w:t>
      </w:r>
      <w:r w:rsidR="00B66E42">
        <w:t>lužeb poskytovaných Subdodavatelem</w:t>
      </w:r>
      <w:r>
        <w:t xml:space="preserve"> je detailní posouzení životního cyklu (LCA) budovy Ganze House – část office, která je součástí portfolia J</w:t>
      </w:r>
      <w:r w:rsidR="00F179E1">
        <w:t xml:space="preserve"> </w:t>
      </w:r>
      <w:r>
        <w:t>&amp;</w:t>
      </w:r>
      <w:r w:rsidR="00F179E1">
        <w:t xml:space="preserve"> </w:t>
      </w:r>
      <w:r>
        <w:t xml:space="preserve">T Real </w:t>
      </w:r>
      <w:proofErr w:type="spellStart"/>
      <w:r>
        <w:t>Estate</w:t>
      </w:r>
      <w:proofErr w:type="spellEnd"/>
      <w:r w:rsidR="00F179E1">
        <w:t>, a.s.</w:t>
      </w:r>
      <w:r w:rsidR="00B66E42">
        <w:t xml:space="preserve"> (Hlavního Klienta)</w:t>
      </w:r>
      <w:r>
        <w:t xml:space="preserve">. </w:t>
      </w:r>
      <w:r w:rsidR="00B66E42">
        <w:t>Subdodavatel</w:t>
      </w:r>
      <w:r>
        <w:t xml:space="preserve"> zprac</w:t>
      </w:r>
      <w:r w:rsidR="00B66E42">
        <w:t>uje</w:t>
      </w:r>
      <w:r>
        <w:t xml:space="preserve"> analýz</w:t>
      </w:r>
      <w:r w:rsidR="00B66E42">
        <w:t>u</w:t>
      </w:r>
      <w:r>
        <w:t xml:space="preserve"> LCA projektu se zaměřením na uhlíkovou stopu – potenciál globálního oteplování (GWP,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Warming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v CO2</w:t>
      </w:r>
      <w:r w:rsidR="00F179E1">
        <w:t>,</w:t>
      </w:r>
      <w:r>
        <w:t xml:space="preserve">ekv.). </w:t>
      </w:r>
    </w:p>
    <w:p w14:paraId="75CB4E1D" w14:textId="77777777" w:rsidR="00B66E42" w:rsidRDefault="00E0666C" w:rsidP="00E0666C">
      <w:pPr>
        <w:spacing w:before="0" w:after="160" w:line="259" w:lineRule="auto"/>
      </w:pPr>
      <w:r>
        <w:t xml:space="preserve">LCA bude provedeno dle ČSN EN 15978 za použití software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LCA.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LCA má přístup k datům z téměř všech světově dostupných EPD platforem a možnost využití metodiky pro lokalizaci zahraničních dat. Analýza bude provedena na základě dodaného modelu BIM a projektové dokumentace a její součástí bude také identifikace hotspotů, tj. procesů s největšími dopady na životní prostředí. </w:t>
      </w:r>
    </w:p>
    <w:p w14:paraId="1380A320" w14:textId="77777777" w:rsidR="00B66E42" w:rsidRPr="00B66E42" w:rsidRDefault="00B66E42" w:rsidP="00E0666C">
      <w:pPr>
        <w:spacing w:before="0" w:after="160" w:line="259" w:lineRule="auto"/>
        <w:rPr>
          <w:b/>
          <w:bCs/>
        </w:rPr>
      </w:pPr>
      <w:r w:rsidRPr="00B66E42">
        <w:rPr>
          <w:b/>
          <w:bCs/>
        </w:rPr>
        <w:t xml:space="preserve">Povinnosti Subdodavatele: </w:t>
      </w:r>
    </w:p>
    <w:p w14:paraId="48FECE61" w14:textId="77777777" w:rsidR="00B66E42" w:rsidRDefault="00E0666C" w:rsidP="00E0666C">
      <w:pPr>
        <w:spacing w:before="0" w:after="160" w:line="259" w:lineRule="auto"/>
      </w:pPr>
      <w:r>
        <w:t>Cíle posudku Hlavními cíli spolupráce jsou:</w:t>
      </w:r>
    </w:p>
    <w:p w14:paraId="72402B36" w14:textId="77777777" w:rsidR="00B66E42" w:rsidRDefault="00E0666C" w:rsidP="00B66E42">
      <w:pPr>
        <w:pStyle w:val="Odstavecseseznamem"/>
        <w:numPr>
          <w:ilvl w:val="0"/>
          <w:numId w:val="22"/>
        </w:numPr>
        <w:spacing w:before="0" w:after="160" w:line="259" w:lineRule="auto"/>
      </w:pPr>
      <w:r>
        <w:t xml:space="preserve">Analýza současného stavu projektu – části office; </w:t>
      </w:r>
    </w:p>
    <w:p w14:paraId="22C6BDDD" w14:textId="095FFADD" w:rsidR="00B66E42" w:rsidRDefault="00E0666C" w:rsidP="00B66E42">
      <w:pPr>
        <w:pStyle w:val="Odstavecseseznamem"/>
        <w:numPr>
          <w:ilvl w:val="0"/>
          <w:numId w:val="22"/>
        </w:numPr>
        <w:spacing w:before="0" w:after="160" w:line="259" w:lineRule="auto"/>
      </w:pPr>
      <w:r>
        <w:t xml:space="preserve">Stanovení hodnoty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 w:rsidR="00FB4559">
        <w:t>Carbon</w:t>
      </w:r>
      <w:proofErr w:type="spellEnd"/>
      <w:r w:rsidR="00FB4559">
        <w:t xml:space="preserve"> – Potenciálu</w:t>
      </w:r>
      <w:r>
        <w:t xml:space="preserve"> globálního oteplování (GWP v CO2,ekv.) budovy Ganze House.</w:t>
      </w:r>
    </w:p>
    <w:p w14:paraId="3D6E9BE1" w14:textId="77777777" w:rsidR="00B66E42" w:rsidRDefault="00E0666C" w:rsidP="00B66E42">
      <w:pPr>
        <w:pStyle w:val="Odstavecseseznamem"/>
        <w:numPr>
          <w:ilvl w:val="0"/>
          <w:numId w:val="22"/>
        </w:numPr>
        <w:spacing w:before="0" w:after="160" w:line="259" w:lineRule="auto"/>
      </w:pPr>
      <w:r>
        <w:t xml:space="preserve"> V případě zájmu o jiné environmentální parametry budou po dohodě se zadavatelem přidány do reportu. </w:t>
      </w:r>
    </w:p>
    <w:p w14:paraId="575EE359" w14:textId="77777777" w:rsidR="00B66E42" w:rsidRDefault="00E0666C" w:rsidP="00B66E42">
      <w:pPr>
        <w:pStyle w:val="Odstavecseseznamem"/>
        <w:numPr>
          <w:ilvl w:val="0"/>
          <w:numId w:val="22"/>
        </w:numPr>
        <w:spacing w:before="0" w:after="160" w:line="259" w:lineRule="auto"/>
      </w:pPr>
      <w:r>
        <w:t xml:space="preserve">Identifikace hotspotů v LCA – potenciál zlepšení budoucích projektů Zadavatele. </w:t>
      </w:r>
    </w:p>
    <w:p w14:paraId="6E44BAA6" w14:textId="77777777" w:rsidR="00B66E42" w:rsidRDefault="00B66E42" w:rsidP="00B66E42">
      <w:pPr>
        <w:pStyle w:val="Odstavecseseznamem"/>
        <w:spacing w:before="0" w:after="160" w:line="259" w:lineRule="auto"/>
      </w:pPr>
    </w:p>
    <w:p w14:paraId="5DB97308" w14:textId="77777777" w:rsidR="00E0666C" w:rsidRDefault="00E0666C" w:rsidP="00B66E42">
      <w:pPr>
        <w:spacing w:before="0" w:after="160" w:line="259" w:lineRule="auto"/>
      </w:pPr>
      <w:r>
        <w:t>Podklady Zadání pro detailní analýzu LCA stavební části bude ve formě BIM. Uhlíková stopa TZB bude stanovena průměrnou hodnotou pro daný navržený systém. Rozsah výstupů Zpráva shrnující kompletní vstupní i výstupní parametry výpočtu.</w:t>
      </w:r>
    </w:p>
    <w:p w14:paraId="2E7ED625" w14:textId="77777777" w:rsidR="00E0666C" w:rsidRDefault="00E0666C" w:rsidP="00E0666C">
      <w:pPr>
        <w:spacing w:before="0" w:after="160" w:line="259" w:lineRule="auto"/>
      </w:pPr>
      <w:r>
        <w:t>Výs</w:t>
      </w:r>
      <w:r w:rsidR="00B66E42">
        <w:t>tup bude dodán elektronicky, nejpozději 31.8.2024</w:t>
      </w:r>
    </w:p>
    <w:p w14:paraId="52EA13EB" w14:textId="77777777" w:rsidR="00E0666C" w:rsidRDefault="00E0666C" w:rsidP="00E0666C">
      <w:pPr>
        <w:spacing w:before="0" w:after="160" w:line="259" w:lineRule="auto"/>
      </w:pPr>
      <w:r>
        <w:t>Je možno prezentovat pouze po schválení zadavatelem.</w:t>
      </w:r>
    </w:p>
    <w:p w14:paraId="790B0D56" w14:textId="77777777" w:rsidR="00E0666C" w:rsidRDefault="00E0666C" w:rsidP="00E0666C">
      <w:pPr>
        <w:spacing w:before="0" w:after="160" w:line="259" w:lineRule="auto"/>
      </w:pPr>
      <w:r>
        <w:t>Potřebné podklady od objednatele (zadavatele):</w:t>
      </w:r>
    </w:p>
    <w:p w14:paraId="380B9CD2" w14:textId="77777777" w:rsidR="00E0666C" w:rsidRDefault="00E0666C" w:rsidP="00E0666C">
      <w:pPr>
        <w:spacing w:before="0" w:after="160" w:line="259" w:lineRule="auto"/>
      </w:pPr>
      <w:r>
        <w:t>Projekt budovy v BIM, technická dokumentace – informace o TZB.</w:t>
      </w:r>
    </w:p>
    <w:p w14:paraId="308BF271" w14:textId="77777777" w:rsidR="00B66E42" w:rsidRDefault="00B66E42" w:rsidP="00E0666C">
      <w:pPr>
        <w:spacing w:before="0" w:after="160" w:line="259" w:lineRule="auto"/>
      </w:pPr>
    </w:p>
    <w:p w14:paraId="03E09DD7" w14:textId="77777777" w:rsidR="00B66E42" w:rsidRPr="002D74AC" w:rsidRDefault="00B66E42" w:rsidP="00B66E42">
      <w:pPr>
        <w:jc w:val="both"/>
        <w:rPr>
          <w:rFonts w:cstheme="minorHAnsi"/>
          <w:b/>
          <w:szCs w:val="20"/>
        </w:rPr>
      </w:pPr>
      <w:r w:rsidRPr="002D74AC">
        <w:rPr>
          <w:rFonts w:cstheme="minorHAnsi"/>
          <w:b/>
          <w:szCs w:val="20"/>
        </w:rPr>
        <w:t xml:space="preserve">Kritéria akceptace </w:t>
      </w:r>
    </w:p>
    <w:p w14:paraId="5B13EAD7" w14:textId="77777777" w:rsidR="00B66E42" w:rsidRPr="002D74AC" w:rsidRDefault="00B66E42" w:rsidP="00B66E42">
      <w:pPr>
        <w:pStyle w:val="Level1"/>
        <w:numPr>
          <w:ilvl w:val="0"/>
          <w:numId w:val="0"/>
        </w:numPr>
        <w:rPr>
          <w:rFonts w:asciiTheme="minorHAnsi" w:hAnsiTheme="minorHAnsi" w:cstheme="minorHAnsi"/>
          <w:color w:val="auto"/>
          <w:lang w:val="cs-CZ"/>
        </w:rPr>
      </w:pPr>
    </w:p>
    <w:p w14:paraId="26251A9D" w14:textId="77777777" w:rsidR="00B66E42" w:rsidRDefault="00B66E42" w:rsidP="00B66E42">
      <w:pPr>
        <w:pStyle w:val="Level1"/>
        <w:numPr>
          <w:ilvl w:val="0"/>
          <w:numId w:val="26"/>
        </w:numPr>
        <w:rPr>
          <w:rFonts w:asciiTheme="minorHAnsi" w:hAnsiTheme="minorHAnsi" w:cstheme="minorHAnsi"/>
          <w:b w:val="0"/>
          <w:color w:val="auto"/>
          <w:lang w:val="cs-CZ"/>
        </w:rPr>
      </w:pPr>
      <w:r>
        <w:rPr>
          <w:rFonts w:asciiTheme="minorHAnsi" w:hAnsiTheme="minorHAnsi" w:cstheme="minorHAnsi"/>
          <w:b w:val="0"/>
          <w:color w:val="auto"/>
          <w:lang w:val="cs-CZ"/>
        </w:rPr>
        <w:t>Včasné dodání výstupů</w:t>
      </w:r>
    </w:p>
    <w:p w14:paraId="787AD113" w14:textId="77777777" w:rsidR="00B66E42" w:rsidRDefault="00B66E42" w:rsidP="00B66E42">
      <w:pPr>
        <w:pStyle w:val="Level1"/>
        <w:numPr>
          <w:ilvl w:val="0"/>
          <w:numId w:val="26"/>
        </w:numPr>
        <w:rPr>
          <w:rFonts w:asciiTheme="minorHAnsi" w:hAnsiTheme="minorHAnsi" w:cstheme="minorHAnsi"/>
          <w:b w:val="0"/>
          <w:color w:val="auto"/>
          <w:lang w:val="cs-CZ"/>
        </w:rPr>
      </w:pPr>
      <w:r>
        <w:rPr>
          <w:rFonts w:asciiTheme="minorHAnsi" w:hAnsiTheme="minorHAnsi" w:cstheme="minorHAnsi"/>
          <w:b w:val="0"/>
          <w:color w:val="auto"/>
          <w:lang w:val="cs-CZ"/>
        </w:rPr>
        <w:t>Přesnost a správnost výstupů LCA analýzy</w:t>
      </w:r>
    </w:p>
    <w:p w14:paraId="1AB3B027" w14:textId="77777777" w:rsidR="00B66E42" w:rsidRPr="002D74AC" w:rsidRDefault="00B66E42" w:rsidP="00B66E42">
      <w:pPr>
        <w:pStyle w:val="Level1"/>
        <w:numPr>
          <w:ilvl w:val="0"/>
          <w:numId w:val="0"/>
        </w:numPr>
        <w:rPr>
          <w:rFonts w:asciiTheme="minorHAnsi" w:hAnsiTheme="minorHAnsi" w:cstheme="minorHAnsi"/>
          <w:b w:val="0"/>
          <w:color w:val="auto"/>
          <w:lang w:val="cs-CZ"/>
        </w:rPr>
      </w:pPr>
    </w:p>
    <w:p w14:paraId="7A799185" w14:textId="77777777" w:rsidR="00B66E42" w:rsidRPr="002D74AC" w:rsidRDefault="00B66E42" w:rsidP="00B66E42">
      <w:pPr>
        <w:pStyle w:val="Level1"/>
        <w:numPr>
          <w:ilvl w:val="0"/>
          <w:numId w:val="0"/>
        </w:numPr>
        <w:rPr>
          <w:rFonts w:asciiTheme="minorHAnsi" w:hAnsiTheme="minorHAnsi" w:cstheme="minorHAnsi"/>
          <w:color w:val="auto"/>
          <w:lang w:val="cs-CZ"/>
        </w:rPr>
      </w:pPr>
    </w:p>
    <w:p w14:paraId="24D094DA" w14:textId="77777777" w:rsidR="00B66E42" w:rsidRPr="002D74AC" w:rsidRDefault="00B66E42" w:rsidP="00B66E42">
      <w:pPr>
        <w:pStyle w:val="Level1"/>
        <w:numPr>
          <w:ilvl w:val="0"/>
          <w:numId w:val="0"/>
        </w:numPr>
        <w:rPr>
          <w:rFonts w:asciiTheme="minorHAnsi" w:hAnsiTheme="minorHAnsi" w:cstheme="minorHAnsi"/>
          <w:color w:val="auto"/>
          <w:lang w:val="cs-CZ"/>
        </w:rPr>
      </w:pPr>
      <w:r w:rsidRPr="002D74AC">
        <w:rPr>
          <w:rFonts w:asciiTheme="minorHAnsi" w:hAnsiTheme="minorHAnsi" w:cstheme="minorHAnsi"/>
          <w:color w:val="auto"/>
          <w:lang w:val="cs-CZ"/>
        </w:rPr>
        <w:t>Měřítka kvality</w:t>
      </w:r>
    </w:p>
    <w:p w14:paraId="70EB3AA5" w14:textId="77777777" w:rsidR="00B66E42" w:rsidRPr="002D74AC" w:rsidRDefault="00B66E42" w:rsidP="00B66E42">
      <w:pPr>
        <w:rPr>
          <w:rFonts w:cstheme="minorHAnsi"/>
          <w:szCs w:val="20"/>
        </w:rPr>
      </w:pPr>
    </w:p>
    <w:p w14:paraId="0B35C8C7" w14:textId="77777777" w:rsidR="00B66E42" w:rsidRPr="002D74AC" w:rsidRDefault="00B66E42" w:rsidP="00B66E42">
      <w:pPr>
        <w:pStyle w:val="Level1"/>
        <w:rPr>
          <w:rFonts w:asciiTheme="minorHAnsi" w:hAnsiTheme="minorHAnsi" w:cstheme="minorHAnsi"/>
          <w:color w:val="auto"/>
          <w:lang w:val="cs-CZ"/>
        </w:rPr>
      </w:pPr>
      <w:r w:rsidRPr="002D74AC">
        <w:rPr>
          <w:rFonts w:asciiTheme="minorHAnsi" w:hAnsiTheme="minorHAnsi" w:cstheme="minorHAnsi"/>
          <w:color w:val="auto"/>
          <w:lang w:val="cs-CZ"/>
        </w:rPr>
        <w:t xml:space="preserve">Odpovědnosti Deloitte </w:t>
      </w:r>
    </w:p>
    <w:p w14:paraId="29641F16" w14:textId="6A83DFFC" w:rsidR="00B66E42" w:rsidRPr="00AB1802" w:rsidRDefault="00B66E42" w:rsidP="00B66E42">
      <w:pPr>
        <w:pStyle w:val="Level1"/>
        <w:numPr>
          <w:ilvl w:val="0"/>
          <w:numId w:val="24"/>
        </w:numPr>
        <w:rPr>
          <w:rFonts w:asciiTheme="minorHAnsi" w:hAnsiTheme="minorHAnsi" w:cstheme="minorHAnsi"/>
          <w:b w:val="0"/>
          <w:color w:val="000000" w:themeColor="text1"/>
          <w:lang w:val="cs-CZ"/>
        </w:rPr>
      </w:pPr>
      <w:r w:rsidRPr="00AB1802">
        <w:rPr>
          <w:rFonts w:asciiTheme="minorHAnsi" w:hAnsiTheme="minorHAnsi" w:cstheme="minorHAnsi"/>
          <w:b w:val="0"/>
          <w:color w:val="000000" w:themeColor="text1"/>
          <w:lang w:val="cs-CZ"/>
        </w:rPr>
        <w:t xml:space="preserve">Zajistit komunikaci mezi </w:t>
      </w:r>
      <w:r w:rsidR="0089168A">
        <w:rPr>
          <w:rFonts w:asciiTheme="minorHAnsi" w:hAnsiTheme="minorHAnsi" w:cstheme="minorHAnsi"/>
          <w:b w:val="0"/>
          <w:color w:val="000000" w:themeColor="text1"/>
          <w:lang w:val="cs-CZ"/>
        </w:rPr>
        <w:t>Subdodava</w:t>
      </w:r>
      <w:r w:rsidRPr="00AB1802">
        <w:rPr>
          <w:rFonts w:asciiTheme="minorHAnsi" w:hAnsiTheme="minorHAnsi" w:cstheme="minorHAnsi"/>
          <w:b w:val="0"/>
          <w:color w:val="000000" w:themeColor="text1"/>
          <w:lang w:val="cs-CZ"/>
        </w:rPr>
        <w:t>telem a všemi relevantními zúčastněnými stranami.</w:t>
      </w:r>
    </w:p>
    <w:p w14:paraId="01094997" w14:textId="6E419F03" w:rsidR="00B66E42" w:rsidRDefault="00B66E42" w:rsidP="00B66E42">
      <w:pPr>
        <w:pStyle w:val="Level1"/>
        <w:numPr>
          <w:ilvl w:val="0"/>
          <w:numId w:val="24"/>
        </w:numPr>
        <w:rPr>
          <w:rFonts w:asciiTheme="minorHAnsi" w:hAnsiTheme="minorHAnsi" w:cstheme="minorHAnsi"/>
          <w:b w:val="0"/>
          <w:color w:val="000000" w:themeColor="text1"/>
          <w:lang w:val="cs-CZ"/>
        </w:rPr>
      </w:pPr>
      <w:r w:rsidRPr="00AB1802">
        <w:rPr>
          <w:rFonts w:asciiTheme="minorHAnsi" w:hAnsiTheme="minorHAnsi" w:cstheme="minorHAnsi"/>
          <w:b w:val="0"/>
          <w:color w:val="000000" w:themeColor="text1"/>
          <w:lang w:val="cs-CZ"/>
        </w:rPr>
        <w:t>poskytnutí výsledků zakázky v anonymizované formě pro účely dalšího výzkumu a vývoje ČVUT UCEEB.</w:t>
      </w:r>
    </w:p>
    <w:p w14:paraId="16FE397C" w14:textId="0642EBB5" w:rsidR="004A3F8E" w:rsidRDefault="00F83564" w:rsidP="00F83564">
      <w:pPr>
        <w:pStyle w:val="Level1"/>
        <w:numPr>
          <w:ilvl w:val="0"/>
          <w:numId w:val="24"/>
        </w:numPr>
        <w:rPr>
          <w:rFonts w:asciiTheme="minorHAnsi" w:hAnsiTheme="minorHAnsi" w:cstheme="minorHAnsi"/>
          <w:b w:val="0"/>
          <w:color w:val="000000" w:themeColor="text1"/>
          <w:lang w:val="cs-CZ"/>
        </w:rPr>
      </w:pPr>
      <w:r w:rsidRPr="00F83564">
        <w:rPr>
          <w:rFonts w:asciiTheme="minorHAnsi" w:hAnsiTheme="minorHAnsi" w:cstheme="minorHAnsi"/>
          <w:b w:val="0"/>
          <w:color w:val="000000" w:themeColor="text1"/>
          <w:lang w:val="cs-CZ"/>
        </w:rPr>
        <w:lastRenderedPageBreak/>
        <w:t>Projekt budovy v</w:t>
      </w:r>
      <w:r w:rsidR="004A3F8E">
        <w:rPr>
          <w:rFonts w:asciiTheme="minorHAnsi" w:hAnsiTheme="minorHAnsi" w:cstheme="minorHAnsi"/>
          <w:b w:val="0"/>
          <w:color w:val="000000" w:themeColor="text1"/>
          <w:lang w:val="cs-CZ"/>
        </w:rPr>
        <w:t> </w:t>
      </w:r>
      <w:r w:rsidRPr="00F83564">
        <w:rPr>
          <w:rFonts w:asciiTheme="minorHAnsi" w:hAnsiTheme="minorHAnsi" w:cstheme="minorHAnsi"/>
          <w:b w:val="0"/>
          <w:color w:val="000000" w:themeColor="text1"/>
          <w:lang w:val="cs-CZ"/>
        </w:rPr>
        <w:t>BIM</w:t>
      </w:r>
      <w:r w:rsidR="004A3F8E">
        <w:rPr>
          <w:rFonts w:asciiTheme="minorHAnsi" w:hAnsiTheme="minorHAnsi" w:cstheme="minorHAnsi"/>
          <w:b w:val="0"/>
          <w:color w:val="000000" w:themeColor="text1"/>
          <w:lang w:val="cs-CZ"/>
        </w:rPr>
        <w:t>.</w:t>
      </w:r>
    </w:p>
    <w:p w14:paraId="5C58DAFA" w14:textId="5059269D" w:rsidR="00DB6D24" w:rsidRDefault="00F83564" w:rsidP="004A3F8E">
      <w:pPr>
        <w:pStyle w:val="Level1"/>
        <w:numPr>
          <w:ilvl w:val="0"/>
          <w:numId w:val="24"/>
        </w:numPr>
        <w:rPr>
          <w:rFonts w:asciiTheme="minorHAnsi" w:hAnsiTheme="minorHAnsi" w:cstheme="minorHAnsi"/>
          <w:b w:val="0"/>
          <w:color w:val="000000" w:themeColor="text1"/>
          <w:lang w:val="cs-CZ"/>
        </w:rPr>
      </w:pPr>
      <w:r w:rsidRPr="00F83564">
        <w:rPr>
          <w:rFonts w:asciiTheme="minorHAnsi" w:hAnsiTheme="minorHAnsi" w:cstheme="minorHAnsi"/>
          <w:b w:val="0"/>
          <w:color w:val="000000" w:themeColor="text1"/>
          <w:lang w:val="cs-CZ"/>
        </w:rPr>
        <w:t>technická dokumentace –</w:t>
      </w:r>
      <w:r w:rsidR="004A3F8E">
        <w:rPr>
          <w:rFonts w:asciiTheme="minorHAnsi" w:hAnsiTheme="minorHAnsi" w:cstheme="minorHAnsi"/>
          <w:b w:val="0"/>
          <w:color w:val="000000" w:themeColor="text1"/>
          <w:lang w:val="cs-CZ"/>
        </w:rPr>
        <w:t xml:space="preserve"> </w:t>
      </w:r>
      <w:r w:rsidRPr="004A3F8E">
        <w:rPr>
          <w:rFonts w:asciiTheme="minorHAnsi" w:hAnsiTheme="minorHAnsi" w:cstheme="minorHAnsi"/>
          <w:b w:val="0"/>
          <w:color w:val="000000" w:themeColor="text1"/>
          <w:lang w:val="cs-CZ"/>
        </w:rPr>
        <w:t>informace o TZB</w:t>
      </w:r>
      <w:r w:rsidR="004A3F8E">
        <w:rPr>
          <w:rFonts w:asciiTheme="minorHAnsi" w:hAnsiTheme="minorHAnsi" w:cstheme="minorHAnsi"/>
          <w:b w:val="0"/>
          <w:color w:val="000000" w:themeColor="text1"/>
          <w:lang w:val="cs-CZ"/>
        </w:rPr>
        <w:t>.</w:t>
      </w:r>
    </w:p>
    <w:p w14:paraId="22556F26" w14:textId="77777777" w:rsidR="004A3F8E" w:rsidRPr="004A3F8E" w:rsidRDefault="004A3F8E" w:rsidP="004A3F8E">
      <w:pPr>
        <w:pStyle w:val="Level1"/>
        <w:numPr>
          <w:ilvl w:val="0"/>
          <w:numId w:val="0"/>
        </w:numPr>
        <w:ind w:left="720"/>
        <w:rPr>
          <w:rFonts w:asciiTheme="minorHAnsi" w:hAnsiTheme="minorHAnsi" w:cstheme="minorHAnsi"/>
          <w:b w:val="0"/>
          <w:color w:val="000000" w:themeColor="text1"/>
          <w:lang w:val="cs-CZ"/>
        </w:rPr>
      </w:pPr>
    </w:p>
    <w:p w14:paraId="57D5A0B5" w14:textId="77777777" w:rsidR="00B66E42" w:rsidRPr="002D74AC" w:rsidRDefault="00B66E42" w:rsidP="00B66E42">
      <w:pPr>
        <w:pStyle w:val="Level1"/>
        <w:rPr>
          <w:rFonts w:asciiTheme="minorHAnsi" w:hAnsiTheme="minorHAnsi" w:cstheme="minorHAnsi"/>
          <w:color w:val="auto"/>
          <w:lang w:val="cs-CZ"/>
        </w:rPr>
      </w:pPr>
      <w:r w:rsidRPr="002D74AC">
        <w:rPr>
          <w:rFonts w:asciiTheme="minorHAnsi" w:hAnsiTheme="minorHAnsi" w:cstheme="minorHAnsi"/>
          <w:color w:val="auto"/>
          <w:lang w:val="cs-CZ"/>
        </w:rPr>
        <w:t xml:space="preserve">Vzájemné odpovědnosti </w:t>
      </w:r>
    </w:p>
    <w:p w14:paraId="398316AC" w14:textId="77777777" w:rsidR="00B66E42" w:rsidRPr="00AB1802" w:rsidRDefault="00B66E42" w:rsidP="00B66E42">
      <w:pPr>
        <w:pStyle w:val="Level1"/>
        <w:numPr>
          <w:ilvl w:val="0"/>
          <w:numId w:val="0"/>
        </w:numPr>
        <w:rPr>
          <w:rFonts w:asciiTheme="minorHAnsi" w:hAnsiTheme="minorHAnsi" w:cstheme="minorHAnsi"/>
          <w:b w:val="0"/>
          <w:color w:val="000000" w:themeColor="text1"/>
          <w:lang w:val="cs-CZ"/>
        </w:rPr>
      </w:pPr>
      <w:r w:rsidRPr="00AB1802">
        <w:rPr>
          <w:rFonts w:asciiTheme="minorHAnsi" w:hAnsiTheme="minorHAnsi" w:cstheme="minorHAnsi"/>
          <w:b w:val="0"/>
          <w:color w:val="000000" w:themeColor="text1"/>
          <w:lang w:val="cs-CZ"/>
        </w:rPr>
        <w:t>Subdodavatel se zavazuje:</w:t>
      </w:r>
    </w:p>
    <w:p w14:paraId="750992EE" w14:textId="77777777" w:rsidR="00B66E42" w:rsidRPr="00AB1802" w:rsidRDefault="00B66E42" w:rsidP="00B66E42">
      <w:pPr>
        <w:pStyle w:val="Level1"/>
        <w:numPr>
          <w:ilvl w:val="0"/>
          <w:numId w:val="23"/>
        </w:numPr>
        <w:rPr>
          <w:rFonts w:asciiTheme="minorHAnsi" w:hAnsiTheme="minorHAnsi" w:cstheme="minorHAnsi"/>
          <w:b w:val="0"/>
          <w:color w:val="000000" w:themeColor="text1"/>
          <w:lang w:val="cs-CZ"/>
        </w:rPr>
      </w:pPr>
      <w:r w:rsidRPr="00AB1802">
        <w:rPr>
          <w:rFonts w:asciiTheme="minorHAnsi" w:hAnsiTheme="minorHAnsi" w:cstheme="minorHAnsi"/>
          <w:b w:val="0"/>
          <w:color w:val="000000" w:themeColor="text1"/>
          <w:lang w:val="cs-CZ"/>
        </w:rPr>
        <w:t xml:space="preserve">Zapracovávat průběžně do dokumentace oprávněné připomínky Deloitte a </w:t>
      </w:r>
      <w:r w:rsidR="00DB6D24">
        <w:rPr>
          <w:rFonts w:asciiTheme="minorHAnsi" w:hAnsiTheme="minorHAnsi" w:cstheme="minorHAnsi"/>
          <w:b w:val="0"/>
          <w:color w:val="000000" w:themeColor="text1"/>
          <w:lang w:val="cs-CZ"/>
        </w:rPr>
        <w:t xml:space="preserve">Hlavního </w:t>
      </w:r>
      <w:r w:rsidRPr="00AB1802">
        <w:rPr>
          <w:rFonts w:asciiTheme="minorHAnsi" w:hAnsiTheme="minorHAnsi" w:cstheme="minorHAnsi"/>
          <w:b w:val="0"/>
          <w:color w:val="000000" w:themeColor="text1"/>
          <w:lang w:val="cs-CZ"/>
        </w:rPr>
        <w:t>klienta;</w:t>
      </w:r>
    </w:p>
    <w:p w14:paraId="0B56BB7C" w14:textId="77777777" w:rsidR="00B66E42" w:rsidRPr="00AB1802" w:rsidRDefault="00B66E42" w:rsidP="00B66E42">
      <w:pPr>
        <w:pStyle w:val="Level1"/>
        <w:numPr>
          <w:ilvl w:val="0"/>
          <w:numId w:val="23"/>
        </w:numPr>
        <w:rPr>
          <w:rFonts w:asciiTheme="minorHAnsi" w:hAnsiTheme="minorHAnsi" w:cstheme="minorHAnsi"/>
          <w:b w:val="0"/>
          <w:color w:val="000000" w:themeColor="text1"/>
          <w:lang w:val="cs-CZ"/>
        </w:rPr>
      </w:pPr>
      <w:r w:rsidRPr="00AB1802">
        <w:rPr>
          <w:rFonts w:asciiTheme="minorHAnsi" w:hAnsiTheme="minorHAnsi" w:cstheme="minorHAnsi"/>
          <w:b w:val="0"/>
          <w:color w:val="000000" w:themeColor="text1"/>
          <w:lang w:val="cs-CZ"/>
        </w:rPr>
        <w:t>Nekomunikovat s</w:t>
      </w:r>
      <w:r w:rsidR="00DB6D24">
        <w:rPr>
          <w:rFonts w:asciiTheme="minorHAnsi" w:hAnsiTheme="minorHAnsi" w:cstheme="minorHAnsi"/>
          <w:b w:val="0"/>
          <w:color w:val="000000" w:themeColor="text1"/>
          <w:lang w:val="cs-CZ"/>
        </w:rPr>
        <w:t xml:space="preserve"> Hlavním</w:t>
      </w:r>
      <w:r w:rsidRPr="00AB1802">
        <w:rPr>
          <w:rFonts w:asciiTheme="minorHAnsi" w:hAnsiTheme="minorHAnsi" w:cstheme="minorHAnsi"/>
          <w:b w:val="0"/>
          <w:color w:val="000000" w:themeColor="text1"/>
          <w:lang w:val="cs-CZ"/>
        </w:rPr>
        <w:t xml:space="preserve"> klientem bez vědomí Deloitte;</w:t>
      </w:r>
    </w:p>
    <w:p w14:paraId="196343D0" w14:textId="45B37E12" w:rsidR="00B66E42" w:rsidRPr="00AB1802" w:rsidRDefault="00B66E42" w:rsidP="00B66E42">
      <w:pPr>
        <w:pStyle w:val="Level1"/>
        <w:numPr>
          <w:ilvl w:val="0"/>
          <w:numId w:val="23"/>
        </w:numPr>
        <w:rPr>
          <w:rFonts w:asciiTheme="minorHAnsi" w:hAnsiTheme="minorHAnsi" w:cstheme="minorHAnsi"/>
          <w:b w:val="0"/>
          <w:color w:val="000000" w:themeColor="text1"/>
          <w:lang w:val="cs-CZ"/>
        </w:rPr>
      </w:pPr>
      <w:r w:rsidRPr="00AB1802">
        <w:rPr>
          <w:rFonts w:asciiTheme="minorHAnsi" w:hAnsiTheme="minorHAnsi" w:cstheme="minorHAnsi"/>
          <w:b w:val="0"/>
          <w:color w:val="000000" w:themeColor="text1"/>
          <w:lang w:val="cs-CZ"/>
        </w:rPr>
        <w:t xml:space="preserve">Zachovávat mlčenlivost o všech informacích a údajích získaných při plnění zakázky podle této Objednávky, a to do 3 let po ukončení plnění této Objednávky, přičemž výjimku tvoří informace použité pro vlastní </w:t>
      </w:r>
      <w:r w:rsidRPr="0089168A">
        <w:rPr>
          <w:rFonts w:asciiTheme="minorHAnsi" w:hAnsiTheme="minorHAnsi" w:cstheme="minorHAnsi"/>
          <w:b w:val="0"/>
          <w:color w:val="000000" w:themeColor="text1"/>
          <w:lang w:val="cs-CZ"/>
        </w:rPr>
        <w:t xml:space="preserve">prezentaci </w:t>
      </w:r>
      <w:r w:rsidR="0089168A" w:rsidRPr="0089168A">
        <w:rPr>
          <w:rFonts w:asciiTheme="minorHAnsi" w:hAnsiTheme="minorHAnsi" w:cstheme="minorHAnsi"/>
          <w:b w:val="0"/>
          <w:color w:val="000000" w:themeColor="text1"/>
          <w:lang w:val="cs-CZ"/>
        </w:rPr>
        <w:t>Subdodava</w:t>
      </w:r>
      <w:r w:rsidRPr="0089168A">
        <w:rPr>
          <w:rFonts w:asciiTheme="minorHAnsi" w:hAnsiTheme="minorHAnsi" w:cstheme="minorHAnsi"/>
          <w:b w:val="0"/>
          <w:color w:val="000000" w:themeColor="text1"/>
          <w:lang w:val="cs-CZ"/>
        </w:rPr>
        <w:t>tele nebo</w:t>
      </w:r>
      <w:r w:rsidRPr="00AB1802">
        <w:rPr>
          <w:rFonts w:asciiTheme="minorHAnsi" w:hAnsiTheme="minorHAnsi" w:cstheme="minorHAnsi"/>
          <w:b w:val="0"/>
          <w:color w:val="000000" w:themeColor="text1"/>
          <w:lang w:val="cs-CZ"/>
        </w:rPr>
        <w:t xml:space="preserve"> jiné údaje zveřejněné s předchozím písemným souhlasem Deloitte.</w:t>
      </w:r>
    </w:p>
    <w:p w14:paraId="102D4C25" w14:textId="77777777" w:rsidR="00B66E42" w:rsidRPr="002D74AC" w:rsidRDefault="00B66E42" w:rsidP="00B66E42">
      <w:pPr>
        <w:pStyle w:val="Level1"/>
        <w:numPr>
          <w:ilvl w:val="0"/>
          <w:numId w:val="0"/>
        </w:numPr>
        <w:rPr>
          <w:rFonts w:asciiTheme="minorHAnsi" w:hAnsiTheme="minorHAnsi" w:cstheme="minorHAnsi"/>
          <w:bCs/>
          <w:color w:val="000000" w:themeColor="text1"/>
          <w:lang w:val="cs-CZ"/>
        </w:rPr>
      </w:pPr>
    </w:p>
    <w:p w14:paraId="34CEE928" w14:textId="77777777" w:rsidR="00B66E42" w:rsidRPr="002D74AC" w:rsidRDefault="00B66E42" w:rsidP="00B66E42">
      <w:pPr>
        <w:pStyle w:val="Level1"/>
        <w:rPr>
          <w:rFonts w:asciiTheme="minorHAnsi" w:hAnsiTheme="minorHAnsi" w:cstheme="minorHAnsi"/>
          <w:color w:val="auto"/>
          <w:lang w:val="cs-CZ"/>
        </w:rPr>
      </w:pPr>
      <w:r w:rsidRPr="002D74AC">
        <w:rPr>
          <w:rFonts w:asciiTheme="minorHAnsi" w:hAnsiTheme="minorHAnsi" w:cstheme="minorHAnsi"/>
          <w:color w:val="auto"/>
          <w:lang w:val="cs-CZ"/>
        </w:rPr>
        <w:t>Harmonogram</w:t>
      </w:r>
    </w:p>
    <w:p w14:paraId="00D3627A" w14:textId="12DC3939" w:rsidR="00B66E42" w:rsidRPr="00AB1802" w:rsidRDefault="00B66E42" w:rsidP="00B66E42">
      <w:pPr>
        <w:pStyle w:val="Level1"/>
        <w:numPr>
          <w:ilvl w:val="0"/>
          <w:numId w:val="0"/>
        </w:numPr>
        <w:rPr>
          <w:rFonts w:asciiTheme="minorHAnsi" w:hAnsiTheme="minorHAnsi" w:cstheme="minorHAnsi"/>
          <w:b w:val="0"/>
          <w:bCs/>
          <w:color w:val="auto"/>
          <w:lang w:val="cs-CZ"/>
        </w:rPr>
      </w:pPr>
      <w:r w:rsidRPr="005E1338">
        <w:rPr>
          <w:rFonts w:asciiTheme="minorHAnsi" w:hAnsiTheme="minorHAnsi" w:cstheme="minorHAnsi"/>
          <w:b w:val="0"/>
          <w:bCs/>
          <w:color w:val="auto"/>
          <w:lang w:val="cs-CZ"/>
        </w:rPr>
        <w:t>Termín vyhotovení 3</w:t>
      </w:r>
      <w:r w:rsidR="0089168A" w:rsidRPr="005E1338">
        <w:rPr>
          <w:rFonts w:asciiTheme="minorHAnsi" w:hAnsiTheme="minorHAnsi" w:cstheme="minorHAnsi"/>
          <w:b w:val="0"/>
          <w:bCs/>
          <w:color w:val="auto"/>
          <w:lang w:val="cs-CZ"/>
        </w:rPr>
        <w:t>0</w:t>
      </w:r>
      <w:r w:rsidRPr="005E1338">
        <w:rPr>
          <w:rFonts w:asciiTheme="minorHAnsi" w:hAnsiTheme="minorHAnsi" w:cstheme="minorHAnsi"/>
          <w:b w:val="0"/>
          <w:bCs/>
          <w:color w:val="auto"/>
          <w:lang w:val="cs-CZ"/>
        </w:rPr>
        <w:t>.</w:t>
      </w:r>
      <w:r w:rsidR="0089168A" w:rsidRPr="005E1338">
        <w:rPr>
          <w:rFonts w:asciiTheme="minorHAnsi" w:hAnsiTheme="minorHAnsi" w:cstheme="minorHAnsi"/>
          <w:b w:val="0"/>
          <w:bCs/>
          <w:color w:val="auto"/>
          <w:lang w:val="cs-CZ"/>
        </w:rPr>
        <w:t>6</w:t>
      </w:r>
      <w:r w:rsidRPr="005E1338">
        <w:rPr>
          <w:rFonts w:asciiTheme="minorHAnsi" w:hAnsiTheme="minorHAnsi" w:cstheme="minorHAnsi"/>
          <w:b w:val="0"/>
          <w:bCs/>
          <w:color w:val="auto"/>
          <w:lang w:val="cs-CZ"/>
        </w:rPr>
        <w:t>.2024.</w:t>
      </w:r>
      <w:r w:rsidRPr="00AB1802">
        <w:rPr>
          <w:rFonts w:asciiTheme="minorHAnsi" w:hAnsiTheme="minorHAnsi" w:cstheme="minorHAnsi"/>
          <w:b w:val="0"/>
          <w:bCs/>
          <w:color w:val="auto"/>
          <w:lang w:val="cs-CZ"/>
        </w:rPr>
        <w:t xml:space="preserve"> Výsledky pro jednotlivé budovy budou zasílány a konzultovány průběžně, dle dohody s Deloitte.</w:t>
      </w:r>
    </w:p>
    <w:p w14:paraId="4875859D" w14:textId="77777777" w:rsidR="00B66E42" w:rsidRPr="002D74AC" w:rsidRDefault="00B66E42" w:rsidP="00B66E42">
      <w:pPr>
        <w:pStyle w:val="Level1"/>
        <w:numPr>
          <w:ilvl w:val="0"/>
          <w:numId w:val="0"/>
        </w:numPr>
        <w:ind w:left="432"/>
        <w:rPr>
          <w:rFonts w:asciiTheme="minorHAnsi" w:hAnsiTheme="minorHAnsi" w:cstheme="minorHAnsi"/>
          <w:color w:val="auto"/>
          <w:lang w:val="cs-CZ"/>
        </w:rPr>
      </w:pPr>
    </w:p>
    <w:p w14:paraId="5F93A0B7" w14:textId="77777777" w:rsidR="00B66E42" w:rsidRPr="002D74AC" w:rsidRDefault="00B66E42" w:rsidP="00B66E42">
      <w:pPr>
        <w:jc w:val="both"/>
        <w:rPr>
          <w:rFonts w:cstheme="minorHAnsi"/>
          <w:szCs w:val="20"/>
        </w:rPr>
      </w:pPr>
      <w:r w:rsidRPr="002D74AC">
        <w:rPr>
          <w:rFonts w:cstheme="minorHAnsi"/>
          <w:b/>
          <w:szCs w:val="20"/>
        </w:rPr>
        <w:t>Odměna za Služby:</w:t>
      </w:r>
      <w:r w:rsidRPr="002D74AC">
        <w:rPr>
          <w:rFonts w:cstheme="minorHAnsi"/>
          <w:szCs w:val="20"/>
        </w:rPr>
        <w:t xml:space="preserve"> </w:t>
      </w:r>
    </w:p>
    <w:p w14:paraId="3D897921" w14:textId="77777777" w:rsidR="00B66E42" w:rsidRDefault="00B66E42" w:rsidP="00B66E42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Subdodavateli náleží za řádně a včas poskytnuté Dodatečné služby celková odměna </w:t>
      </w:r>
      <w:r w:rsidRPr="005E1338">
        <w:rPr>
          <w:rFonts w:cstheme="minorHAnsi"/>
          <w:szCs w:val="20"/>
        </w:rPr>
        <w:t>130 000 CZK</w:t>
      </w:r>
      <w:r>
        <w:rPr>
          <w:rFonts w:cstheme="minorHAnsi"/>
          <w:szCs w:val="20"/>
        </w:rPr>
        <w:t xml:space="preserve"> (jedno sto třicet tisíc korun českých) bez DPH. </w:t>
      </w:r>
    </w:p>
    <w:p w14:paraId="5DF8A900" w14:textId="73E57B7D" w:rsidR="00B66E42" w:rsidRPr="002D74AC" w:rsidRDefault="00B66E42" w:rsidP="00B66E42">
      <w:pPr>
        <w:jc w:val="both"/>
        <w:rPr>
          <w:rFonts w:cstheme="minorHAnsi"/>
          <w:szCs w:val="20"/>
          <w:u w:val="single"/>
        </w:rPr>
      </w:pPr>
      <w:r>
        <w:rPr>
          <w:rFonts w:cstheme="minorHAnsi"/>
          <w:szCs w:val="20"/>
        </w:rPr>
        <w:t xml:space="preserve">Pokud Subdodavatel využije možnost vystavení zálohové faktury ve výši </w:t>
      </w:r>
      <w:r w:rsidRPr="005E1338">
        <w:rPr>
          <w:rFonts w:cstheme="minorHAnsi"/>
          <w:szCs w:val="20"/>
        </w:rPr>
        <w:t>20 %, a to 26 000 CZK</w:t>
      </w:r>
      <w:r>
        <w:rPr>
          <w:rFonts w:cstheme="minorHAnsi"/>
          <w:szCs w:val="20"/>
        </w:rPr>
        <w:t xml:space="preserve"> (dvacet šest tisíc korun českých) bez DPH, celkové ceny po uzavření Dodatku ke </w:t>
      </w:r>
      <w:r w:rsidR="00DB6D24">
        <w:rPr>
          <w:rFonts w:cstheme="minorHAnsi"/>
          <w:szCs w:val="20"/>
        </w:rPr>
        <w:t>S</w:t>
      </w:r>
      <w:r>
        <w:rPr>
          <w:rFonts w:cstheme="minorHAnsi"/>
          <w:szCs w:val="20"/>
        </w:rPr>
        <w:t xml:space="preserve">mlouvě, bude Subdodavateli vyplacena zbývající </w:t>
      </w:r>
      <w:r w:rsidR="00DB6D24">
        <w:rPr>
          <w:rFonts w:cstheme="minorHAnsi"/>
          <w:szCs w:val="20"/>
        </w:rPr>
        <w:t>O</w:t>
      </w:r>
      <w:r>
        <w:rPr>
          <w:rFonts w:cstheme="minorHAnsi"/>
          <w:szCs w:val="20"/>
        </w:rPr>
        <w:t xml:space="preserve">dměna ve výši 80 </w:t>
      </w:r>
      <w:r w:rsidRPr="00B01F4D">
        <w:rPr>
          <w:rFonts w:cstheme="minorHAnsi"/>
          <w:szCs w:val="20"/>
        </w:rPr>
        <w:t>%</w:t>
      </w:r>
      <w:r>
        <w:rPr>
          <w:rFonts w:cstheme="minorHAnsi"/>
          <w:szCs w:val="20"/>
        </w:rPr>
        <w:t xml:space="preserve"> celkové ceny za </w:t>
      </w:r>
      <w:r w:rsidR="00DB6D24">
        <w:rPr>
          <w:rFonts w:cstheme="minorHAnsi"/>
          <w:szCs w:val="20"/>
        </w:rPr>
        <w:t xml:space="preserve">Dodatečné </w:t>
      </w:r>
      <w:r>
        <w:rPr>
          <w:rFonts w:cstheme="minorHAnsi"/>
          <w:szCs w:val="20"/>
        </w:rPr>
        <w:t xml:space="preserve">služby, </w:t>
      </w:r>
      <w:r w:rsidRPr="005E1338">
        <w:rPr>
          <w:rFonts w:cstheme="minorHAnsi"/>
          <w:szCs w:val="20"/>
        </w:rPr>
        <w:t>a to 1</w:t>
      </w:r>
      <w:r w:rsidR="00A73F4A">
        <w:rPr>
          <w:rFonts w:cstheme="minorHAnsi"/>
          <w:szCs w:val="20"/>
        </w:rPr>
        <w:t>0</w:t>
      </w:r>
      <w:r w:rsidRPr="005E1338">
        <w:rPr>
          <w:rFonts w:cstheme="minorHAnsi"/>
          <w:szCs w:val="20"/>
        </w:rPr>
        <w:t>4 000 CZK</w:t>
      </w:r>
      <w:r w:rsidRPr="002D74AC">
        <w:rPr>
          <w:rFonts w:cstheme="minorHAnsi"/>
          <w:szCs w:val="20"/>
        </w:rPr>
        <w:t xml:space="preserve"> (</w:t>
      </w:r>
      <w:r>
        <w:rPr>
          <w:rFonts w:cstheme="minorHAnsi"/>
          <w:szCs w:val="20"/>
        </w:rPr>
        <w:t>jedno sto čt</w:t>
      </w:r>
      <w:r w:rsidR="006C23B7">
        <w:rPr>
          <w:rFonts w:cstheme="minorHAnsi"/>
          <w:szCs w:val="20"/>
        </w:rPr>
        <w:t>yři</w:t>
      </w:r>
      <w:r>
        <w:rPr>
          <w:rFonts w:cstheme="minorHAnsi"/>
          <w:szCs w:val="20"/>
        </w:rPr>
        <w:t xml:space="preserve"> tisíc korun českých</w:t>
      </w:r>
      <w:r w:rsidRPr="002D74AC">
        <w:rPr>
          <w:rFonts w:cstheme="minorHAnsi"/>
          <w:szCs w:val="20"/>
        </w:rPr>
        <w:t>)</w:t>
      </w:r>
      <w:r>
        <w:rPr>
          <w:rFonts w:cstheme="minorHAnsi"/>
          <w:szCs w:val="20"/>
        </w:rPr>
        <w:t xml:space="preserve"> bez DPH. Odměna za </w:t>
      </w:r>
      <w:r w:rsidR="00DB6D24">
        <w:rPr>
          <w:rFonts w:cstheme="minorHAnsi"/>
          <w:szCs w:val="20"/>
        </w:rPr>
        <w:t>Dodatečné s</w:t>
      </w:r>
      <w:r>
        <w:rPr>
          <w:rFonts w:cstheme="minorHAnsi"/>
          <w:szCs w:val="20"/>
        </w:rPr>
        <w:t>lužby je konečná a Subdodavatel nemá právo na náhradu jakýchkoliv vedlejších výdajů či nákladů.</w:t>
      </w:r>
    </w:p>
    <w:p w14:paraId="27783FD1" w14:textId="77777777" w:rsidR="00B66E42" w:rsidRPr="002D74AC" w:rsidRDefault="00B66E42" w:rsidP="00B66E42">
      <w:pPr>
        <w:jc w:val="both"/>
        <w:rPr>
          <w:rFonts w:cstheme="minorHAnsi"/>
          <w:szCs w:val="20"/>
        </w:rPr>
      </w:pPr>
    </w:p>
    <w:p w14:paraId="4B34EE19" w14:textId="77777777" w:rsidR="00B66E42" w:rsidRPr="002D74AC" w:rsidRDefault="00B66E42" w:rsidP="00B66E42">
      <w:pPr>
        <w:jc w:val="both"/>
        <w:rPr>
          <w:rFonts w:cstheme="minorHAnsi"/>
          <w:szCs w:val="20"/>
        </w:rPr>
      </w:pPr>
    </w:p>
    <w:p w14:paraId="489EFF43" w14:textId="77777777" w:rsidR="00B66E42" w:rsidRPr="002D74AC" w:rsidRDefault="00B66E42" w:rsidP="00B66E42">
      <w:pPr>
        <w:pStyle w:val="Level1"/>
        <w:numPr>
          <w:ilvl w:val="0"/>
          <w:numId w:val="0"/>
        </w:numPr>
        <w:ind w:left="432"/>
        <w:rPr>
          <w:rFonts w:asciiTheme="minorHAnsi" w:hAnsiTheme="minorHAnsi" w:cstheme="minorHAnsi"/>
          <w:color w:val="auto"/>
          <w:lang w:val="cs-CZ"/>
        </w:rPr>
      </w:pPr>
    </w:p>
    <w:p w14:paraId="16B38070" w14:textId="77777777" w:rsidR="00B66E42" w:rsidRPr="002D74AC" w:rsidRDefault="00B66E42" w:rsidP="00B66E42">
      <w:pPr>
        <w:pStyle w:val="Level1"/>
        <w:numPr>
          <w:ilvl w:val="0"/>
          <w:numId w:val="0"/>
        </w:numPr>
        <w:ind w:left="432"/>
        <w:rPr>
          <w:rFonts w:asciiTheme="minorHAnsi" w:hAnsiTheme="minorHAnsi" w:cstheme="minorHAnsi"/>
          <w:color w:val="auto"/>
          <w:lang w:val="cs-CZ"/>
        </w:rPr>
      </w:pPr>
    </w:p>
    <w:tbl>
      <w:tblPr>
        <w:tblW w:w="8142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3960"/>
        <w:gridCol w:w="4182"/>
      </w:tblGrid>
      <w:tr w:rsidR="00B66E42" w:rsidRPr="002D74AC" w14:paraId="5C8055EA" w14:textId="77777777" w:rsidTr="001D1467">
        <w:tc>
          <w:tcPr>
            <w:tcW w:w="3960" w:type="dxa"/>
          </w:tcPr>
          <w:p w14:paraId="7F530D05" w14:textId="77777777" w:rsidR="00B66E42" w:rsidRPr="0050613B" w:rsidRDefault="00B66E42" w:rsidP="001D1467">
            <w:pPr>
              <w:spacing w:line="259" w:lineRule="auto"/>
              <w:jc w:val="both"/>
              <w:rPr>
                <w:rFonts w:cstheme="minorHAnsi"/>
                <w:b/>
                <w:bCs/>
                <w:szCs w:val="20"/>
              </w:rPr>
            </w:pPr>
            <w:r w:rsidRPr="0050613B">
              <w:rPr>
                <w:rFonts w:cstheme="minorHAnsi"/>
                <w:b/>
                <w:bCs/>
                <w:szCs w:val="20"/>
              </w:rPr>
              <w:t>Deloitte Advisory, s.r.o.</w:t>
            </w:r>
          </w:p>
          <w:p w14:paraId="30276BD5" w14:textId="77777777" w:rsidR="00B66E42" w:rsidRPr="0050613B" w:rsidRDefault="00B66E42" w:rsidP="001D1467">
            <w:pPr>
              <w:jc w:val="both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182" w:type="dxa"/>
          </w:tcPr>
          <w:p w14:paraId="73609D52" w14:textId="77777777" w:rsidR="00B66E42" w:rsidRPr="0050613B" w:rsidRDefault="00B66E42" w:rsidP="001D1467">
            <w:pPr>
              <w:spacing w:line="259" w:lineRule="auto"/>
              <w:jc w:val="both"/>
              <w:rPr>
                <w:rFonts w:cstheme="minorHAnsi"/>
                <w:b/>
                <w:bCs/>
                <w:szCs w:val="20"/>
              </w:rPr>
            </w:pPr>
            <w:r w:rsidRPr="0050613B">
              <w:rPr>
                <w:rFonts w:cstheme="minorHAnsi"/>
                <w:b/>
                <w:bCs/>
                <w:szCs w:val="20"/>
              </w:rPr>
              <w:t>ČVUT UCEEB</w:t>
            </w:r>
          </w:p>
        </w:tc>
      </w:tr>
      <w:tr w:rsidR="00B66E42" w:rsidRPr="002D74AC" w14:paraId="7E55B1DC" w14:textId="77777777" w:rsidTr="001D1467">
        <w:trPr>
          <w:trHeight w:val="60"/>
        </w:trPr>
        <w:tc>
          <w:tcPr>
            <w:tcW w:w="3960" w:type="dxa"/>
          </w:tcPr>
          <w:p w14:paraId="426CC70D" w14:textId="1C5B266B" w:rsidR="00B66E42" w:rsidRPr="002D74AC" w:rsidRDefault="00B66E42" w:rsidP="001D1467">
            <w:pPr>
              <w:jc w:val="both"/>
              <w:rPr>
                <w:rFonts w:cstheme="minorHAnsi"/>
                <w:szCs w:val="20"/>
              </w:rPr>
            </w:pPr>
            <w:r w:rsidRPr="00D203CE">
              <w:rPr>
                <w:rFonts w:cstheme="minorHAnsi"/>
                <w:szCs w:val="20"/>
              </w:rPr>
              <w:t xml:space="preserve">Osoba: </w:t>
            </w:r>
            <w:r w:rsidR="00D203CE" w:rsidRPr="00D203CE">
              <w:rPr>
                <w:rFonts w:cstheme="minorHAnsi"/>
              </w:rPr>
              <w:t>Miroslav Svoboda</w:t>
            </w:r>
          </w:p>
        </w:tc>
        <w:tc>
          <w:tcPr>
            <w:tcW w:w="4182" w:type="dxa"/>
          </w:tcPr>
          <w:p w14:paraId="621D1DC7" w14:textId="77777777" w:rsidR="00B66E42" w:rsidRPr="002D74AC" w:rsidRDefault="00B66E42" w:rsidP="001D1467">
            <w:pPr>
              <w:jc w:val="both"/>
              <w:rPr>
                <w:rFonts w:cstheme="minorHAnsi"/>
                <w:szCs w:val="20"/>
              </w:rPr>
            </w:pPr>
            <w:r w:rsidRPr="002D74AC">
              <w:rPr>
                <w:rFonts w:cstheme="minorHAnsi"/>
                <w:szCs w:val="20"/>
              </w:rPr>
              <w:t>Osoba: Ing. Robert Jára, Ph.D.</w:t>
            </w:r>
          </w:p>
          <w:p w14:paraId="120C5641" w14:textId="77777777" w:rsidR="00B66E42" w:rsidRPr="002D74AC" w:rsidRDefault="00B66E42" w:rsidP="001D1467">
            <w:pPr>
              <w:jc w:val="both"/>
              <w:rPr>
                <w:rFonts w:cstheme="minorHAnsi"/>
                <w:szCs w:val="20"/>
              </w:rPr>
            </w:pPr>
          </w:p>
        </w:tc>
      </w:tr>
      <w:tr w:rsidR="00B66E42" w:rsidRPr="002D74AC" w14:paraId="37A00C05" w14:textId="77777777" w:rsidTr="001D1467">
        <w:tc>
          <w:tcPr>
            <w:tcW w:w="3960" w:type="dxa"/>
          </w:tcPr>
          <w:p w14:paraId="3895323E" w14:textId="77777777" w:rsidR="00B66E42" w:rsidRPr="002D74AC" w:rsidRDefault="00B66E42" w:rsidP="001D1467">
            <w:pPr>
              <w:jc w:val="both"/>
              <w:rPr>
                <w:rFonts w:cstheme="minorHAnsi"/>
                <w:szCs w:val="20"/>
              </w:rPr>
            </w:pPr>
            <w:r w:rsidRPr="002D74AC">
              <w:rPr>
                <w:rFonts w:cstheme="minorHAnsi"/>
                <w:szCs w:val="20"/>
              </w:rPr>
              <w:t>Funkce: partner</w:t>
            </w:r>
          </w:p>
        </w:tc>
        <w:tc>
          <w:tcPr>
            <w:tcW w:w="4182" w:type="dxa"/>
          </w:tcPr>
          <w:p w14:paraId="4EB54EF6" w14:textId="77777777" w:rsidR="00B66E42" w:rsidRPr="002D74AC" w:rsidRDefault="00B66E42" w:rsidP="001D1467">
            <w:pPr>
              <w:jc w:val="both"/>
              <w:rPr>
                <w:rFonts w:cstheme="minorHAnsi"/>
                <w:szCs w:val="20"/>
              </w:rPr>
            </w:pPr>
            <w:r w:rsidRPr="002D74AC">
              <w:rPr>
                <w:rFonts w:cstheme="minorHAnsi"/>
                <w:szCs w:val="20"/>
              </w:rPr>
              <w:t>Funkce: ředitel</w:t>
            </w:r>
          </w:p>
          <w:p w14:paraId="1CA3166D" w14:textId="77777777" w:rsidR="00B66E42" w:rsidRPr="002D74AC" w:rsidRDefault="00B66E42" w:rsidP="001D1467">
            <w:pPr>
              <w:jc w:val="both"/>
              <w:rPr>
                <w:rFonts w:cstheme="minorHAnsi"/>
                <w:szCs w:val="20"/>
              </w:rPr>
            </w:pPr>
          </w:p>
        </w:tc>
      </w:tr>
      <w:tr w:rsidR="00B66E42" w:rsidRPr="002D74AC" w14:paraId="0429E45C" w14:textId="77777777" w:rsidTr="001D1467">
        <w:tc>
          <w:tcPr>
            <w:tcW w:w="3960" w:type="dxa"/>
          </w:tcPr>
          <w:p w14:paraId="11F9ED0B" w14:textId="77777777" w:rsidR="00B66E42" w:rsidRPr="002D74AC" w:rsidRDefault="00B66E42" w:rsidP="001D1467">
            <w:pPr>
              <w:jc w:val="both"/>
              <w:rPr>
                <w:rFonts w:cstheme="minorHAnsi"/>
                <w:szCs w:val="20"/>
              </w:rPr>
            </w:pPr>
            <w:r w:rsidRPr="002D74AC">
              <w:rPr>
                <w:rFonts w:cstheme="minorHAnsi"/>
                <w:szCs w:val="20"/>
              </w:rPr>
              <w:t xml:space="preserve">Datum: </w:t>
            </w:r>
          </w:p>
        </w:tc>
        <w:tc>
          <w:tcPr>
            <w:tcW w:w="4182" w:type="dxa"/>
          </w:tcPr>
          <w:p w14:paraId="3C076E93" w14:textId="77777777" w:rsidR="00B66E42" w:rsidRPr="002D74AC" w:rsidRDefault="00B66E42" w:rsidP="001D1467">
            <w:pPr>
              <w:jc w:val="both"/>
              <w:rPr>
                <w:rFonts w:cstheme="minorHAnsi"/>
                <w:szCs w:val="20"/>
              </w:rPr>
            </w:pPr>
            <w:r w:rsidRPr="002D74AC">
              <w:rPr>
                <w:rFonts w:cstheme="minorHAnsi"/>
                <w:szCs w:val="20"/>
              </w:rPr>
              <w:t xml:space="preserve">Datum: </w:t>
            </w:r>
          </w:p>
        </w:tc>
      </w:tr>
    </w:tbl>
    <w:p w14:paraId="562A4090" w14:textId="77777777" w:rsidR="00965E1E" w:rsidRDefault="00965E1E" w:rsidP="00DB6D24">
      <w:pPr>
        <w:spacing w:before="0" w:after="160" w:line="259" w:lineRule="auto"/>
      </w:pPr>
    </w:p>
    <w:sectPr w:rsidR="00965E1E" w:rsidSect="003615BA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86520" w14:textId="77777777" w:rsidR="002D6693" w:rsidRDefault="002D6693" w:rsidP="008D3C03">
      <w:pPr>
        <w:spacing w:before="0" w:after="0"/>
      </w:pPr>
      <w:r>
        <w:separator/>
      </w:r>
    </w:p>
  </w:endnote>
  <w:endnote w:type="continuationSeparator" w:id="0">
    <w:p w14:paraId="707519C7" w14:textId="77777777" w:rsidR="002D6693" w:rsidRDefault="002D6693" w:rsidP="008D3C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B3B5" w14:textId="77777777" w:rsidR="00BF0F80" w:rsidRPr="003530AF" w:rsidRDefault="00BF0F80" w:rsidP="003530AF">
    <w:pPr>
      <w:pStyle w:val="Zpat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99A01" w14:textId="77777777" w:rsidR="002D6693" w:rsidRDefault="002D6693" w:rsidP="008D3C03">
      <w:pPr>
        <w:spacing w:before="0" w:after="0"/>
      </w:pPr>
      <w:r>
        <w:separator/>
      </w:r>
    </w:p>
  </w:footnote>
  <w:footnote w:type="continuationSeparator" w:id="0">
    <w:p w14:paraId="5564628E" w14:textId="77777777" w:rsidR="002D6693" w:rsidRDefault="002D6693" w:rsidP="008D3C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9F00" w14:textId="77777777" w:rsidR="00BF0F80" w:rsidRPr="00624DC2" w:rsidRDefault="00BF0F80">
    <w:pPr>
      <w:pStyle w:val="Zhlav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516"/>
    <w:multiLevelType w:val="hybridMultilevel"/>
    <w:tmpl w:val="CB143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4CC9"/>
    <w:multiLevelType w:val="hybridMultilevel"/>
    <w:tmpl w:val="72F8115A"/>
    <w:lvl w:ilvl="0" w:tplc="E98C4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ED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AD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2D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C6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CF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6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27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45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338A"/>
    <w:multiLevelType w:val="multilevel"/>
    <w:tmpl w:val="A2EE133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sz w:val="18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2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25335"/>
    <w:multiLevelType w:val="multilevel"/>
    <w:tmpl w:val="BDC24544"/>
    <w:numStyleLink w:val="Style2"/>
  </w:abstractNum>
  <w:abstractNum w:abstractNumId="4" w15:restartNumberingAfterBreak="0">
    <w:nsid w:val="465F645B"/>
    <w:multiLevelType w:val="multilevel"/>
    <w:tmpl w:val="D534B76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97630A"/>
    <w:multiLevelType w:val="multilevel"/>
    <w:tmpl w:val="8A4E33AA"/>
    <w:lvl w:ilvl="0">
      <w:start w:val="1"/>
      <w:numFmt w:val="upperRoman"/>
      <w:lvlText w:val="Čl. %1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88098F2"/>
    <w:multiLevelType w:val="hybridMultilevel"/>
    <w:tmpl w:val="E00239DE"/>
    <w:lvl w:ilvl="0" w:tplc="78B07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64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4C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2E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ED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38E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6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09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0F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5A8C"/>
    <w:multiLevelType w:val="hybridMultilevel"/>
    <w:tmpl w:val="F48AED84"/>
    <w:lvl w:ilvl="0" w:tplc="7960F2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35FC"/>
    <w:multiLevelType w:val="multilevel"/>
    <w:tmpl w:val="2AC2DA06"/>
    <w:lvl w:ilvl="0">
      <w:start w:val="1"/>
      <w:numFmt w:val="decimal"/>
      <w:pStyle w:val="Level1"/>
      <w:lvlText w:val="%1.0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Leve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3967AFD"/>
    <w:multiLevelType w:val="hybridMultilevel"/>
    <w:tmpl w:val="1AE88A1E"/>
    <w:lvl w:ilvl="0" w:tplc="267CE0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104B7"/>
    <w:multiLevelType w:val="multilevel"/>
    <w:tmpl w:val="BDC24544"/>
    <w:styleLink w:val="Style2"/>
    <w:lvl w:ilvl="0">
      <w:start w:val="1"/>
      <w:numFmt w:val="decimal"/>
      <w:pStyle w:val="Nadpis2"/>
      <w:lvlText w:val="Článek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9DE3779"/>
    <w:multiLevelType w:val="multilevel"/>
    <w:tmpl w:val="5B9272C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C2658B"/>
    <w:multiLevelType w:val="multilevel"/>
    <w:tmpl w:val="A25EA2D4"/>
    <w:lvl w:ilvl="0">
      <w:start w:val="1"/>
      <w:numFmt w:val="decimal"/>
      <w:lvlText w:val="Článek %1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lvlText w:val="(%2)"/>
      <w:lvlJc w:val="left"/>
      <w:pPr>
        <w:ind w:left="8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6051170">
    <w:abstractNumId w:val="5"/>
  </w:num>
  <w:num w:numId="2" w16cid:durableId="1660770665">
    <w:abstractNumId w:val="5"/>
  </w:num>
  <w:num w:numId="3" w16cid:durableId="267321427">
    <w:abstractNumId w:val="11"/>
  </w:num>
  <w:num w:numId="4" w16cid:durableId="2116902772">
    <w:abstractNumId w:val="4"/>
  </w:num>
  <w:num w:numId="5" w16cid:durableId="1074471889">
    <w:abstractNumId w:val="4"/>
  </w:num>
  <w:num w:numId="6" w16cid:durableId="232199875">
    <w:abstractNumId w:val="11"/>
  </w:num>
  <w:num w:numId="7" w16cid:durableId="414010679">
    <w:abstractNumId w:val="11"/>
  </w:num>
  <w:num w:numId="8" w16cid:durableId="61677938">
    <w:abstractNumId w:val="9"/>
  </w:num>
  <w:num w:numId="9" w16cid:durableId="1016007487">
    <w:abstractNumId w:val="2"/>
  </w:num>
  <w:num w:numId="10" w16cid:durableId="1380283343">
    <w:abstractNumId w:val="2"/>
  </w:num>
  <w:num w:numId="11" w16cid:durableId="949824861">
    <w:abstractNumId w:val="2"/>
  </w:num>
  <w:num w:numId="12" w16cid:durableId="134685202">
    <w:abstractNumId w:val="2"/>
  </w:num>
  <w:num w:numId="13" w16cid:durableId="1061058111">
    <w:abstractNumId w:val="2"/>
  </w:num>
  <w:num w:numId="14" w16cid:durableId="875776718">
    <w:abstractNumId w:val="2"/>
  </w:num>
  <w:num w:numId="15" w16cid:durableId="296223235">
    <w:abstractNumId w:val="2"/>
  </w:num>
  <w:num w:numId="16" w16cid:durableId="497578666">
    <w:abstractNumId w:val="2"/>
  </w:num>
  <w:num w:numId="17" w16cid:durableId="1097403663">
    <w:abstractNumId w:val="2"/>
  </w:num>
  <w:num w:numId="18" w16cid:durableId="845021362">
    <w:abstractNumId w:val="2"/>
  </w:num>
  <w:num w:numId="19" w16cid:durableId="1894152360">
    <w:abstractNumId w:val="10"/>
  </w:num>
  <w:num w:numId="20" w16cid:durableId="343898429">
    <w:abstractNumId w:val="3"/>
  </w:num>
  <w:num w:numId="21" w16cid:durableId="2017611959">
    <w:abstractNumId w:val="12"/>
  </w:num>
  <w:num w:numId="22" w16cid:durableId="1832065005">
    <w:abstractNumId w:val="0"/>
  </w:num>
  <w:num w:numId="23" w16cid:durableId="548490987">
    <w:abstractNumId w:val="1"/>
  </w:num>
  <w:num w:numId="24" w16cid:durableId="879244630">
    <w:abstractNumId w:val="6"/>
  </w:num>
  <w:num w:numId="25" w16cid:durableId="945889142">
    <w:abstractNumId w:val="8"/>
  </w:num>
  <w:num w:numId="26" w16cid:durableId="66193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0B"/>
    <w:rsid w:val="00074184"/>
    <w:rsid w:val="000E4198"/>
    <w:rsid w:val="00130C87"/>
    <w:rsid w:val="001660D0"/>
    <w:rsid w:val="001700CF"/>
    <w:rsid w:val="0017566E"/>
    <w:rsid w:val="001D0C43"/>
    <w:rsid w:val="002126C0"/>
    <w:rsid w:val="002472CC"/>
    <w:rsid w:val="0026174D"/>
    <w:rsid w:val="00265A51"/>
    <w:rsid w:val="002D6693"/>
    <w:rsid w:val="0031599E"/>
    <w:rsid w:val="003615BA"/>
    <w:rsid w:val="003B48B1"/>
    <w:rsid w:val="003D39A5"/>
    <w:rsid w:val="003E3B02"/>
    <w:rsid w:val="0045349F"/>
    <w:rsid w:val="00464F8A"/>
    <w:rsid w:val="004A3F8E"/>
    <w:rsid w:val="004E67F0"/>
    <w:rsid w:val="00521792"/>
    <w:rsid w:val="0053355B"/>
    <w:rsid w:val="005A2A5B"/>
    <w:rsid w:val="005B34C2"/>
    <w:rsid w:val="005E1338"/>
    <w:rsid w:val="005F7C28"/>
    <w:rsid w:val="00656DFC"/>
    <w:rsid w:val="00685771"/>
    <w:rsid w:val="006C23B7"/>
    <w:rsid w:val="00722E3E"/>
    <w:rsid w:val="007C1D0B"/>
    <w:rsid w:val="007E0A5F"/>
    <w:rsid w:val="00820766"/>
    <w:rsid w:val="0085614D"/>
    <w:rsid w:val="0086200F"/>
    <w:rsid w:val="0089168A"/>
    <w:rsid w:val="008D3C03"/>
    <w:rsid w:val="00923725"/>
    <w:rsid w:val="0093298D"/>
    <w:rsid w:val="00944E1A"/>
    <w:rsid w:val="00965E1E"/>
    <w:rsid w:val="009969D2"/>
    <w:rsid w:val="009F1C39"/>
    <w:rsid w:val="009F1C87"/>
    <w:rsid w:val="009F2BC8"/>
    <w:rsid w:val="00A526D2"/>
    <w:rsid w:val="00A73F4A"/>
    <w:rsid w:val="00A80907"/>
    <w:rsid w:val="00AB6E1F"/>
    <w:rsid w:val="00B04ED3"/>
    <w:rsid w:val="00B142FE"/>
    <w:rsid w:val="00B66E42"/>
    <w:rsid w:val="00B852D7"/>
    <w:rsid w:val="00BF0F80"/>
    <w:rsid w:val="00C81B71"/>
    <w:rsid w:val="00CC31F6"/>
    <w:rsid w:val="00CF2CE9"/>
    <w:rsid w:val="00D13569"/>
    <w:rsid w:val="00D203CE"/>
    <w:rsid w:val="00D51AAA"/>
    <w:rsid w:val="00D8195A"/>
    <w:rsid w:val="00DB6D24"/>
    <w:rsid w:val="00DE68CD"/>
    <w:rsid w:val="00E0666C"/>
    <w:rsid w:val="00E52A57"/>
    <w:rsid w:val="00E867E8"/>
    <w:rsid w:val="00EA6607"/>
    <w:rsid w:val="00EB748C"/>
    <w:rsid w:val="00ED5E56"/>
    <w:rsid w:val="00F179E1"/>
    <w:rsid w:val="00F44C78"/>
    <w:rsid w:val="00F83564"/>
    <w:rsid w:val="00FB04B5"/>
    <w:rsid w:val="00FB4559"/>
    <w:rsid w:val="00FB57AB"/>
    <w:rsid w:val="00FD10CC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73A8C"/>
  <w15:chartTrackingRefBased/>
  <w15:docId w15:val="{0F7DDA9C-CC30-42A3-91E1-7F278C0F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C03"/>
    <w:pPr>
      <w:spacing w:before="60" w:after="60" w:line="240" w:lineRule="auto"/>
    </w:pPr>
    <w:rPr>
      <w:rFonts w:cs="Times New Roman"/>
      <w:sz w:val="20"/>
      <w:szCs w:val="24"/>
    </w:rPr>
  </w:style>
  <w:style w:type="paragraph" w:styleId="Nadpis1">
    <w:name w:val="heading 1"/>
    <w:basedOn w:val="Normln"/>
    <w:next w:val="Nadpis2"/>
    <w:link w:val="Nadpis1Char"/>
    <w:qFormat/>
    <w:rsid w:val="008D3C03"/>
    <w:pPr>
      <w:keepNext/>
      <w:spacing w:before="240" w:after="12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9F2BC8"/>
    <w:pPr>
      <w:numPr>
        <w:numId w:val="20"/>
      </w:numPr>
      <w:spacing w:before="240" w:line="276" w:lineRule="auto"/>
      <w:outlineLvl w:val="1"/>
    </w:pPr>
    <w:rPr>
      <w:b/>
      <w:bCs/>
      <w:iCs/>
    </w:rPr>
  </w:style>
  <w:style w:type="paragraph" w:styleId="Nadpis3">
    <w:name w:val="heading 3"/>
    <w:basedOn w:val="Normln"/>
    <w:next w:val="Normln"/>
    <w:link w:val="Nadpis3Char"/>
    <w:uiPriority w:val="99"/>
    <w:qFormat/>
    <w:rsid w:val="001660D0"/>
    <w:pPr>
      <w:numPr>
        <w:ilvl w:val="1"/>
        <w:numId w:val="20"/>
      </w:numPr>
      <w:outlineLvl w:val="2"/>
    </w:pPr>
    <w:rPr>
      <w:bCs/>
      <w:szCs w:val="26"/>
    </w:rPr>
  </w:style>
  <w:style w:type="paragraph" w:styleId="Nadpis4">
    <w:name w:val="heading 4"/>
    <w:basedOn w:val="Nadpis3"/>
    <w:next w:val="Nadpis3"/>
    <w:link w:val="Nadpis4Char"/>
    <w:uiPriority w:val="99"/>
    <w:qFormat/>
    <w:rsid w:val="008D3C03"/>
    <w:pPr>
      <w:keepNext/>
      <w:keepLines/>
      <w:numPr>
        <w:ilvl w:val="0"/>
        <w:numId w:val="0"/>
      </w:numPr>
      <w:ind w:left="851"/>
      <w:outlineLvl w:val="3"/>
    </w:pPr>
    <w:rPr>
      <w:rFonts w:cs="Arial"/>
      <w:iCs/>
      <w:kern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rsid w:val="008D3C03"/>
    <w:rPr>
      <w:rFonts w:cs="Arial"/>
      <w:bCs/>
      <w:iCs/>
      <w:kern w:val="32"/>
      <w:sz w:val="20"/>
      <w:szCs w:val="26"/>
    </w:rPr>
  </w:style>
  <w:style w:type="paragraph" w:styleId="Zhlav">
    <w:name w:val="header"/>
    <w:basedOn w:val="Normln"/>
    <w:link w:val="ZhlavChar"/>
    <w:uiPriority w:val="99"/>
    <w:rsid w:val="008D3C0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8D3C03"/>
    <w:rPr>
      <w:rFonts w:cs="Times New Roman"/>
      <w:sz w:val="16"/>
      <w:szCs w:val="24"/>
    </w:rPr>
  </w:style>
  <w:style w:type="paragraph" w:styleId="Zpat">
    <w:name w:val="footer"/>
    <w:basedOn w:val="Normln"/>
    <w:link w:val="ZpatChar"/>
    <w:uiPriority w:val="99"/>
    <w:rsid w:val="008D3C03"/>
    <w:pPr>
      <w:tabs>
        <w:tab w:val="center" w:pos="4703"/>
        <w:tab w:val="right" w:pos="9406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D3C03"/>
    <w:rPr>
      <w:rFonts w:cs="Times New Roman"/>
      <w:sz w:val="16"/>
      <w:szCs w:val="24"/>
    </w:rPr>
  </w:style>
  <w:style w:type="character" w:styleId="Odkaznakoment">
    <w:name w:val="annotation reference"/>
    <w:rsid w:val="008D3C0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8D3C0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8D3C03"/>
    <w:rPr>
      <w:rFonts w:cs="Times New Roman"/>
      <w:sz w:val="20"/>
      <w:szCs w:val="20"/>
    </w:rPr>
  </w:style>
  <w:style w:type="numbering" w:customStyle="1" w:styleId="Style2">
    <w:name w:val="Style2"/>
    <w:uiPriority w:val="99"/>
    <w:rsid w:val="009F2BC8"/>
    <w:pPr>
      <w:numPr>
        <w:numId w:val="19"/>
      </w:numPr>
    </w:pPr>
  </w:style>
  <w:style w:type="character" w:customStyle="1" w:styleId="Nadpis1Char">
    <w:name w:val="Nadpis 1 Char"/>
    <w:basedOn w:val="Standardnpsmoodstavce"/>
    <w:link w:val="Nadpis1"/>
    <w:rsid w:val="008D3C03"/>
    <w:rPr>
      <w:rFonts w:cs="Arial"/>
      <w:b/>
      <w:bCs/>
      <w:caps/>
      <w:kern w:val="32"/>
      <w:sz w:val="20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D3C03"/>
    <w:rPr>
      <w:rFonts w:cs="Times New Roman"/>
      <w:b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1660D0"/>
    <w:rPr>
      <w:rFonts w:ascii="Calibri" w:eastAsia="Times New Roman" w:hAnsi="Calibri" w:cs="Times New Roman"/>
      <w:bCs/>
      <w:sz w:val="20"/>
      <w:szCs w:val="26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5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569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66E42"/>
    <w:pPr>
      <w:ind w:left="720"/>
      <w:contextualSpacing/>
    </w:pPr>
  </w:style>
  <w:style w:type="paragraph" w:customStyle="1" w:styleId="Level3">
    <w:name w:val="Level 3"/>
    <w:basedOn w:val="Normln"/>
    <w:rsid w:val="00B66E42"/>
    <w:pPr>
      <w:numPr>
        <w:ilvl w:val="2"/>
        <w:numId w:val="25"/>
      </w:num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hAnsi="Times New Roman"/>
      <w:b/>
      <w:bCs/>
      <w:i/>
      <w:szCs w:val="20"/>
      <w:lang w:val="en-US" w:eastAsia="zh-CN"/>
    </w:rPr>
  </w:style>
  <w:style w:type="paragraph" w:customStyle="1" w:styleId="Level1">
    <w:name w:val="Level 1"/>
    <w:basedOn w:val="Normln"/>
    <w:rsid w:val="00B66E42"/>
    <w:pPr>
      <w:numPr>
        <w:numId w:val="25"/>
      </w:numPr>
      <w:overflowPunct w:val="0"/>
      <w:autoSpaceDE w:val="0"/>
      <w:autoSpaceDN w:val="0"/>
      <w:adjustRightInd w:val="0"/>
      <w:spacing w:before="0" w:after="0"/>
      <w:textAlignment w:val="baseline"/>
      <w:outlineLvl w:val="0"/>
    </w:pPr>
    <w:rPr>
      <w:rFonts w:ascii="Times New Roman" w:hAnsi="Times New Roman"/>
      <w:b/>
      <w:color w:val="000000"/>
      <w:szCs w:val="20"/>
      <w:lang w:val="en-US" w:eastAsia="zh-CN"/>
    </w:rPr>
  </w:style>
  <w:style w:type="paragraph" w:customStyle="1" w:styleId="Level2">
    <w:name w:val="Level 2"/>
    <w:basedOn w:val="Normln"/>
    <w:rsid w:val="00B66E42"/>
    <w:pPr>
      <w:numPr>
        <w:ilvl w:val="1"/>
        <w:numId w:val="25"/>
      </w:numPr>
      <w:overflowPunct w:val="0"/>
      <w:autoSpaceDE w:val="0"/>
      <w:autoSpaceDN w:val="0"/>
      <w:adjustRightInd w:val="0"/>
      <w:spacing w:before="0" w:after="0"/>
      <w:textAlignment w:val="baseline"/>
      <w:outlineLvl w:val="1"/>
    </w:pPr>
    <w:rPr>
      <w:rFonts w:ascii="Times New Roman" w:hAnsi="Times New Roman"/>
      <w:b/>
      <w:i/>
      <w:color w:val="000000"/>
      <w:sz w:val="24"/>
      <w:lang w:val="en-US" w:eastAsia="zh-CN"/>
    </w:rPr>
  </w:style>
  <w:style w:type="paragraph" w:customStyle="1" w:styleId="Level4">
    <w:name w:val="Level 4"/>
    <w:basedOn w:val="Normln"/>
    <w:rsid w:val="00B66E42"/>
    <w:pPr>
      <w:numPr>
        <w:ilvl w:val="3"/>
        <w:numId w:val="25"/>
      </w:numPr>
      <w:overflowPunct w:val="0"/>
      <w:autoSpaceDE w:val="0"/>
      <w:autoSpaceDN w:val="0"/>
      <w:adjustRightInd w:val="0"/>
      <w:spacing w:before="0" w:after="0"/>
      <w:textAlignment w:val="baseline"/>
      <w:outlineLvl w:val="3"/>
    </w:pPr>
    <w:rPr>
      <w:rFonts w:ascii="Times New Roman" w:hAnsi="Times New Roman"/>
      <w:b/>
      <w:i/>
      <w:color w:val="00000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lickova\Deloitte%20(O365D)\CZ-IHL%20-%20Documents\Clients\CNS\CVUT\UCEEB_Contract_addendum_01_2404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3F31E5AED1B4C96B97864D8AFB217" ma:contentTypeVersion="6" ma:contentTypeDescription="Create a new document." ma:contentTypeScope="" ma:versionID="68e8836360af059a807976cf37afed16">
  <xsd:schema xmlns:xsd="http://www.w3.org/2001/XMLSchema" xmlns:xs="http://www.w3.org/2001/XMLSchema" xmlns:p="http://schemas.microsoft.com/office/2006/metadata/properties" xmlns:ns2="a9036cc5-b225-49f2-b4be-4560075ae99b" xmlns:ns3="0e3d9357-acaa-477c-994c-3cf2f08026dd" targetNamespace="http://schemas.microsoft.com/office/2006/metadata/properties" ma:root="true" ma:fieldsID="f58afbe5bd511dd9f4e36867b005e787" ns2:_="" ns3:_="">
    <xsd:import namespace="a9036cc5-b225-49f2-b4be-4560075ae99b"/>
    <xsd:import namespace="0e3d9357-acaa-477c-994c-3cf2f0802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6cc5-b225-49f2-b4be-4560075ae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d9357-acaa-477c-994c-3cf2f0802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F3A94-6B26-4333-8C5B-9D6CA9DFF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E701D-556B-4E41-82A2-46C31ECB6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6cc5-b225-49f2-b4be-4560075ae99b"/>
    <ds:schemaRef ds:uri="0e3d9357-acaa-477c-994c-3cf2f0802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8C23D-2D02-4614-A821-674F439A54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UCEEB_Contract_addendum_01_240424</Template>
  <TotalTime>4</TotalTime>
  <Pages>1</Pages>
  <Words>906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Deloitte CZ IHL</dc:creator>
  <cp:keywords/>
  <dc:description/>
  <cp:lastModifiedBy>Kozubek, Ales</cp:lastModifiedBy>
  <cp:revision>4</cp:revision>
  <cp:lastPrinted>2024-05-16T10:20:00Z</cp:lastPrinted>
  <dcterms:created xsi:type="dcterms:W3CDTF">2024-05-16T10:23:00Z</dcterms:created>
  <dcterms:modified xsi:type="dcterms:W3CDTF">2024-06-11T08:57:00Z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2021-08-25T15:35:37Z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8d8fec9b-2ec1-4550-97c7-8a762aa8039f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0x010100A413F31E5AED1B4C96B97864D8AFB217</vt:lpwstr>
  </property>
  <property fmtid="{D5CDD505-2E9C-101B-9397-08002B2CF9AE}" pid="10" name="MediaServiceImageTags">
    <vt:lpwstr/>
  </property>
</Properties>
</file>