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E2033" w14:textId="77777777" w:rsidR="005D0B02" w:rsidRDefault="00000000">
      <w:pPr>
        <w:spacing w:after="1672" w:line="259" w:lineRule="auto"/>
        <w:ind w:left="1130" w:firstLine="0"/>
        <w:jc w:val="left"/>
      </w:pPr>
      <w:r>
        <w:rPr>
          <w:sz w:val="28"/>
        </w:rPr>
        <w:t>Innovative Hygiene.</w:t>
      </w:r>
    </w:p>
    <w:p w14:paraId="1C5640E9" w14:textId="77777777" w:rsidR="005D0B02" w:rsidRDefault="00000000">
      <w:pPr>
        <w:spacing w:after="0" w:line="259" w:lineRule="auto"/>
        <w:ind w:left="1152" w:firstLine="0"/>
        <w:jc w:val="left"/>
      </w:pPr>
      <w:r>
        <w:rPr>
          <w:sz w:val="32"/>
        </w:rPr>
        <w:t>Dohoda pro prådelny</w:t>
      </w:r>
    </w:p>
    <w:p w14:paraId="3404F234" w14:textId="77777777" w:rsidR="005D0B02" w:rsidRDefault="00000000">
      <w:pPr>
        <w:spacing w:after="995"/>
        <w:ind w:right="14"/>
      </w:pPr>
      <w:r>
        <w:t>Ö. zåkaznika: 1 1 992</w:t>
      </w:r>
    </w:p>
    <w:p w14:paraId="3CCC7A46" w14:textId="77777777" w:rsidR="005D0B02" w:rsidRDefault="00000000">
      <w:pPr>
        <w:ind w:left="1155" w:right="14"/>
      </w:pPr>
      <w:r>
        <w:t>Mezi</w:t>
      </w:r>
    </w:p>
    <w:p w14:paraId="0B7BB0EA" w14:textId="77777777" w:rsidR="005D0B02" w:rsidRDefault="00000000">
      <w:pPr>
        <w:ind w:left="1162" w:right="14"/>
      </w:pPr>
      <w:r>
        <w:t>Hagleitner Hygiene Öesko s.r.o.</w:t>
      </w:r>
    </w:p>
    <w:p w14:paraId="233EC08D" w14:textId="77777777" w:rsidR="005D0B02" w:rsidRDefault="00000000">
      <w:pPr>
        <w:spacing w:after="180"/>
        <w:ind w:left="1155" w:right="2945"/>
      </w:pPr>
      <w:r>
        <w:t>Nupaky 456 251 01, äiöany (Dodavatel)</w:t>
      </w:r>
    </w:p>
    <w:p w14:paraId="396D95E6" w14:textId="77777777" w:rsidR="005D0B02" w:rsidRDefault="00000000">
      <w:pPr>
        <w:spacing w:after="30" w:line="259" w:lineRule="auto"/>
        <w:ind w:left="1152" w:firstLine="0"/>
        <w:jc w:val="left"/>
      </w:pPr>
      <w:r>
        <w:rPr>
          <w:sz w:val="30"/>
        </w:rPr>
        <w:t>a</w:t>
      </w:r>
    </w:p>
    <w:p w14:paraId="3C1C66A1" w14:textId="77777777" w:rsidR="005D0B02" w:rsidRDefault="00000000">
      <w:pPr>
        <w:spacing w:after="3" w:line="216" w:lineRule="auto"/>
        <w:ind w:left="1159" w:right="1310" w:firstLine="4"/>
        <w:jc w:val="left"/>
      </w:pPr>
      <w:r>
        <w:t>Domov Jilové u Prahy poskytovatel sociålnich sluieb Chvojinskä 108</w:t>
      </w:r>
    </w:p>
    <w:p w14:paraId="289A12AB" w14:textId="77777777" w:rsidR="005D0B02" w:rsidRDefault="00000000">
      <w:pPr>
        <w:spacing w:after="180"/>
        <w:ind w:left="1162" w:right="1519"/>
      </w:pPr>
      <w:r>
        <w:t>25401, Jilové u Prahy (zåkaznik)</w:t>
      </w:r>
    </w:p>
    <w:p w14:paraId="39CAFE57" w14:textId="77777777" w:rsidR="005D0B02" w:rsidRDefault="00000000">
      <w:pPr>
        <w:spacing w:after="327"/>
        <w:ind w:left="1169" w:right="14"/>
      </w:pPr>
      <w:r>
        <w:t>stejné tak i oboutrannymi pråvnimi nästupci je domluveno:</w:t>
      </w:r>
    </w:p>
    <w:p w14:paraId="3B8C2FBD" w14:textId="77777777" w:rsidR="005D0B02" w:rsidRDefault="00000000">
      <w:pPr>
        <w:spacing w:after="401" w:line="216" w:lineRule="auto"/>
        <w:ind w:left="0" w:right="7" w:firstLine="1102"/>
      </w:pPr>
      <w:r>
        <w:rPr>
          <w:sz w:val="24"/>
        </w:rPr>
        <w:t xml:space="preserve">I vase prådelna müie vyuäit naSich sluieb pro </w:t>
      </w:r>
      <w:r>
        <w:rPr>
          <w:rFonts w:ascii="Calibri" w:eastAsia="Calibri" w:hAnsi="Calibri" w:cs="Calibri"/>
          <w:sz w:val="24"/>
        </w:rPr>
        <w:t xml:space="preserve">c </w:t>
      </w:r>
      <w:r>
        <w:rPr>
          <w:sz w:val="24"/>
        </w:rPr>
        <w:t>zåiivé öisté prådlo. Do vaSich praöek våm poskytneme poöitaöem Fizené dåvkovaci zaFizeni. NaSi technici tato zarizeni namontuji a budou je udriovat tak, aby byla zajiéténa jejich bezvadnå funkce. Sestavujeme VaSe plåny pro prani a zabezpeöime odborné proékoleni vaéich zaméstnancü, aby Vage prådelna fungovala bez zåvad.</w:t>
      </w:r>
    </w:p>
    <w:p w14:paraId="0C10413A" w14:textId="77777777" w:rsidR="005D0B02" w:rsidRDefault="00000000">
      <w:pPr>
        <w:spacing w:after="644"/>
        <w:ind w:left="1112" w:right="14"/>
      </w:pPr>
      <w:r>
        <w:t>Dåvkovaci technika bez investic: Spoleönost Hagleitner Hygiene zapüjöi zåkaznikovi dåvkovaci techniku pro jeho praöky.</w:t>
      </w:r>
    </w:p>
    <w:p w14:paraId="66A30032" w14:textId="77777777" w:rsidR="005D0B02" w:rsidRDefault="00000000">
      <w:pPr>
        <w:spacing w:after="0" w:line="259" w:lineRule="auto"/>
        <w:ind w:left="1126" w:right="1108" w:hanging="10"/>
        <w:jc w:val="left"/>
      </w:pPr>
      <w:r>
        <w:rPr>
          <w:sz w:val="24"/>
        </w:rPr>
        <w:t>Servisni plnéni pro dobré vyuäiti:</w:t>
      </w:r>
    </w:p>
    <w:p w14:paraId="164B6BDD" w14:textId="77777777" w:rsidR="005D0B02" w:rsidRDefault="00000000">
      <w:pPr>
        <w:ind w:left="1119" w:right="14"/>
      </w:pPr>
      <w:r>
        <w:t>Näkupem doplhkovych produktü pro dåvkovaöe znaöky Hagleitner zfskåvåte servisni body. V pripadé dostateöného mnoästvf bodü provedeme servisni präce a üdribu naéich dåvkovaöü zdarma.</w:t>
      </w:r>
    </w:p>
    <w:p w14:paraId="6675ADC3" w14:textId="77777777" w:rsidR="005D0B02" w:rsidRDefault="00000000">
      <w:pPr>
        <w:spacing w:after="1310" w:line="259" w:lineRule="auto"/>
        <w:ind w:left="1570" w:firstLine="0"/>
        <w:jc w:val="left"/>
      </w:pPr>
      <w:r>
        <w:rPr>
          <w:noProof/>
        </w:rPr>
        <w:drawing>
          <wp:inline distT="0" distB="0" distL="0" distR="0" wp14:anchorId="4239E69B" wp14:editId="4250A78C">
            <wp:extent cx="1682495" cy="713232"/>
            <wp:effectExtent l="0" t="0" r="0" b="0"/>
            <wp:docPr id="17935" name="Picture 17935"/>
            <wp:cNvGraphicFramePr/>
            <a:graphic xmlns:a="http://schemas.openxmlformats.org/drawingml/2006/main">
              <a:graphicData uri="http://schemas.openxmlformats.org/drawingml/2006/picture">
                <pic:pic xmlns:pic="http://schemas.openxmlformats.org/drawingml/2006/picture">
                  <pic:nvPicPr>
                    <pic:cNvPr id="17935" name="Picture 17935"/>
                    <pic:cNvPicPr/>
                  </pic:nvPicPr>
                  <pic:blipFill>
                    <a:blip r:embed="rId7"/>
                    <a:stretch>
                      <a:fillRect/>
                    </a:stretch>
                  </pic:blipFill>
                  <pic:spPr>
                    <a:xfrm>
                      <a:off x="0" y="0"/>
                      <a:ext cx="1682495" cy="713232"/>
                    </a:xfrm>
                    <a:prstGeom prst="rect">
                      <a:avLst/>
                    </a:prstGeom>
                  </pic:spPr>
                </pic:pic>
              </a:graphicData>
            </a:graphic>
          </wp:inline>
        </w:drawing>
      </w:r>
    </w:p>
    <w:p w14:paraId="4B97FFAF" w14:textId="77777777" w:rsidR="005D0B02" w:rsidRDefault="00000000">
      <w:pPr>
        <w:spacing w:after="0" w:line="259" w:lineRule="auto"/>
        <w:ind w:left="9" w:right="1108" w:hanging="10"/>
        <w:jc w:val="left"/>
      </w:pPr>
      <w:r>
        <w:rPr>
          <w:sz w:val="24"/>
        </w:rPr>
        <w:t>Servicevereinbarung über die leihweise Überlassung von Dosieranlagen für gewerbliche</w:t>
      </w:r>
    </w:p>
    <w:p w14:paraId="2138C15B" w14:textId="77777777" w:rsidR="005D0B02" w:rsidRDefault="00000000">
      <w:pPr>
        <w:spacing w:after="0" w:line="259" w:lineRule="auto"/>
        <w:ind w:left="9" w:right="1108" w:hanging="10"/>
        <w:jc w:val="left"/>
      </w:pPr>
      <w:r>
        <w:rPr>
          <w:sz w:val="24"/>
        </w:rPr>
        <w:t>Waschmaschinen</w:t>
      </w:r>
    </w:p>
    <w:p w14:paraId="195E7F4D" w14:textId="77777777" w:rsidR="005D0B02" w:rsidRDefault="00000000">
      <w:pPr>
        <w:spacing w:after="357"/>
        <w:ind w:left="17" w:right="14"/>
      </w:pPr>
      <w:r>
        <w:t>Ihr Zeichen: 11992</w:t>
      </w:r>
    </w:p>
    <w:p w14:paraId="59466C23" w14:textId="77777777" w:rsidR="005D0B02" w:rsidRDefault="00000000">
      <w:pPr>
        <w:ind w:left="17" w:right="14"/>
      </w:pPr>
      <w:r>
        <w:t>Zwischen</w:t>
      </w:r>
    </w:p>
    <w:p w14:paraId="7DAF5945" w14:textId="77777777" w:rsidR="005D0B02" w:rsidRDefault="00000000">
      <w:pPr>
        <w:ind w:left="17" w:right="14"/>
      </w:pPr>
      <w:r>
        <w:t>Hagleitner Hygiene Öesko s.r.o.</w:t>
      </w:r>
    </w:p>
    <w:p w14:paraId="4B00B51C" w14:textId="77777777" w:rsidR="005D0B02" w:rsidRDefault="00000000">
      <w:pPr>
        <w:ind w:left="17" w:right="14"/>
      </w:pPr>
      <w:r>
        <w:t>Nupaky 456</w:t>
      </w:r>
    </w:p>
    <w:p w14:paraId="7530D58D" w14:textId="77777777" w:rsidR="005D0B02" w:rsidRDefault="00000000">
      <w:pPr>
        <w:spacing w:after="205" w:line="216" w:lineRule="auto"/>
        <w:ind w:left="2" w:right="2225"/>
      </w:pPr>
      <w:r>
        <w:rPr>
          <w:sz w:val="20"/>
        </w:rPr>
        <w:t>251 01 , kiöany (Lieferant)</w:t>
      </w:r>
    </w:p>
    <w:p w14:paraId="6D7D6F04" w14:textId="77777777" w:rsidR="005D0B02" w:rsidRDefault="00000000">
      <w:pPr>
        <w:spacing w:after="172"/>
        <w:ind w:left="17" w:right="14"/>
      </w:pPr>
      <w:r>
        <w:t>und</w:t>
      </w:r>
    </w:p>
    <w:p w14:paraId="0018E2C5" w14:textId="77777777" w:rsidR="005D0B02" w:rsidRDefault="00000000">
      <w:pPr>
        <w:spacing w:after="3" w:line="216" w:lineRule="auto"/>
        <w:ind w:left="79" w:right="1433" w:firstLine="4"/>
        <w:jc w:val="left"/>
      </w:pPr>
      <w:r>
        <w:t>Domov Jilové u Prahy poskytovatel sociålnich sluäeb Chvojinskå 108</w:t>
      </w:r>
    </w:p>
    <w:p w14:paraId="55C04BD9" w14:textId="77777777" w:rsidR="005D0B02" w:rsidRDefault="00000000">
      <w:pPr>
        <w:spacing w:after="181"/>
        <w:ind w:left="17" w:right="1836"/>
      </w:pPr>
      <w:r>
        <w:t>25401 , Jilové u Prahy (Kunde)</w:t>
      </w:r>
    </w:p>
    <w:p w14:paraId="4D2AAB16" w14:textId="77777777" w:rsidR="005D0B02" w:rsidRDefault="00000000">
      <w:pPr>
        <w:spacing w:after="309"/>
        <w:ind w:left="17" w:right="151"/>
      </w:pPr>
      <w:r>
        <w:t>sowie den beiderseitingen Rechtsnachfolgern wird Folgendes vereinbart:</w:t>
      </w:r>
    </w:p>
    <w:p w14:paraId="78F237A4" w14:textId="77777777" w:rsidR="005D0B02" w:rsidRDefault="00000000">
      <w:pPr>
        <w:spacing w:after="199"/>
        <w:ind w:left="82" w:right="14"/>
      </w:pPr>
      <w:r>
        <w:t>Auch in Ihrer Wäscherei leisten wir unseren Beitrag für strahlend saubere Wäsche. Wir stellen Ihnen computergesteuerte Dosieranlagen für Ihre Waschmaschinen zur Verfügung. Unsere Techniker montieren und warten die Anlagen, damit sie immer reibungslos funktionieren. Wir erstellen für Sie Waschpläne und sorgen durch die Fachschulung Ihrer Mitarbeiter dafür, dass Ihre Waschküche einwandfrei funktioniert.</w:t>
      </w:r>
    </w:p>
    <w:p w14:paraId="7F4D87CF" w14:textId="77777777" w:rsidR="005D0B02" w:rsidRDefault="00000000">
      <w:pPr>
        <w:spacing w:after="0" w:line="259" w:lineRule="auto"/>
        <w:ind w:left="104" w:right="1108" w:hanging="10"/>
        <w:jc w:val="left"/>
      </w:pPr>
      <w:r>
        <w:rPr>
          <w:sz w:val="24"/>
        </w:rPr>
        <w:t>Dosiertechnik ohne Investition:</w:t>
      </w:r>
    </w:p>
    <w:p w14:paraId="5C600C81" w14:textId="77777777" w:rsidR="005D0B02" w:rsidRDefault="00000000">
      <w:pPr>
        <w:spacing w:after="428" w:line="216" w:lineRule="auto"/>
        <w:ind w:left="79" w:right="-15" w:firstLine="4"/>
        <w:jc w:val="left"/>
      </w:pPr>
      <w:r>
        <w:t>Hagleitner Hygiene stellt</w:t>
      </w:r>
      <w:r>
        <w:tab/>
        <w:t xml:space="preserve">dem </w:t>
      </w:r>
      <w:r>
        <w:tab/>
        <w:t>Kunden Dosiertechnik für Waschmaschinen leihweise zur Verfügung.</w:t>
      </w:r>
    </w:p>
    <w:p w14:paraId="6BCC97E3" w14:textId="77777777" w:rsidR="005D0B02" w:rsidRDefault="00000000">
      <w:pPr>
        <w:spacing w:after="0" w:line="259" w:lineRule="auto"/>
        <w:ind w:left="111" w:right="1108" w:hanging="10"/>
        <w:jc w:val="left"/>
      </w:pPr>
      <w:r>
        <w:rPr>
          <w:sz w:val="24"/>
        </w:rPr>
        <w:t>Fair Use Serviceleistungen:</w:t>
      </w:r>
    </w:p>
    <w:tbl>
      <w:tblPr>
        <w:tblStyle w:val="TableGrid"/>
        <w:tblpPr w:vertAnchor="text" w:horzAnchor="margin" w:tblpY="2856"/>
        <w:tblOverlap w:val="never"/>
        <w:tblW w:w="9007" w:type="dxa"/>
        <w:tblInd w:w="0" w:type="dxa"/>
        <w:tblCellMar>
          <w:top w:w="18" w:type="dxa"/>
          <w:left w:w="0" w:type="dxa"/>
          <w:bottom w:w="0" w:type="dxa"/>
          <w:right w:w="0" w:type="dxa"/>
        </w:tblCellMar>
        <w:tblLook w:val="04A0" w:firstRow="1" w:lastRow="0" w:firstColumn="1" w:lastColumn="0" w:noHBand="0" w:noVBand="1"/>
      </w:tblPr>
      <w:tblGrid>
        <w:gridCol w:w="9007"/>
      </w:tblGrid>
      <w:tr w:rsidR="005D0B02" w14:paraId="4C89251C" w14:textId="77777777">
        <w:trPr>
          <w:trHeight w:val="237"/>
        </w:trPr>
        <w:tc>
          <w:tcPr>
            <w:tcW w:w="4104" w:type="dxa"/>
            <w:tcBorders>
              <w:top w:val="nil"/>
              <w:left w:val="nil"/>
              <w:bottom w:val="nil"/>
              <w:right w:val="nil"/>
            </w:tcBorders>
          </w:tcPr>
          <w:p w14:paraId="22EBD64E" w14:textId="77777777" w:rsidR="005D0B02" w:rsidRDefault="00000000">
            <w:pPr>
              <w:tabs>
                <w:tab w:val="center" w:pos="4626"/>
                <w:tab w:val="center" w:pos="4766"/>
                <w:tab w:val="center" w:pos="4849"/>
                <w:tab w:val="center" w:pos="4914"/>
                <w:tab w:val="center" w:pos="5360"/>
                <w:tab w:val="right" w:pos="9295"/>
              </w:tabs>
              <w:spacing w:after="0" w:line="259" w:lineRule="auto"/>
              <w:ind w:left="0" w:right="-288" w:firstLine="0"/>
              <w:jc w:val="left"/>
            </w:pPr>
            <w:r>
              <w:rPr>
                <w:noProof/>
              </w:rPr>
              <w:drawing>
                <wp:inline distT="0" distB="0" distL="0" distR="0" wp14:anchorId="2B386B2B" wp14:editId="2E742B23">
                  <wp:extent cx="2880360" cy="132589"/>
                  <wp:effectExtent l="0" t="0" r="0" b="0"/>
                  <wp:docPr id="2268" name="Picture 2268"/>
                  <wp:cNvGraphicFramePr/>
                  <a:graphic xmlns:a="http://schemas.openxmlformats.org/drawingml/2006/main">
                    <a:graphicData uri="http://schemas.openxmlformats.org/drawingml/2006/picture">
                      <pic:pic xmlns:pic="http://schemas.openxmlformats.org/drawingml/2006/picture">
                        <pic:nvPicPr>
                          <pic:cNvPr id="2268" name="Picture 2268"/>
                          <pic:cNvPicPr/>
                        </pic:nvPicPr>
                        <pic:blipFill>
                          <a:blip r:embed="rId8"/>
                          <a:stretch>
                            <a:fillRect/>
                          </a:stretch>
                        </pic:blipFill>
                        <pic:spPr>
                          <a:xfrm>
                            <a:off x="0" y="0"/>
                            <a:ext cx="2880360" cy="132589"/>
                          </a:xfrm>
                          <a:prstGeom prst="rect">
                            <a:avLst/>
                          </a:prstGeom>
                        </pic:spPr>
                      </pic:pic>
                    </a:graphicData>
                  </a:graphic>
                </wp:inline>
              </w:drawing>
            </w:r>
            <w:r>
              <w:tab/>
            </w:r>
            <w:r>
              <w:rPr>
                <w:noProof/>
              </w:rPr>
              <w:drawing>
                <wp:inline distT="0" distB="0" distL="0" distR="0" wp14:anchorId="39A7A160" wp14:editId="6EE6BA89">
                  <wp:extent cx="105156" cy="86868"/>
                  <wp:effectExtent l="0" t="0" r="0" b="0"/>
                  <wp:docPr id="2199" name="Picture 2199"/>
                  <wp:cNvGraphicFramePr/>
                  <a:graphic xmlns:a="http://schemas.openxmlformats.org/drawingml/2006/main">
                    <a:graphicData uri="http://schemas.openxmlformats.org/drawingml/2006/picture">
                      <pic:pic xmlns:pic="http://schemas.openxmlformats.org/drawingml/2006/picture">
                        <pic:nvPicPr>
                          <pic:cNvPr id="2199" name="Picture 2199"/>
                          <pic:cNvPicPr/>
                        </pic:nvPicPr>
                        <pic:blipFill>
                          <a:blip r:embed="rId9"/>
                          <a:stretch>
                            <a:fillRect/>
                          </a:stretch>
                        </pic:blipFill>
                        <pic:spPr>
                          <a:xfrm>
                            <a:off x="0" y="0"/>
                            <a:ext cx="105156" cy="86868"/>
                          </a:xfrm>
                          <a:prstGeom prst="rect">
                            <a:avLst/>
                          </a:prstGeom>
                        </pic:spPr>
                      </pic:pic>
                    </a:graphicData>
                  </a:graphic>
                </wp:inline>
              </w:drawing>
            </w:r>
            <w:r>
              <w:tab/>
            </w:r>
            <w:r>
              <w:rPr>
                <w:noProof/>
              </w:rPr>
              <w:drawing>
                <wp:inline distT="0" distB="0" distL="0" distR="0" wp14:anchorId="248F11BB" wp14:editId="1FA8056F">
                  <wp:extent cx="64008" cy="68580"/>
                  <wp:effectExtent l="0" t="0" r="0" b="0"/>
                  <wp:docPr id="2200" name="Picture 2200"/>
                  <wp:cNvGraphicFramePr/>
                  <a:graphic xmlns:a="http://schemas.openxmlformats.org/drawingml/2006/main">
                    <a:graphicData uri="http://schemas.openxmlformats.org/drawingml/2006/picture">
                      <pic:pic xmlns:pic="http://schemas.openxmlformats.org/drawingml/2006/picture">
                        <pic:nvPicPr>
                          <pic:cNvPr id="2200" name="Picture 2200"/>
                          <pic:cNvPicPr/>
                        </pic:nvPicPr>
                        <pic:blipFill>
                          <a:blip r:embed="rId10"/>
                          <a:stretch>
                            <a:fillRect/>
                          </a:stretch>
                        </pic:blipFill>
                        <pic:spPr>
                          <a:xfrm>
                            <a:off x="0" y="0"/>
                            <a:ext cx="64008" cy="68580"/>
                          </a:xfrm>
                          <a:prstGeom prst="rect">
                            <a:avLst/>
                          </a:prstGeom>
                        </pic:spPr>
                      </pic:pic>
                    </a:graphicData>
                  </a:graphic>
                </wp:inline>
              </w:drawing>
            </w:r>
            <w:r>
              <w:tab/>
            </w:r>
            <w:r>
              <w:rPr>
                <w:noProof/>
              </w:rPr>
              <w:drawing>
                <wp:inline distT="0" distB="0" distL="0" distR="0" wp14:anchorId="0BE52647" wp14:editId="70FA390C">
                  <wp:extent cx="32004" cy="100585"/>
                  <wp:effectExtent l="0" t="0" r="0" b="0"/>
                  <wp:docPr id="2197" name="Picture 2197"/>
                  <wp:cNvGraphicFramePr/>
                  <a:graphic xmlns:a="http://schemas.openxmlformats.org/drawingml/2006/main">
                    <a:graphicData uri="http://schemas.openxmlformats.org/drawingml/2006/picture">
                      <pic:pic xmlns:pic="http://schemas.openxmlformats.org/drawingml/2006/picture">
                        <pic:nvPicPr>
                          <pic:cNvPr id="2197" name="Picture 2197"/>
                          <pic:cNvPicPr/>
                        </pic:nvPicPr>
                        <pic:blipFill>
                          <a:blip r:embed="rId11"/>
                          <a:stretch>
                            <a:fillRect/>
                          </a:stretch>
                        </pic:blipFill>
                        <pic:spPr>
                          <a:xfrm>
                            <a:off x="0" y="0"/>
                            <a:ext cx="32004" cy="100585"/>
                          </a:xfrm>
                          <a:prstGeom prst="rect">
                            <a:avLst/>
                          </a:prstGeom>
                        </pic:spPr>
                      </pic:pic>
                    </a:graphicData>
                  </a:graphic>
                </wp:inline>
              </w:drawing>
            </w:r>
            <w:r>
              <w:tab/>
            </w:r>
            <w:r>
              <w:rPr>
                <w:noProof/>
              </w:rPr>
              <w:drawing>
                <wp:inline distT="0" distB="0" distL="0" distR="0" wp14:anchorId="4A6B7799" wp14:editId="17D7F456">
                  <wp:extent cx="32004" cy="100585"/>
                  <wp:effectExtent l="0" t="0" r="0" b="0"/>
                  <wp:docPr id="2196" name="Picture 2196"/>
                  <wp:cNvGraphicFramePr/>
                  <a:graphic xmlns:a="http://schemas.openxmlformats.org/drawingml/2006/main">
                    <a:graphicData uri="http://schemas.openxmlformats.org/drawingml/2006/picture">
                      <pic:pic xmlns:pic="http://schemas.openxmlformats.org/drawingml/2006/picture">
                        <pic:nvPicPr>
                          <pic:cNvPr id="2196" name="Picture 2196"/>
                          <pic:cNvPicPr/>
                        </pic:nvPicPr>
                        <pic:blipFill>
                          <a:blip r:embed="rId12"/>
                          <a:stretch>
                            <a:fillRect/>
                          </a:stretch>
                        </pic:blipFill>
                        <pic:spPr>
                          <a:xfrm>
                            <a:off x="0" y="0"/>
                            <a:ext cx="32004" cy="100585"/>
                          </a:xfrm>
                          <a:prstGeom prst="rect">
                            <a:avLst/>
                          </a:prstGeom>
                        </pic:spPr>
                      </pic:pic>
                    </a:graphicData>
                  </a:graphic>
                </wp:inline>
              </w:drawing>
            </w:r>
            <w:r>
              <w:tab/>
            </w:r>
            <w:r>
              <w:rPr>
                <w:noProof/>
              </w:rPr>
              <w:drawing>
                <wp:inline distT="0" distB="0" distL="0" distR="0" wp14:anchorId="52C55338" wp14:editId="77166C39">
                  <wp:extent cx="41148" cy="96013"/>
                  <wp:effectExtent l="0" t="0" r="0" b="0"/>
                  <wp:docPr id="2198" name="Picture 2198"/>
                  <wp:cNvGraphicFramePr/>
                  <a:graphic xmlns:a="http://schemas.openxmlformats.org/drawingml/2006/main">
                    <a:graphicData uri="http://schemas.openxmlformats.org/drawingml/2006/picture">
                      <pic:pic xmlns:pic="http://schemas.openxmlformats.org/drawingml/2006/picture">
                        <pic:nvPicPr>
                          <pic:cNvPr id="2198" name="Picture 2198"/>
                          <pic:cNvPicPr/>
                        </pic:nvPicPr>
                        <pic:blipFill>
                          <a:blip r:embed="rId13"/>
                          <a:stretch>
                            <a:fillRect/>
                          </a:stretch>
                        </pic:blipFill>
                        <pic:spPr>
                          <a:xfrm>
                            <a:off x="0" y="0"/>
                            <a:ext cx="41148" cy="96013"/>
                          </a:xfrm>
                          <a:prstGeom prst="rect">
                            <a:avLst/>
                          </a:prstGeom>
                        </pic:spPr>
                      </pic:pic>
                    </a:graphicData>
                  </a:graphic>
                </wp:inline>
              </w:drawing>
            </w:r>
            <w:r>
              <w:t>.html</w:t>
            </w:r>
            <w:r>
              <w:tab/>
              <w:t>27.11.2014</w:t>
            </w:r>
          </w:p>
        </w:tc>
      </w:tr>
    </w:tbl>
    <w:p w14:paraId="4461748B" w14:textId="77777777" w:rsidR="005D0B02" w:rsidRDefault="00000000">
      <w:pPr>
        <w:spacing w:after="3" w:line="216" w:lineRule="auto"/>
        <w:ind w:left="79" w:right="-15" w:firstLine="4"/>
        <w:jc w:val="left"/>
      </w:pPr>
      <w:r>
        <w:t>Durch den Kauf von Hagleitner Hygiene Dosiertechnik Nachfüllprodukten erhalten Sie Hagleitner Servicepunkte. Bei ausreichend vorhandenen Servicepunkten führen wir Serviceund Wartungsarbeiten an unseren Dosiergeräten kostenlos durch.</w:t>
      </w:r>
    </w:p>
    <w:p w14:paraId="69C0DC60" w14:textId="77777777" w:rsidR="005D0B02" w:rsidRDefault="00000000">
      <w:pPr>
        <w:spacing w:after="0" w:line="259" w:lineRule="auto"/>
        <w:ind w:left="1076" w:right="1108" w:hanging="10"/>
        <w:jc w:val="left"/>
      </w:pPr>
      <w:r>
        <w:rPr>
          <w:sz w:val="24"/>
        </w:rPr>
        <w:t>Bezvadné fungování :</w:t>
      </w:r>
    </w:p>
    <w:p w14:paraId="26D32D96" w14:textId="77777777" w:rsidR="005D0B02" w:rsidRDefault="00000000">
      <w:pPr>
        <w:spacing w:after="372"/>
        <w:ind w:left="1054" w:right="14"/>
      </w:pPr>
      <w:r>
        <w:t>Díky našim dlouholetým zkušenostem jsme skutečně kompetentním partnerem v oblasti dávkovací techniky. Pravidelná údržba je prováděná preventivně, a maximalizuje tak bezpečné fungování. V rámci servisní smlouvy převezme společnost Hagleitner správu údržby a její četnosti bez jakýchkoli nákladů z vaší strany.</w:t>
      </w:r>
    </w:p>
    <w:p w14:paraId="0E889DC0" w14:textId="77777777" w:rsidR="005D0B02" w:rsidRDefault="00000000">
      <w:pPr>
        <w:spacing w:after="0" w:line="259" w:lineRule="auto"/>
        <w:ind w:left="1083" w:right="1108" w:hanging="10"/>
        <w:jc w:val="left"/>
      </w:pPr>
      <w:r>
        <w:rPr>
          <w:sz w:val="24"/>
        </w:rPr>
        <w:t>Montáž &amp; parametrizace:</w:t>
      </w:r>
    </w:p>
    <w:p w14:paraId="2A188274" w14:textId="77777777" w:rsidR="005D0B02" w:rsidRDefault="00000000">
      <w:pPr>
        <w:spacing w:after="581"/>
        <w:ind w:left="1069" w:right="14"/>
      </w:pPr>
      <w:r>
        <w:lastRenderedPageBreak/>
        <w:t>Odborní poradci společnosti Hagleitner, kteří jsou vyškoleni speciálně pro oblast dávkovací techniky pro prádelny, Vám bezplatně namontují zapůjčené dávkovače a nastaví je podle vašich požadavků.</w:t>
      </w:r>
    </w:p>
    <w:p w14:paraId="09515C5C" w14:textId="77777777" w:rsidR="005D0B02" w:rsidRDefault="00000000">
      <w:pPr>
        <w:ind w:left="1083" w:right="14"/>
      </w:pPr>
      <w:r>
        <w:t>Nejmodernější technika:</w:t>
      </w:r>
    </w:p>
    <w:p w14:paraId="1150DC17" w14:textId="77777777" w:rsidR="005D0B02" w:rsidRDefault="00000000">
      <w:pPr>
        <w:ind w:left="302" w:right="14" w:firstLine="785"/>
      </w:pPr>
      <w:r>
        <w:t xml:space="preserve">Dávkovací technika zapůjčená společností Hagleitner Hygiene splňuje ty nejvyšší nároky </w:t>
      </w:r>
      <w:r>
        <w:rPr>
          <w:noProof/>
        </w:rPr>
        <w:drawing>
          <wp:inline distT="0" distB="0" distL="0" distR="0" wp14:anchorId="3242C197" wp14:editId="46099380">
            <wp:extent cx="41148" cy="50292"/>
            <wp:effectExtent l="0" t="0" r="0" b="0"/>
            <wp:docPr id="17938" name="Picture 17938"/>
            <wp:cNvGraphicFramePr/>
            <a:graphic xmlns:a="http://schemas.openxmlformats.org/drawingml/2006/main">
              <a:graphicData uri="http://schemas.openxmlformats.org/drawingml/2006/picture">
                <pic:pic xmlns:pic="http://schemas.openxmlformats.org/drawingml/2006/picture">
                  <pic:nvPicPr>
                    <pic:cNvPr id="17938" name="Picture 17938"/>
                    <pic:cNvPicPr/>
                  </pic:nvPicPr>
                  <pic:blipFill>
                    <a:blip r:embed="rId14"/>
                    <a:stretch>
                      <a:fillRect/>
                    </a:stretch>
                  </pic:blipFill>
                  <pic:spPr>
                    <a:xfrm>
                      <a:off x="0" y="0"/>
                      <a:ext cx="41148" cy="50292"/>
                    </a:xfrm>
                    <a:prstGeom prst="rect">
                      <a:avLst/>
                    </a:prstGeom>
                  </pic:spPr>
                </pic:pic>
              </a:graphicData>
            </a:graphic>
          </wp:inline>
        </w:drawing>
      </w:r>
      <w:r>
        <w:t>kladené na kontrolu nákladů, účinnost chemie a bezpečnost obsluhy. Tato kvalita má svoji cenu, naše investice do vaší prádelny činí přibližně 30.600,- CZK na jednu pračku. Počet a typ zaznamená náš servisní technik po montáži.</w:t>
      </w:r>
    </w:p>
    <w:p w14:paraId="66180757" w14:textId="77777777" w:rsidR="005D0B02" w:rsidRDefault="00000000">
      <w:pPr>
        <w:spacing w:after="0" w:line="259" w:lineRule="auto"/>
        <w:ind w:left="9" w:right="1108" w:hanging="10"/>
        <w:jc w:val="left"/>
      </w:pPr>
      <w:r>
        <w:rPr>
          <w:sz w:val="24"/>
        </w:rPr>
        <w:t>Reibungslose Funktion:</w:t>
      </w:r>
    </w:p>
    <w:p w14:paraId="42DE7C28" w14:textId="77777777" w:rsidR="005D0B02" w:rsidRDefault="00000000">
      <w:pPr>
        <w:spacing w:after="415"/>
        <w:ind w:left="17" w:right="14"/>
      </w:pPr>
      <w:r>
        <w:t xml:space="preserve">Jahrelange Erfahrung macht uns zu Ihrem kompetenten Partner in der Dosiertechnik. RegelmäBige Wartungen werden vorbeugend durchgeführt um die Funktionssicherheit zu maximieren. Mit dem Hagleitner Servicevertrag </w:t>
      </w:r>
      <w:r>
        <w:t>übernimmt Hagleitner die Verwaltung der Wartungseinsätze ohne Aufwand für Sie.</w:t>
      </w:r>
    </w:p>
    <w:p w14:paraId="6C4DE56B" w14:textId="77777777" w:rsidR="005D0B02" w:rsidRDefault="00000000">
      <w:pPr>
        <w:ind w:left="17" w:right="14"/>
      </w:pPr>
      <w:r>
        <w:t>Montage &amp; Parametrierung:</w:t>
      </w:r>
    </w:p>
    <w:p w14:paraId="03672061" w14:textId="77777777" w:rsidR="005D0B02" w:rsidRDefault="00000000">
      <w:pPr>
        <w:spacing w:after="427"/>
        <w:ind w:left="17" w:right="14"/>
      </w:pPr>
      <w:r>
        <w:t>Speziell für den Bereich Dosiertechnik für Wäschereien ausgebildete Hagleitner Anwendungstechniker montieren die Leihgeräte für Sie kostenlos und stellen diese auf Ihre Anforderungen ein.</w:t>
      </w:r>
    </w:p>
    <w:p w14:paraId="2651C8EF" w14:textId="77777777" w:rsidR="005D0B02" w:rsidRDefault="00000000">
      <w:pPr>
        <w:ind w:left="17" w:right="14"/>
      </w:pPr>
      <w:r>
        <w:t>Modernste Technik:</w:t>
      </w:r>
    </w:p>
    <w:tbl>
      <w:tblPr>
        <w:tblStyle w:val="TableGrid"/>
        <w:tblpPr w:vertAnchor="text" w:horzAnchor="margin" w:tblpX="1163" w:tblpY="2370"/>
        <w:tblOverlap w:val="never"/>
        <w:tblW w:w="8763" w:type="dxa"/>
        <w:tblInd w:w="0" w:type="dxa"/>
        <w:tblCellMar>
          <w:top w:w="108" w:type="dxa"/>
          <w:left w:w="104" w:type="dxa"/>
          <w:bottom w:w="0" w:type="dxa"/>
          <w:right w:w="91" w:type="dxa"/>
        </w:tblCellMar>
        <w:tblLook w:val="04A0" w:firstRow="1" w:lastRow="0" w:firstColumn="1" w:lastColumn="0" w:noHBand="0" w:noVBand="1"/>
      </w:tblPr>
      <w:tblGrid>
        <w:gridCol w:w="4590"/>
        <w:gridCol w:w="1519"/>
        <w:gridCol w:w="1130"/>
        <w:gridCol w:w="1524"/>
      </w:tblGrid>
      <w:tr w:rsidR="005D0B02" w14:paraId="7ED31D56" w14:textId="77777777">
        <w:trPr>
          <w:trHeight w:val="645"/>
        </w:trPr>
        <w:tc>
          <w:tcPr>
            <w:tcW w:w="4590" w:type="dxa"/>
            <w:tcBorders>
              <w:top w:val="single" w:sz="2" w:space="0" w:color="000000"/>
              <w:left w:val="single" w:sz="2" w:space="0" w:color="000000"/>
              <w:bottom w:val="single" w:sz="2" w:space="0" w:color="000000"/>
              <w:right w:val="single" w:sz="2" w:space="0" w:color="000000"/>
            </w:tcBorders>
          </w:tcPr>
          <w:p w14:paraId="2A964C4C" w14:textId="77777777" w:rsidR="005D0B02" w:rsidRDefault="00000000">
            <w:pPr>
              <w:spacing w:after="0" w:line="259" w:lineRule="auto"/>
              <w:ind w:left="7" w:right="1551" w:hanging="7"/>
              <w:jc w:val="left"/>
            </w:pPr>
            <w:r>
              <w:rPr>
                <w:sz w:val="24"/>
              </w:rPr>
              <w:t>Dávkovací zařízení Dosiersystem</w:t>
            </w:r>
          </w:p>
        </w:tc>
        <w:tc>
          <w:tcPr>
            <w:tcW w:w="1519" w:type="dxa"/>
            <w:tcBorders>
              <w:top w:val="single" w:sz="2" w:space="0" w:color="000000"/>
              <w:left w:val="single" w:sz="2" w:space="0" w:color="000000"/>
              <w:bottom w:val="single" w:sz="2" w:space="0" w:color="000000"/>
              <w:right w:val="single" w:sz="2" w:space="0" w:color="000000"/>
            </w:tcBorders>
          </w:tcPr>
          <w:p w14:paraId="62F9C06C" w14:textId="77777777" w:rsidR="005D0B02" w:rsidRDefault="00000000">
            <w:pPr>
              <w:spacing w:after="0" w:line="259" w:lineRule="auto"/>
              <w:ind w:left="0" w:right="21" w:firstLine="0"/>
              <w:jc w:val="center"/>
            </w:pPr>
            <w:r>
              <w:rPr>
                <w:sz w:val="24"/>
              </w:rPr>
              <w:t>Cena</w:t>
            </w:r>
          </w:p>
          <w:p w14:paraId="2257CDA5" w14:textId="77777777" w:rsidR="005D0B02" w:rsidRDefault="00000000">
            <w:pPr>
              <w:spacing w:after="0" w:line="259" w:lineRule="auto"/>
              <w:ind w:left="450" w:firstLine="0"/>
              <w:jc w:val="left"/>
            </w:pPr>
            <w:r>
              <w:rPr>
                <w:noProof/>
              </w:rPr>
              <w:drawing>
                <wp:inline distT="0" distB="0" distL="0" distR="0" wp14:anchorId="786C6093" wp14:editId="70C1E7C0">
                  <wp:extent cx="265176" cy="91440"/>
                  <wp:effectExtent l="0" t="0" r="0" b="0"/>
                  <wp:docPr id="17940" name="Picture 17940"/>
                  <wp:cNvGraphicFramePr/>
                  <a:graphic xmlns:a="http://schemas.openxmlformats.org/drawingml/2006/main">
                    <a:graphicData uri="http://schemas.openxmlformats.org/drawingml/2006/picture">
                      <pic:pic xmlns:pic="http://schemas.openxmlformats.org/drawingml/2006/picture">
                        <pic:nvPicPr>
                          <pic:cNvPr id="17940" name="Picture 17940"/>
                          <pic:cNvPicPr/>
                        </pic:nvPicPr>
                        <pic:blipFill>
                          <a:blip r:embed="rId15"/>
                          <a:stretch>
                            <a:fillRect/>
                          </a:stretch>
                        </pic:blipFill>
                        <pic:spPr>
                          <a:xfrm>
                            <a:off x="0" y="0"/>
                            <a:ext cx="265176" cy="91440"/>
                          </a:xfrm>
                          <a:prstGeom prst="rect">
                            <a:avLst/>
                          </a:prstGeom>
                        </pic:spPr>
                      </pic:pic>
                    </a:graphicData>
                  </a:graphic>
                </wp:inline>
              </w:drawing>
            </w:r>
          </w:p>
        </w:tc>
        <w:tc>
          <w:tcPr>
            <w:tcW w:w="1130" w:type="dxa"/>
            <w:tcBorders>
              <w:top w:val="single" w:sz="2" w:space="0" w:color="000000"/>
              <w:left w:val="single" w:sz="2" w:space="0" w:color="000000"/>
              <w:bottom w:val="single" w:sz="2" w:space="0" w:color="000000"/>
              <w:right w:val="single" w:sz="2" w:space="0" w:color="000000"/>
            </w:tcBorders>
            <w:vAlign w:val="center"/>
          </w:tcPr>
          <w:p w14:paraId="1D7907B0" w14:textId="77777777" w:rsidR="005D0B02" w:rsidRDefault="00000000">
            <w:pPr>
              <w:spacing w:after="0" w:line="259" w:lineRule="auto"/>
              <w:ind w:left="0" w:firstLine="0"/>
              <w:jc w:val="center"/>
            </w:pPr>
            <w:r>
              <w:t>Množství Menge</w:t>
            </w:r>
          </w:p>
        </w:tc>
        <w:tc>
          <w:tcPr>
            <w:tcW w:w="1524" w:type="dxa"/>
            <w:tcBorders>
              <w:top w:val="single" w:sz="2" w:space="0" w:color="000000"/>
              <w:left w:val="single" w:sz="2" w:space="0" w:color="000000"/>
              <w:bottom w:val="single" w:sz="2" w:space="0" w:color="000000"/>
              <w:right w:val="single" w:sz="2" w:space="0" w:color="000000"/>
            </w:tcBorders>
            <w:vAlign w:val="center"/>
          </w:tcPr>
          <w:p w14:paraId="4728AF1F" w14:textId="77777777" w:rsidR="005D0B02" w:rsidRDefault="00000000">
            <w:pPr>
              <w:spacing w:after="0" w:line="259" w:lineRule="auto"/>
              <w:ind w:left="486" w:hanging="439"/>
              <w:jc w:val="left"/>
            </w:pPr>
            <w:r>
              <w:rPr>
                <w:sz w:val="24"/>
              </w:rPr>
              <w:t>Celková cena Wert</w:t>
            </w:r>
          </w:p>
        </w:tc>
      </w:tr>
      <w:tr w:rsidR="005D0B02" w14:paraId="7F87BC72" w14:textId="77777777">
        <w:trPr>
          <w:trHeight w:val="2110"/>
        </w:trPr>
        <w:tc>
          <w:tcPr>
            <w:tcW w:w="4590" w:type="dxa"/>
            <w:tcBorders>
              <w:top w:val="single" w:sz="2" w:space="0" w:color="000000"/>
              <w:left w:val="single" w:sz="2" w:space="0" w:color="000000"/>
              <w:bottom w:val="single" w:sz="2" w:space="0" w:color="000000"/>
              <w:right w:val="single" w:sz="2" w:space="0" w:color="000000"/>
            </w:tcBorders>
          </w:tcPr>
          <w:p w14:paraId="04196DB9" w14:textId="77777777" w:rsidR="005D0B02" w:rsidRDefault="00000000">
            <w:pPr>
              <w:spacing w:after="0" w:line="259" w:lineRule="auto"/>
              <w:ind w:left="0" w:firstLine="0"/>
              <w:jc w:val="left"/>
            </w:pPr>
            <w:r>
              <w:rPr>
                <w:sz w:val="24"/>
              </w:rPr>
              <w:t>Havon System</w:t>
            </w:r>
          </w:p>
          <w:p w14:paraId="5E9300E3" w14:textId="77777777" w:rsidR="005D0B02" w:rsidRDefault="00000000">
            <w:pPr>
              <w:spacing w:after="190" w:line="216" w:lineRule="auto"/>
              <w:ind w:left="0" w:right="17" w:firstLine="7"/>
            </w:pPr>
            <w:r>
              <w:t>Počítačově řízený dávkovač pro maximální přesnost dávkování a správnou chemii pro vaše prádlo.</w:t>
            </w:r>
          </w:p>
          <w:p w14:paraId="4895E486" w14:textId="77777777" w:rsidR="005D0B02" w:rsidRDefault="00000000">
            <w:pPr>
              <w:spacing w:after="0" w:line="259" w:lineRule="auto"/>
              <w:ind w:left="7" w:firstLine="0"/>
              <w:jc w:val="left"/>
            </w:pPr>
            <w:r>
              <w:rPr>
                <w:sz w:val="24"/>
              </w:rPr>
              <w:t>Havon System</w:t>
            </w:r>
          </w:p>
          <w:p w14:paraId="396CBD46" w14:textId="77777777" w:rsidR="005D0B02" w:rsidRDefault="00000000">
            <w:pPr>
              <w:spacing w:after="0" w:line="259" w:lineRule="auto"/>
              <w:ind w:left="14" w:right="3" w:hanging="7"/>
            </w:pPr>
            <w:r>
              <w:rPr>
                <w:sz w:val="20"/>
              </w:rPr>
              <w:t>Computergesteuerte Dosierstationen für höchste Dosiergenauigkeit und abgestimmte Chemie für Ihre Wäsche.</w:t>
            </w:r>
          </w:p>
        </w:tc>
        <w:tc>
          <w:tcPr>
            <w:tcW w:w="1519" w:type="dxa"/>
            <w:tcBorders>
              <w:top w:val="single" w:sz="2" w:space="0" w:color="000000"/>
              <w:left w:val="single" w:sz="2" w:space="0" w:color="000000"/>
              <w:bottom w:val="single" w:sz="2" w:space="0" w:color="000000"/>
              <w:right w:val="single" w:sz="2" w:space="0" w:color="000000"/>
            </w:tcBorders>
            <w:vAlign w:val="center"/>
          </w:tcPr>
          <w:p w14:paraId="1BA6030B" w14:textId="77777777" w:rsidR="005D0B02" w:rsidRDefault="00000000">
            <w:pPr>
              <w:spacing w:after="0" w:line="259" w:lineRule="auto"/>
              <w:ind w:left="349" w:firstLine="0"/>
              <w:jc w:val="left"/>
            </w:pPr>
            <w:r>
              <w:rPr>
                <w:sz w:val="20"/>
              </w:rPr>
              <w:t>30600 CZK</w:t>
            </w:r>
          </w:p>
        </w:tc>
        <w:tc>
          <w:tcPr>
            <w:tcW w:w="1130" w:type="dxa"/>
            <w:tcBorders>
              <w:top w:val="single" w:sz="2" w:space="0" w:color="000000"/>
              <w:left w:val="single" w:sz="2" w:space="0" w:color="000000"/>
              <w:bottom w:val="single" w:sz="2" w:space="0" w:color="000000"/>
              <w:right w:val="single" w:sz="2" w:space="0" w:color="000000"/>
            </w:tcBorders>
          </w:tcPr>
          <w:p w14:paraId="4ACF83F4" w14:textId="77777777" w:rsidR="005D0B02" w:rsidRDefault="005D0B02">
            <w:pPr>
              <w:spacing w:after="160" w:line="259" w:lineRule="auto"/>
              <w:ind w:left="0" w:firstLine="0"/>
              <w:jc w:val="left"/>
            </w:pPr>
          </w:p>
        </w:tc>
        <w:tc>
          <w:tcPr>
            <w:tcW w:w="1524" w:type="dxa"/>
            <w:tcBorders>
              <w:top w:val="single" w:sz="2" w:space="0" w:color="000000"/>
              <w:left w:val="single" w:sz="2" w:space="0" w:color="000000"/>
              <w:bottom w:val="single" w:sz="2" w:space="0" w:color="000000"/>
              <w:right w:val="single" w:sz="2" w:space="0" w:color="000000"/>
            </w:tcBorders>
            <w:vAlign w:val="center"/>
          </w:tcPr>
          <w:p w14:paraId="16060202" w14:textId="77777777" w:rsidR="005D0B02" w:rsidRDefault="00000000">
            <w:pPr>
              <w:spacing w:after="0" w:line="259" w:lineRule="auto"/>
              <w:ind w:left="0" w:right="14" w:firstLine="0"/>
              <w:jc w:val="right"/>
            </w:pPr>
            <w:r>
              <w:rPr>
                <w:sz w:val="26"/>
              </w:rPr>
              <w:t>CZK</w:t>
            </w:r>
          </w:p>
        </w:tc>
      </w:tr>
      <w:tr w:rsidR="005D0B02" w14:paraId="61677C38" w14:textId="77777777">
        <w:trPr>
          <w:trHeight w:val="485"/>
        </w:trPr>
        <w:tc>
          <w:tcPr>
            <w:tcW w:w="8763" w:type="dxa"/>
            <w:gridSpan w:val="4"/>
            <w:tcBorders>
              <w:top w:val="single" w:sz="2" w:space="0" w:color="000000"/>
              <w:left w:val="single" w:sz="2" w:space="0" w:color="000000"/>
              <w:bottom w:val="single" w:sz="2" w:space="0" w:color="000000"/>
              <w:right w:val="single" w:sz="2" w:space="0" w:color="000000"/>
            </w:tcBorders>
            <w:vAlign w:val="center"/>
          </w:tcPr>
          <w:tbl>
            <w:tblPr>
              <w:tblStyle w:val="TableGrid"/>
              <w:tblpPr w:vertAnchor="text" w:tblpX="4979" w:tblpY="-24"/>
              <w:tblOverlap w:val="never"/>
              <w:tblW w:w="2174" w:type="dxa"/>
              <w:tblInd w:w="0" w:type="dxa"/>
              <w:tblCellMar>
                <w:top w:w="49" w:type="dxa"/>
                <w:left w:w="130" w:type="dxa"/>
                <w:bottom w:w="0" w:type="dxa"/>
                <w:right w:w="115" w:type="dxa"/>
              </w:tblCellMar>
              <w:tblLook w:val="04A0" w:firstRow="1" w:lastRow="0" w:firstColumn="1" w:lastColumn="0" w:noHBand="0" w:noVBand="1"/>
            </w:tblPr>
            <w:tblGrid>
              <w:gridCol w:w="2174"/>
            </w:tblGrid>
            <w:tr w:rsidR="005D0B02" w14:paraId="08EA8C6D" w14:textId="77777777">
              <w:trPr>
                <w:trHeight w:val="259"/>
              </w:trPr>
              <w:tc>
                <w:tcPr>
                  <w:tcW w:w="2174" w:type="dxa"/>
                  <w:tcBorders>
                    <w:top w:val="single" w:sz="2" w:space="0" w:color="000000"/>
                    <w:left w:val="single" w:sz="2" w:space="0" w:color="000000"/>
                    <w:bottom w:val="single" w:sz="2" w:space="0" w:color="000000"/>
                    <w:right w:val="single" w:sz="2" w:space="0" w:color="000000"/>
                  </w:tcBorders>
                </w:tcPr>
                <w:p w14:paraId="15556AB0" w14:textId="77777777" w:rsidR="005D0B02" w:rsidRDefault="00000000">
                  <w:pPr>
                    <w:spacing w:after="0" w:line="259" w:lineRule="auto"/>
                    <w:ind w:left="0" w:firstLine="0"/>
                    <w:jc w:val="left"/>
                  </w:pPr>
                  <w:r>
                    <w:t>Gesamtwert / Celkem</w:t>
                  </w:r>
                </w:p>
              </w:tc>
            </w:tr>
          </w:tbl>
          <w:p w14:paraId="2919E4B3" w14:textId="77777777" w:rsidR="005D0B02" w:rsidRDefault="00000000">
            <w:pPr>
              <w:spacing w:after="0" w:line="259" w:lineRule="auto"/>
              <w:ind w:left="4874" w:firstLine="0"/>
              <w:jc w:val="right"/>
            </w:pPr>
            <w:r>
              <w:rPr>
                <w:sz w:val="26"/>
              </w:rPr>
              <w:t>CZK</w:t>
            </w:r>
          </w:p>
        </w:tc>
      </w:tr>
    </w:tbl>
    <w:p w14:paraId="5A155E56" w14:textId="77777777" w:rsidR="005D0B02" w:rsidRDefault="00000000">
      <w:pPr>
        <w:ind w:left="17" w:right="14"/>
      </w:pPr>
      <w:r>
        <w:t>Die von Hagleitner Hygiene zur Verfügung gestellte Dosiertechnik erfüllt höchste Anforderungen in den Bereichen Kostenkontrolle, Chemieeffizienz und Bedienungssicherheit. Diese Qualität hat ihren Preis, pro Waschmaschine investieren wir ca. 30.600,- CZK in Ihre Waschküche. Anzahl und Typen werden nach der Montage vom Servicetechniker am Bericht vermerkt.</w:t>
      </w:r>
    </w:p>
    <w:p w14:paraId="00D0FBF6" w14:textId="77777777" w:rsidR="005D0B02" w:rsidRDefault="005D0B02">
      <w:pPr>
        <w:sectPr w:rsidR="005D0B02" w:rsidSect="00116A5E">
          <w:headerReference w:type="even" r:id="rId16"/>
          <w:headerReference w:type="default" r:id="rId17"/>
          <w:headerReference w:type="first" r:id="rId18"/>
          <w:pgSz w:w="11909" w:h="16848"/>
          <w:pgMar w:top="1354" w:right="1469" w:bottom="547" w:left="518" w:header="317" w:footer="708" w:gutter="0"/>
          <w:cols w:num="2" w:space="708" w:equalWidth="0">
            <w:col w:w="5378" w:space="187"/>
            <w:col w:w="4356"/>
          </w:cols>
        </w:sectPr>
      </w:pPr>
    </w:p>
    <w:p w14:paraId="6C5EC35D" w14:textId="77777777" w:rsidR="005D0B02" w:rsidRDefault="00000000">
      <w:pPr>
        <w:spacing w:after="0"/>
        <w:ind w:left="1162" w:right="14"/>
      </w:pPr>
      <w:r>
        <w:t>Pro uvedené plnění sjednává společnost Hagleitner Hygiene Česko s.r.o. dále označovaná jako HH — se zákazníkem následující body dohody:</w:t>
      </w:r>
    </w:p>
    <w:p w14:paraId="0A79AD11" w14:textId="77777777" w:rsidR="005D0B02" w:rsidRDefault="00000000">
      <w:pPr>
        <w:numPr>
          <w:ilvl w:val="0"/>
          <w:numId w:val="1"/>
        </w:numPr>
        <w:spacing w:after="362"/>
        <w:ind w:right="14"/>
      </w:pPr>
      <w:r>
        <w:t>Servisní práce a údržbu smí provádět pouze osoby autorizované společností HH, a to výhradně za použití originálního příslušenství HH.</w:t>
      </w:r>
    </w:p>
    <w:p w14:paraId="78F121F1" w14:textId="77777777" w:rsidR="005D0B02" w:rsidRDefault="00000000">
      <w:pPr>
        <w:numPr>
          <w:ilvl w:val="0"/>
          <w:numId w:val="1"/>
        </w:numPr>
        <w:spacing w:after="436"/>
        <w:ind w:right="14"/>
      </w:pPr>
      <w:r>
        <w:t>Do zapůjčených dávkovačů se smí používat pouze čisticí prostředky, které prodává společnost</w:t>
      </w:r>
    </w:p>
    <w:p w14:paraId="55B0004D" w14:textId="77777777" w:rsidR="005D0B02" w:rsidRDefault="00000000">
      <w:pPr>
        <w:numPr>
          <w:ilvl w:val="0"/>
          <w:numId w:val="1"/>
        </w:numPr>
        <w:spacing w:after="215"/>
        <w:ind w:right="14"/>
      </w:pPr>
      <w:r>
        <w:t>Budeme usilovat rovněž o spolupráci se zákazníkem v oblasti kuchyní tak, abychom dosáhli maximální možné doby životnosti Für die angeführten Leistungen trifft Hagleitner Hygiene Česko s.r.o. — nachstehend HH genannt — mit dem Kunden folgende Vereinbarungspunkte:</w:t>
      </w:r>
    </w:p>
    <w:p w14:paraId="5C087D96" w14:textId="77777777" w:rsidR="005D0B02" w:rsidRDefault="00000000">
      <w:pPr>
        <w:numPr>
          <w:ilvl w:val="0"/>
          <w:numId w:val="2"/>
        </w:numPr>
        <w:spacing w:after="239" w:line="216" w:lineRule="auto"/>
        <w:ind w:right="14"/>
      </w:pPr>
      <w:r>
        <w:rPr>
          <w:sz w:val="20"/>
        </w:rPr>
        <w:t>Service- und Wartungsarbeiten dürfen nur durch von HH autorisierte Personen und nur unter Verwendung von Original HH Zubehör durchgeführt werden.</w:t>
      </w:r>
    </w:p>
    <w:p w14:paraId="4CC6C7BF" w14:textId="77777777" w:rsidR="005D0B02" w:rsidRDefault="00000000">
      <w:pPr>
        <w:numPr>
          <w:ilvl w:val="0"/>
          <w:numId w:val="2"/>
        </w:numPr>
        <w:spacing w:after="227"/>
        <w:ind w:right="14"/>
      </w:pPr>
      <w:r>
        <w:t>Für die leihweise zur Verfügung gestellten Dosiergeräte dürfen ausschlieBlich von HH vertriebene Reinigungsmittel verwendet werden.</w:t>
      </w:r>
    </w:p>
    <w:tbl>
      <w:tblPr>
        <w:tblStyle w:val="TableGrid"/>
        <w:tblpPr w:vertAnchor="text" w:horzAnchor="margin" w:tblpY="1685"/>
        <w:tblOverlap w:val="never"/>
        <w:tblW w:w="9907" w:type="dxa"/>
        <w:tblInd w:w="0" w:type="dxa"/>
        <w:tblCellMar>
          <w:top w:w="12" w:type="dxa"/>
          <w:left w:w="936" w:type="dxa"/>
          <w:bottom w:w="0" w:type="dxa"/>
          <w:right w:w="0" w:type="dxa"/>
        </w:tblCellMar>
        <w:tblLook w:val="04A0" w:firstRow="1" w:lastRow="0" w:firstColumn="1" w:lastColumn="0" w:noHBand="0" w:noVBand="1"/>
      </w:tblPr>
      <w:tblGrid>
        <w:gridCol w:w="9907"/>
      </w:tblGrid>
      <w:tr w:rsidR="005D0B02" w14:paraId="234D746B" w14:textId="77777777">
        <w:trPr>
          <w:trHeight w:val="230"/>
        </w:trPr>
        <w:tc>
          <w:tcPr>
            <w:tcW w:w="5796" w:type="dxa"/>
            <w:tcBorders>
              <w:top w:val="nil"/>
              <w:left w:val="nil"/>
              <w:bottom w:val="nil"/>
              <w:right w:val="nil"/>
            </w:tcBorders>
          </w:tcPr>
          <w:p w14:paraId="00E9C594" w14:textId="77777777" w:rsidR="005D0B02" w:rsidRDefault="00000000">
            <w:pPr>
              <w:tabs>
                <w:tab w:val="center" w:pos="2772"/>
                <w:tab w:val="center" w:pos="2992"/>
                <w:tab w:val="center" w:pos="3208"/>
                <w:tab w:val="center" w:pos="3298"/>
                <w:tab w:val="center" w:pos="3388"/>
                <w:tab w:val="center" w:pos="4540"/>
                <w:tab w:val="right" w:pos="9302"/>
              </w:tabs>
              <w:spacing w:after="0" w:line="259" w:lineRule="auto"/>
              <w:ind w:left="0" w:right="-331" w:firstLine="0"/>
              <w:jc w:val="left"/>
            </w:pPr>
            <w:r>
              <w:rPr>
                <w:noProof/>
              </w:rPr>
              <w:drawing>
                <wp:inline distT="0" distB="0" distL="0" distR="0" wp14:anchorId="59E4B6CC" wp14:editId="3645884D">
                  <wp:extent cx="1719072" cy="105156"/>
                  <wp:effectExtent l="0" t="0" r="0" b="0"/>
                  <wp:docPr id="5721" name="Picture 5721"/>
                  <wp:cNvGraphicFramePr/>
                  <a:graphic xmlns:a="http://schemas.openxmlformats.org/drawingml/2006/main">
                    <a:graphicData uri="http://schemas.openxmlformats.org/drawingml/2006/picture">
                      <pic:pic xmlns:pic="http://schemas.openxmlformats.org/drawingml/2006/picture">
                        <pic:nvPicPr>
                          <pic:cNvPr id="5721" name="Picture 5721"/>
                          <pic:cNvPicPr/>
                        </pic:nvPicPr>
                        <pic:blipFill>
                          <a:blip r:embed="rId19"/>
                          <a:stretch>
                            <a:fillRect/>
                          </a:stretch>
                        </pic:blipFill>
                        <pic:spPr>
                          <a:xfrm>
                            <a:off x="0" y="0"/>
                            <a:ext cx="1719072" cy="105156"/>
                          </a:xfrm>
                          <a:prstGeom prst="rect">
                            <a:avLst/>
                          </a:prstGeom>
                        </pic:spPr>
                      </pic:pic>
                    </a:graphicData>
                  </a:graphic>
                </wp:inline>
              </w:drawing>
            </w:r>
            <w:r>
              <w:tab/>
            </w:r>
            <w:r>
              <w:rPr>
                <w:noProof/>
              </w:rPr>
              <w:drawing>
                <wp:inline distT="0" distB="0" distL="0" distR="0" wp14:anchorId="248AC3CC" wp14:editId="7A862A12">
                  <wp:extent cx="64008" cy="100584"/>
                  <wp:effectExtent l="0" t="0" r="0" b="0"/>
                  <wp:docPr id="5654" name="Picture 5654"/>
                  <wp:cNvGraphicFramePr/>
                  <a:graphic xmlns:a="http://schemas.openxmlformats.org/drawingml/2006/main">
                    <a:graphicData uri="http://schemas.openxmlformats.org/drawingml/2006/picture">
                      <pic:pic xmlns:pic="http://schemas.openxmlformats.org/drawingml/2006/picture">
                        <pic:nvPicPr>
                          <pic:cNvPr id="5654" name="Picture 5654"/>
                          <pic:cNvPicPr/>
                        </pic:nvPicPr>
                        <pic:blipFill>
                          <a:blip r:embed="rId20"/>
                          <a:stretch>
                            <a:fillRect/>
                          </a:stretch>
                        </pic:blipFill>
                        <pic:spPr>
                          <a:xfrm>
                            <a:off x="0" y="0"/>
                            <a:ext cx="64008" cy="100584"/>
                          </a:xfrm>
                          <a:prstGeom prst="rect">
                            <a:avLst/>
                          </a:prstGeom>
                        </pic:spPr>
                      </pic:pic>
                    </a:graphicData>
                  </a:graphic>
                </wp:inline>
              </w:drawing>
            </w:r>
            <w:r>
              <w:tab/>
            </w:r>
            <w:r>
              <w:rPr>
                <w:noProof/>
              </w:rPr>
              <w:drawing>
                <wp:inline distT="0" distB="0" distL="0" distR="0" wp14:anchorId="0808E0E4" wp14:editId="57A8311E">
                  <wp:extent cx="196596" cy="100585"/>
                  <wp:effectExtent l="0" t="0" r="0" b="0"/>
                  <wp:docPr id="5652" name="Picture 5652"/>
                  <wp:cNvGraphicFramePr/>
                  <a:graphic xmlns:a="http://schemas.openxmlformats.org/drawingml/2006/main">
                    <a:graphicData uri="http://schemas.openxmlformats.org/drawingml/2006/picture">
                      <pic:pic xmlns:pic="http://schemas.openxmlformats.org/drawingml/2006/picture">
                        <pic:nvPicPr>
                          <pic:cNvPr id="5652" name="Picture 5652"/>
                          <pic:cNvPicPr/>
                        </pic:nvPicPr>
                        <pic:blipFill>
                          <a:blip r:embed="rId21"/>
                          <a:stretch>
                            <a:fillRect/>
                          </a:stretch>
                        </pic:blipFill>
                        <pic:spPr>
                          <a:xfrm>
                            <a:off x="0" y="0"/>
                            <a:ext cx="196596" cy="100585"/>
                          </a:xfrm>
                          <a:prstGeom prst="rect">
                            <a:avLst/>
                          </a:prstGeom>
                        </pic:spPr>
                      </pic:pic>
                    </a:graphicData>
                  </a:graphic>
                </wp:inline>
              </w:drawing>
            </w:r>
            <w:r>
              <w:tab/>
            </w:r>
            <w:r>
              <w:rPr>
                <w:noProof/>
              </w:rPr>
              <w:drawing>
                <wp:inline distT="0" distB="0" distL="0" distR="0" wp14:anchorId="6A711EC4" wp14:editId="10B6415D">
                  <wp:extent cx="59436" cy="68580"/>
                  <wp:effectExtent l="0" t="0" r="0" b="0"/>
                  <wp:docPr id="5657" name="Picture 5657"/>
                  <wp:cNvGraphicFramePr/>
                  <a:graphic xmlns:a="http://schemas.openxmlformats.org/drawingml/2006/main">
                    <a:graphicData uri="http://schemas.openxmlformats.org/drawingml/2006/picture">
                      <pic:pic xmlns:pic="http://schemas.openxmlformats.org/drawingml/2006/picture">
                        <pic:nvPicPr>
                          <pic:cNvPr id="5657" name="Picture 5657"/>
                          <pic:cNvPicPr/>
                        </pic:nvPicPr>
                        <pic:blipFill>
                          <a:blip r:embed="rId22"/>
                          <a:stretch>
                            <a:fillRect/>
                          </a:stretch>
                        </pic:blipFill>
                        <pic:spPr>
                          <a:xfrm>
                            <a:off x="0" y="0"/>
                            <a:ext cx="59436" cy="68580"/>
                          </a:xfrm>
                          <a:prstGeom prst="rect">
                            <a:avLst/>
                          </a:prstGeom>
                        </pic:spPr>
                      </pic:pic>
                    </a:graphicData>
                  </a:graphic>
                </wp:inline>
              </w:drawing>
            </w:r>
            <w:r>
              <w:tab/>
            </w:r>
            <w:r>
              <w:rPr>
                <w:noProof/>
              </w:rPr>
              <w:drawing>
                <wp:inline distT="0" distB="0" distL="0" distR="0" wp14:anchorId="3AF63F70" wp14:editId="13EC7D70">
                  <wp:extent cx="45720" cy="68580"/>
                  <wp:effectExtent l="0" t="0" r="0" b="0"/>
                  <wp:docPr id="5656" name="Picture 5656"/>
                  <wp:cNvGraphicFramePr/>
                  <a:graphic xmlns:a="http://schemas.openxmlformats.org/drawingml/2006/main">
                    <a:graphicData uri="http://schemas.openxmlformats.org/drawingml/2006/picture">
                      <pic:pic xmlns:pic="http://schemas.openxmlformats.org/drawingml/2006/picture">
                        <pic:nvPicPr>
                          <pic:cNvPr id="5656" name="Picture 5656"/>
                          <pic:cNvPicPr/>
                        </pic:nvPicPr>
                        <pic:blipFill>
                          <a:blip r:embed="rId23"/>
                          <a:stretch>
                            <a:fillRect/>
                          </a:stretch>
                        </pic:blipFill>
                        <pic:spPr>
                          <a:xfrm>
                            <a:off x="0" y="0"/>
                            <a:ext cx="45720" cy="68580"/>
                          </a:xfrm>
                          <a:prstGeom prst="rect">
                            <a:avLst/>
                          </a:prstGeom>
                        </pic:spPr>
                      </pic:pic>
                    </a:graphicData>
                  </a:graphic>
                </wp:inline>
              </w:drawing>
            </w:r>
            <w:r>
              <w:tab/>
            </w:r>
            <w:r>
              <w:rPr>
                <w:noProof/>
              </w:rPr>
              <w:drawing>
                <wp:inline distT="0" distB="0" distL="0" distR="0" wp14:anchorId="7294EBAE" wp14:editId="562262AD">
                  <wp:extent cx="59436" cy="68580"/>
                  <wp:effectExtent l="0" t="0" r="0" b="0"/>
                  <wp:docPr id="5658" name="Picture 5658"/>
                  <wp:cNvGraphicFramePr/>
                  <a:graphic xmlns:a="http://schemas.openxmlformats.org/drawingml/2006/main">
                    <a:graphicData uri="http://schemas.openxmlformats.org/drawingml/2006/picture">
                      <pic:pic xmlns:pic="http://schemas.openxmlformats.org/drawingml/2006/picture">
                        <pic:nvPicPr>
                          <pic:cNvPr id="5658" name="Picture 5658"/>
                          <pic:cNvPicPr/>
                        </pic:nvPicPr>
                        <pic:blipFill>
                          <a:blip r:embed="rId24"/>
                          <a:stretch>
                            <a:fillRect/>
                          </a:stretch>
                        </pic:blipFill>
                        <pic:spPr>
                          <a:xfrm>
                            <a:off x="0" y="0"/>
                            <a:ext cx="59436" cy="68580"/>
                          </a:xfrm>
                          <a:prstGeom prst="rect">
                            <a:avLst/>
                          </a:prstGeom>
                        </pic:spPr>
                      </pic:pic>
                    </a:graphicData>
                  </a:graphic>
                </wp:inline>
              </w:drawing>
            </w:r>
            <w:r>
              <w:tab/>
            </w:r>
            <w:r>
              <w:rPr>
                <w:noProof/>
              </w:rPr>
              <w:drawing>
                <wp:inline distT="0" distB="0" distL="0" distR="0" wp14:anchorId="0030796B" wp14:editId="5EAEA6EE">
                  <wp:extent cx="27432" cy="68580"/>
                  <wp:effectExtent l="0" t="0" r="0" b="0"/>
                  <wp:docPr id="5655" name="Picture 5655"/>
                  <wp:cNvGraphicFramePr/>
                  <a:graphic xmlns:a="http://schemas.openxmlformats.org/drawingml/2006/main">
                    <a:graphicData uri="http://schemas.openxmlformats.org/drawingml/2006/picture">
                      <pic:pic xmlns:pic="http://schemas.openxmlformats.org/drawingml/2006/picture">
                        <pic:nvPicPr>
                          <pic:cNvPr id="5655" name="Picture 5655"/>
                          <pic:cNvPicPr/>
                        </pic:nvPicPr>
                        <pic:blipFill>
                          <a:blip r:embed="rId25"/>
                          <a:stretch>
                            <a:fillRect/>
                          </a:stretch>
                        </pic:blipFill>
                        <pic:spPr>
                          <a:xfrm>
                            <a:off x="0" y="0"/>
                            <a:ext cx="27432" cy="68580"/>
                          </a:xfrm>
                          <a:prstGeom prst="rect">
                            <a:avLst/>
                          </a:prstGeom>
                        </pic:spPr>
                      </pic:pic>
                    </a:graphicData>
                  </a:graphic>
                </wp:inline>
              </w:drawing>
            </w:r>
            <w:r>
              <w:rPr>
                <w:noProof/>
              </w:rPr>
              <w:drawing>
                <wp:inline distT="0" distB="0" distL="0" distR="0" wp14:anchorId="6D46E6FB" wp14:editId="54181056">
                  <wp:extent cx="13716" cy="18289"/>
                  <wp:effectExtent l="0" t="0" r="0" b="0"/>
                  <wp:docPr id="5653" name="Picture 5653"/>
                  <wp:cNvGraphicFramePr/>
                  <a:graphic xmlns:a="http://schemas.openxmlformats.org/drawingml/2006/main">
                    <a:graphicData uri="http://schemas.openxmlformats.org/drawingml/2006/picture">
                      <pic:pic xmlns:pic="http://schemas.openxmlformats.org/drawingml/2006/picture">
                        <pic:nvPicPr>
                          <pic:cNvPr id="5653" name="Picture 5653"/>
                          <pic:cNvPicPr/>
                        </pic:nvPicPr>
                        <pic:blipFill>
                          <a:blip r:embed="rId26"/>
                          <a:stretch>
                            <a:fillRect/>
                          </a:stretch>
                        </pic:blipFill>
                        <pic:spPr>
                          <a:xfrm>
                            <a:off x="0" y="0"/>
                            <a:ext cx="13716" cy="18289"/>
                          </a:xfrm>
                          <a:prstGeom prst="rect">
                            <a:avLst/>
                          </a:prstGeom>
                        </pic:spPr>
                      </pic:pic>
                    </a:graphicData>
                  </a:graphic>
                </wp:inline>
              </w:drawing>
            </w:r>
            <w:r>
              <w:t>nbarungAktuell_ I .h trnI</w:t>
            </w:r>
            <w:r>
              <w:tab/>
              <w:t>27.1 1.2014</w:t>
            </w:r>
          </w:p>
        </w:tc>
      </w:tr>
    </w:tbl>
    <w:p w14:paraId="6D77E272" w14:textId="77777777" w:rsidR="005D0B02" w:rsidRDefault="00000000">
      <w:pPr>
        <w:numPr>
          <w:ilvl w:val="0"/>
          <w:numId w:val="2"/>
        </w:numPr>
        <w:spacing w:after="408"/>
        <w:ind w:right="14"/>
      </w:pPr>
      <w:r>
        <w:t>Wir streben an, mit dem Kunden auch im Bereich Dosienechnik Küche zusammen zu arbeiten, um gröBtmögliche dåvkovacich zaäzeni v oblasti kuchyné öi prädelny.</w:t>
      </w:r>
    </w:p>
    <w:p w14:paraId="2B370FE3" w14:textId="77777777" w:rsidR="005D0B02" w:rsidRDefault="00000000">
      <w:pPr>
        <w:numPr>
          <w:ilvl w:val="0"/>
          <w:numId w:val="2"/>
        </w:numPr>
        <w:spacing w:after="170"/>
        <w:ind w:right="14"/>
      </w:pPr>
      <w:r>
        <w:t>Za nåklady a ökody zpüsobené neodbornym zachåzenim se zapüjöenyrni zatizenimi odpovidä zäkaznik.</w:t>
      </w:r>
    </w:p>
    <w:p w14:paraId="7A6938E0" w14:textId="77777777" w:rsidR="005D0B02" w:rsidRDefault="00000000">
      <w:pPr>
        <w:numPr>
          <w:ilvl w:val="0"/>
          <w:numId w:val="2"/>
        </w:numPr>
        <w:spacing w:after="326"/>
        <w:ind w:right="14"/>
      </w:pPr>
      <w:r>
        <w:t>Zåkaznik prohlaéuje, ie je pripraven odebirat Od spoleönosti HH po dobu 3 let tekuté praci prostiedky v hodnoté minimålné 56.100,- CZK za rok. Pokud nebude béhem 3 let dosaieno obratu ve vßi netto 168.300,- CZK, prodluiuje se doba trvåni smlouvy ai do dosaienf uvedeného obratu.</w:t>
      </w:r>
    </w:p>
    <w:p w14:paraId="31B7D92B" w14:textId="77777777" w:rsidR="005D0B02" w:rsidRDefault="00000000">
      <w:pPr>
        <w:numPr>
          <w:ilvl w:val="0"/>
          <w:numId w:val="2"/>
        </w:numPr>
        <w:spacing w:after="428"/>
        <w:ind w:right="14"/>
      </w:pPr>
      <w:r>
        <w:rPr>
          <w:noProof/>
        </w:rPr>
        <w:lastRenderedPageBreak/>
        <w:drawing>
          <wp:anchor distT="0" distB="0" distL="114300" distR="114300" simplePos="0" relativeHeight="251658240" behindDoc="0" locked="0" layoutInCell="1" allowOverlap="0" wp14:anchorId="3A379579" wp14:editId="016E21D2">
            <wp:simplePos x="0" y="0"/>
            <wp:positionH relativeFrom="column">
              <wp:posOffset>205740</wp:posOffset>
            </wp:positionH>
            <wp:positionV relativeFrom="paragraph">
              <wp:posOffset>808357</wp:posOffset>
            </wp:positionV>
            <wp:extent cx="4572" cy="9144"/>
            <wp:effectExtent l="0" t="0" r="0" b="0"/>
            <wp:wrapSquare wrapText="bothSides"/>
            <wp:docPr id="8946" name="Picture 8946"/>
            <wp:cNvGraphicFramePr/>
            <a:graphic xmlns:a="http://schemas.openxmlformats.org/drawingml/2006/main">
              <a:graphicData uri="http://schemas.openxmlformats.org/drawingml/2006/picture">
                <pic:pic xmlns:pic="http://schemas.openxmlformats.org/drawingml/2006/picture">
                  <pic:nvPicPr>
                    <pic:cNvPr id="8946" name="Picture 8946"/>
                    <pic:cNvPicPr/>
                  </pic:nvPicPr>
                  <pic:blipFill>
                    <a:blip r:embed="rId27"/>
                    <a:stretch>
                      <a:fillRect/>
                    </a:stretch>
                  </pic:blipFill>
                  <pic:spPr>
                    <a:xfrm>
                      <a:off x="0" y="0"/>
                      <a:ext cx="4572" cy="9144"/>
                    </a:xfrm>
                    <a:prstGeom prst="rect">
                      <a:avLst/>
                    </a:prstGeom>
                  </pic:spPr>
                </pic:pic>
              </a:graphicData>
            </a:graphic>
          </wp:anchor>
        </w:drawing>
      </w:r>
      <w:r>
        <w:t>PFi poruéenf bodü a) ai e) si spoleönost HH vyhrazuje pråvo na predöasné zruéeni smlouvy. PFi predöasném zruéeni smlouvy ze strany zåkaznika vyüötuje spoleönost HH vzniklé näklady za materiål a montåi pauéålni öåstkou ve vßi c 6.375,- CZK za jednu namontovanou stanici s dävkovaöem (jednu praöku) a demontuje zapüjöenou dåvkovaci techniku.</w:t>
      </w:r>
    </w:p>
    <w:p w14:paraId="751320C2" w14:textId="213BEBAC" w:rsidR="005D0B02" w:rsidRDefault="00000000">
      <w:pPr>
        <w:numPr>
          <w:ilvl w:val="0"/>
          <w:numId w:val="2"/>
        </w:numPr>
        <w:ind w:right="14"/>
      </w:pPr>
      <w:r>
        <w:t xml:space="preserve">Pii prodeji podniku nebo zméné nåjemce je nutné informovat servisni oddéleni spoleönosti HH na telefonnfm öisle +420 </w:t>
      </w:r>
      <w:r w:rsidR="00971E35">
        <w:t>…</w:t>
      </w:r>
      <w:r>
        <w:t>, protoie dåvkovaöe jsou majetkem spoleönosti HH.</w:t>
      </w:r>
    </w:p>
    <w:p w14:paraId="79DCA005" w14:textId="77777777" w:rsidR="005D0B02" w:rsidRDefault="00000000">
      <w:pPr>
        <w:spacing w:after="189"/>
        <w:ind w:left="17" w:right="122"/>
      </w:pPr>
      <w:r>
        <w:t>Laufzeitsicherheit der Dosiergeräte für die Bereiche Küchen- und Wäschedosiertechnik erzielen zu können.</w:t>
      </w:r>
    </w:p>
    <w:p w14:paraId="1FF3CF3D" w14:textId="77777777" w:rsidR="005D0B02" w:rsidRDefault="00000000">
      <w:pPr>
        <w:numPr>
          <w:ilvl w:val="0"/>
          <w:numId w:val="3"/>
        </w:numPr>
        <w:spacing w:after="228"/>
        <w:ind w:right="101"/>
      </w:pPr>
      <w:r>
        <w:t>Kosten und Schäden, die durch unsachgemäße Behandlung der zur Verfügung gestellten Anlagen entstehen, sind vom Kunden zu tragen.</w:t>
      </w:r>
    </w:p>
    <w:p w14:paraId="67620E88" w14:textId="77777777" w:rsidR="005D0B02" w:rsidRDefault="00000000">
      <w:pPr>
        <w:numPr>
          <w:ilvl w:val="0"/>
          <w:numId w:val="3"/>
        </w:numPr>
        <w:spacing w:after="225"/>
        <w:ind w:right="101"/>
      </w:pPr>
      <w:r>
        <w:t>Der Kunde erklärt sich bereit für 3 Jahre Flüssigwaschmittel im Wert von mindestens netto 56.100,- CZK pro Jahr bei der HH — zu beziehen. Wird der Umsatz von netto 168.300,- CZK mit Flüssigwaschmittel in 3 Jahren nicht erreicht, verlängert sich die Laufzeit der Vereinbarung bis zum Erreichen des angeführten Umsatzes.</w:t>
      </w:r>
    </w:p>
    <w:p w14:paraId="37D45A2A" w14:textId="77777777" w:rsidR="005D0B02" w:rsidRDefault="00000000">
      <w:pPr>
        <w:numPr>
          <w:ilvl w:val="0"/>
          <w:numId w:val="3"/>
        </w:numPr>
        <w:spacing w:after="231"/>
        <w:ind w:right="101"/>
      </w:pPr>
      <w:r>
        <w:t>Bei Verstößen gegen die Punkte a) bis e) behält sich HH das Recht vor den Vertrag vorzeitig aufzulösen. Bei vorzeitiger Vertragsauflösung durch den Kunden, verrechnet HH die entstandenen Kosten für Material und Montage mit einem Pauschalbetrag von 6.375,- CZK pro montierter Pumpenstation (pro Waschmaschine) und demontiert die leihweise zur Verfügung gestellte Dosiertechnik.</w:t>
      </w:r>
    </w:p>
    <w:p w14:paraId="6893C02B" w14:textId="4452875F" w:rsidR="005D0B02" w:rsidRDefault="00000000">
      <w:pPr>
        <w:numPr>
          <w:ilvl w:val="0"/>
          <w:numId w:val="3"/>
        </w:numPr>
        <w:ind w:right="101"/>
      </w:pPr>
      <w:r>
        <w:t xml:space="preserve">Bei Verkauf des Betriebes oder Pächterwechsel ist die Serviceabteilung von HH unter der Telefonnummer +420 </w:t>
      </w:r>
      <w:r w:rsidR="00971E35">
        <w:t>…</w:t>
      </w:r>
      <w:r>
        <w:t xml:space="preserve"> in Kenntnis zu setzen, da die Dosiergeräte Eigentum von HH sind.</w:t>
      </w:r>
    </w:p>
    <w:p w14:paraId="07401355" w14:textId="77777777" w:rsidR="005D0B02" w:rsidRDefault="005D0B02">
      <w:pPr>
        <w:sectPr w:rsidR="005D0B02" w:rsidSect="00116A5E">
          <w:type w:val="continuous"/>
          <w:pgSz w:w="11909" w:h="16848"/>
          <w:pgMar w:top="1352" w:right="1447" w:bottom="547" w:left="475" w:header="708" w:footer="708" w:gutter="0"/>
          <w:cols w:num="2" w:space="285"/>
        </w:sectPr>
      </w:pPr>
    </w:p>
    <w:tbl>
      <w:tblPr>
        <w:tblStyle w:val="TableGrid"/>
        <w:tblpPr w:vertAnchor="text" w:tblpX="1087" w:tblpY="-1030"/>
        <w:tblOverlap w:val="never"/>
        <w:tblW w:w="8813" w:type="dxa"/>
        <w:tblInd w:w="0" w:type="dxa"/>
        <w:tblCellMar>
          <w:top w:w="116" w:type="dxa"/>
          <w:left w:w="118" w:type="dxa"/>
          <w:bottom w:w="0" w:type="dxa"/>
          <w:right w:w="84" w:type="dxa"/>
        </w:tblCellMar>
        <w:tblLook w:val="04A0" w:firstRow="1" w:lastRow="0" w:firstColumn="1" w:lastColumn="0" w:noHBand="0" w:noVBand="1"/>
      </w:tblPr>
      <w:tblGrid>
        <w:gridCol w:w="4411"/>
        <w:gridCol w:w="4402"/>
      </w:tblGrid>
      <w:tr w:rsidR="005D0B02" w14:paraId="41F279C7" w14:textId="77777777">
        <w:trPr>
          <w:trHeight w:val="3053"/>
        </w:trPr>
        <w:tc>
          <w:tcPr>
            <w:tcW w:w="4411" w:type="dxa"/>
            <w:tcBorders>
              <w:top w:val="single" w:sz="2" w:space="0" w:color="000000"/>
              <w:left w:val="single" w:sz="2" w:space="0" w:color="000000"/>
              <w:bottom w:val="single" w:sz="2" w:space="0" w:color="000000"/>
              <w:right w:val="single" w:sz="2" w:space="0" w:color="000000"/>
            </w:tcBorders>
          </w:tcPr>
          <w:p w14:paraId="403251F6" w14:textId="4E987FF0" w:rsidR="005D0B02" w:rsidRDefault="005D0B02">
            <w:pPr>
              <w:spacing w:after="274" w:line="259" w:lineRule="auto"/>
              <w:ind w:left="703" w:firstLine="0"/>
              <w:jc w:val="left"/>
            </w:pPr>
          </w:p>
          <w:p w14:paraId="657F190A" w14:textId="4109661F" w:rsidR="005D0B02" w:rsidRDefault="005D0B02">
            <w:pPr>
              <w:spacing w:after="0" w:line="259" w:lineRule="auto"/>
              <w:ind w:left="3000" w:firstLine="0"/>
              <w:jc w:val="left"/>
            </w:pPr>
          </w:p>
        </w:tc>
        <w:tc>
          <w:tcPr>
            <w:tcW w:w="4402" w:type="dxa"/>
            <w:tcBorders>
              <w:top w:val="single" w:sz="2" w:space="0" w:color="000000"/>
              <w:left w:val="single" w:sz="2" w:space="0" w:color="000000"/>
              <w:bottom w:val="single" w:sz="2" w:space="0" w:color="000000"/>
              <w:right w:val="single" w:sz="2" w:space="0" w:color="000000"/>
            </w:tcBorders>
          </w:tcPr>
          <w:p w14:paraId="57F08A32" w14:textId="76B1B4FD" w:rsidR="005D0B02" w:rsidRDefault="005D0B02">
            <w:pPr>
              <w:spacing w:after="0" w:line="259" w:lineRule="auto"/>
              <w:ind w:left="799" w:firstLine="0"/>
              <w:jc w:val="left"/>
            </w:pPr>
          </w:p>
        </w:tc>
      </w:tr>
      <w:tr w:rsidR="005D0B02" w14:paraId="5ECB77B8" w14:textId="77777777">
        <w:trPr>
          <w:trHeight w:val="871"/>
        </w:trPr>
        <w:tc>
          <w:tcPr>
            <w:tcW w:w="4411" w:type="dxa"/>
            <w:tcBorders>
              <w:top w:val="single" w:sz="2" w:space="0" w:color="000000"/>
              <w:left w:val="single" w:sz="2" w:space="0" w:color="000000"/>
              <w:bottom w:val="single" w:sz="2" w:space="0" w:color="000000"/>
              <w:right w:val="single" w:sz="2" w:space="0" w:color="000000"/>
            </w:tcBorders>
            <w:vAlign w:val="center"/>
          </w:tcPr>
          <w:p w14:paraId="0E36AA6D" w14:textId="77777777" w:rsidR="005D0B02" w:rsidRDefault="00000000">
            <w:pPr>
              <w:spacing w:after="0" w:line="259" w:lineRule="auto"/>
              <w:ind w:left="5" w:firstLine="0"/>
              <w:jc w:val="left"/>
            </w:pPr>
            <w:r>
              <w:t>27.11.14 / peöiatka a podpis / Stempel und</w:t>
            </w:r>
          </w:p>
          <w:p w14:paraId="6234D6FC" w14:textId="77777777" w:rsidR="005D0B02" w:rsidRDefault="00000000">
            <w:pPr>
              <w:spacing w:after="0" w:line="259" w:lineRule="auto"/>
              <w:ind w:left="12" w:firstLine="0"/>
              <w:jc w:val="left"/>
            </w:pPr>
            <w:r>
              <w:rPr>
                <w:sz w:val="20"/>
              </w:rPr>
              <w:t>Unterschrift</w:t>
            </w:r>
          </w:p>
          <w:p w14:paraId="20287503" w14:textId="77777777" w:rsidR="005D0B02" w:rsidRDefault="00000000">
            <w:pPr>
              <w:spacing w:after="0" w:line="259" w:lineRule="auto"/>
              <w:ind w:left="12" w:firstLine="0"/>
              <w:jc w:val="left"/>
            </w:pPr>
            <w:r>
              <w:t>Hagleitner Hygiene Öesko s.r.o.</w:t>
            </w:r>
          </w:p>
        </w:tc>
        <w:tc>
          <w:tcPr>
            <w:tcW w:w="4402" w:type="dxa"/>
            <w:tcBorders>
              <w:top w:val="single" w:sz="2" w:space="0" w:color="000000"/>
              <w:left w:val="single" w:sz="2" w:space="0" w:color="000000"/>
              <w:bottom w:val="single" w:sz="2" w:space="0" w:color="000000"/>
              <w:right w:val="single" w:sz="2" w:space="0" w:color="000000"/>
            </w:tcBorders>
            <w:vAlign w:val="center"/>
          </w:tcPr>
          <w:p w14:paraId="4B1DCA68" w14:textId="77777777" w:rsidR="005D0B02" w:rsidRDefault="00000000">
            <w:pPr>
              <w:spacing w:after="0" w:line="259" w:lineRule="auto"/>
              <w:ind w:left="0" w:firstLine="0"/>
              <w:jc w:val="left"/>
            </w:pPr>
            <w:r>
              <w:t>27.1 1.14 / peöiatka a podpis / Stempel und</w:t>
            </w:r>
          </w:p>
          <w:p w14:paraId="50EADB36" w14:textId="77777777" w:rsidR="005D0B02" w:rsidRDefault="00000000">
            <w:pPr>
              <w:spacing w:after="0" w:line="259" w:lineRule="auto"/>
              <w:ind w:left="7" w:firstLine="0"/>
              <w:jc w:val="left"/>
            </w:pPr>
            <w:r>
              <w:rPr>
                <w:sz w:val="20"/>
              </w:rPr>
              <w:t>Unterschrift</w:t>
            </w:r>
          </w:p>
          <w:p w14:paraId="5CE881E1" w14:textId="77777777" w:rsidR="005D0B02" w:rsidRDefault="00000000">
            <w:pPr>
              <w:spacing w:after="0" w:line="259" w:lineRule="auto"/>
              <w:ind w:left="29" w:firstLine="0"/>
              <w:jc w:val="left"/>
            </w:pPr>
            <w:r>
              <w:t>Domov Jilové u Prahy</w:t>
            </w:r>
          </w:p>
        </w:tc>
      </w:tr>
    </w:tbl>
    <w:p w14:paraId="3EBCA5A9" w14:textId="77777777" w:rsidR="005D0B02" w:rsidRDefault="00000000">
      <w:pPr>
        <w:pStyle w:val="Nadpis1"/>
      </w:pPr>
      <w:r>
        <w:t>C)</w:t>
      </w:r>
    </w:p>
    <w:p w14:paraId="662C19BC" w14:textId="77777777" w:rsidR="005D0B02" w:rsidRDefault="005D0B02">
      <w:pPr>
        <w:sectPr w:rsidR="005D0B02" w:rsidSect="00116A5E">
          <w:type w:val="continuous"/>
          <w:pgSz w:w="11909" w:h="16848"/>
          <w:pgMar w:top="1352" w:right="11066" w:bottom="515" w:left="518" w:header="708" w:footer="708" w:gutter="0"/>
          <w:cols w:space="708"/>
        </w:sectPr>
      </w:pPr>
    </w:p>
    <w:p w14:paraId="44E43D3A" w14:textId="77777777" w:rsidR="005D0B02" w:rsidRDefault="00000000">
      <w:pPr>
        <w:pBdr>
          <w:top w:val="single" w:sz="6" w:space="0" w:color="000000"/>
          <w:left w:val="single" w:sz="9" w:space="0" w:color="000000"/>
          <w:bottom w:val="single" w:sz="9" w:space="0" w:color="000000"/>
          <w:right w:val="single" w:sz="6" w:space="0" w:color="000000"/>
        </w:pBdr>
        <w:spacing w:after="3073" w:line="259" w:lineRule="auto"/>
        <w:ind w:left="0" w:right="482" w:firstLine="0"/>
        <w:jc w:val="right"/>
      </w:pPr>
      <w:r>
        <w:t>Drucken</w:t>
      </w:r>
    </w:p>
    <w:p w14:paraId="030DC48C" w14:textId="77777777" w:rsidR="005D0B02" w:rsidRDefault="00000000">
      <w:pPr>
        <w:tabs>
          <w:tab w:val="right" w:pos="9288"/>
        </w:tabs>
        <w:spacing w:after="0" w:line="259" w:lineRule="auto"/>
        <w:ind w:left="0" w:firstLine="0"/>
        <w:jc w:val="left"/>
      </w:pPr>
      <w:r>
        <w:rPr>
          <w:rFonts w:ascii="Calibri" w:eastAsia="Calibri" w:hAnsi="Calibri" w:cs="Calibri"/>
          <w:sz w:val="24"/>
        </w:rPr>
        <w:t>file://C:\HAD\HHCZ\Vertraege\VereinbarungAktuell_l .html</w:t>
      </w:r>
      <w:r>
        <w:rPr>
          <w:rFonts w:ascii="Calibri" w:eastAsia="Calibri" w:hAnsi="Calibri" w:cs="Calibri"/>
          <w:sz w:val="24"/>
        </w:rPr>
        <w:tab/>
        <w:t>27.11.2014</w:t>
      </w:r>
    </w:p>
    <w:sectPr w:rsidR="005D0B02">
      <w:type w:val="continuous"/>
      <w:pgSz w:w="11909" w:h="16848"/>
      <w:pgMar w:top="1352" w:right="1195" w:bottom="515" w:left="142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AC57E" w14:textId="77777777" w:rsidR="00116A5E" w:rsidRDefault="00116A5E">
      <w:pPr>
        <w:spacing w:after="0" w:line="240" w:lineRule="auto"/>
      </w:pPr>
      <w:r>
        <w:separator/>
      </w:r>
    </w:p>
  </w:endnote>
  <w:endnote w:type="continuationSeparator" w:id="0">
    <w:p w14:paraId="6D2CC2FD" w14:textId="77777777" w:rsidR="00116A5E" w:rsidRDefault="0011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32C0C" w14:textId="77777777" w:rsidR="00116A5E" w:rsidRDefault="00116A5E">
      <w:pPr>
        <w:spacing w:after="0" w:line="240" w:lineRule="auto"/>
      </w:pPr>
      <w:r>
        <w:separator/>
      </w:r>
    </w:p>
  </w:footnote>
  <w:footnote w:type="continuationSeparator" w:id="0">
    <w:p w14:paraId="2BBBC58B" w14:textId="77777777" w:rsidR="00116A5E" w:rsidRDefault="00116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8C471" w14:textId="77777777" w:rsidR="005D0B02" w:rsidRDefault="00000000">
    <w:pPr>
      <w:tabs>
        <w:tab w:val="center" w:pos="1930"/>
        <w:tab w:val="right" w:pos="10181"/>
      </w:tabs>
      <w:spacing w:after="0" w:line="259" w:lineRule="auto"/>
      <w:ind w:left="0" w:right="-173" w:firstLine="0"/>
      <w:jc w:val="left"/>
    </w:pPr>
    <w:r>
      <w:tab/>
    </w:r>
    <w:r>
      <w:rPr>
        <w:sz w:val="24"/>
      </w:rPr>
      <w:t>Servicevereinbarung BL</w:t>
    </w:r>
    <w:r>
      <w:rPr>
        <w:sz w:val="24"/>
      </w:rPr>
      <w:tab/>
    </w:r>
    <w:r>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of </w:t>
    </w:r>
    <w:fldSimple w:instr=" NUMPAGES   \* MERGEFORMAT ">
      <w: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B3AAD" w14:textId="77777777" w:rsidR="005D0B02" w:rsidRDefault="00000000">
    <w:pPr>
      <w:tabs>
        <w:tab w:val="center" w:pos="1930"/>
        <w:tab w:val="right" w:pos="10181"/>
      </w:tabs>
      <w:spacing w:after="0" w:line="259" w:lineRule="auto"/>
      <w:ind w:left="0" w:right="-173" w:firstLine="0"/>
      <w:jc w:val="left"/>
    </w:pPr>
    <w:r>
      <w:tab/>
    </w:r>
    <w:r>
      <w:rPr>
        <w:sz w:val="24"/>
      </w:rPr>
      <w:t>Servicevereinbarung BL</w:t>
    </w:r>
    <w:r>
      <w:rPr>
        <w:sz w:val="24"/>
      </w:rPr>
      <w:tab/>
    </w:r>
    <w:r>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of </w:t>
    </w:r>
    <w:fldSimple w:instr=" NUMPAGES   \* MERGEFORMAT ">
      <w:r>
        <w:t>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ABD74" w14:textId="77777777" w:rsidR="005D0B02" w:rsidRDefault="00000000">
    <w:pPr>
      <w:tabs>
        <w:tab w:val="center" w:pos="1930"/>
        <w:tab w:val="right" w:pos="10181"/>
      </w:tabs>
      <w:spacing w:after="0" w:line="259" w:lineRule="auto"/>
      <w:ind w:left="0" w:right="-173" w:firstLine="0"/>
      <w:jc w:val="left"/>
    </w:pPr>
    <w:r>
      <w:tab/>
    </w:r>
    <w:r>
      <w:rPr>
        <w:sz w:val="24"/>
      </w:rPr>
      <w:t>Servicevereinbarung BL</w:t>
    </w:r>
    <w:r>
      <w:rPr>
        <w:sz w:val="24"/>
      </w:rPr>
      <w:tab/>
    </w:r>
    <w:r>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of </w:t>
    </w:r>
    <w:fldSimple w:instr=" NUMPAGES   \* MERGEFORMAT ">
      <w: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307AA"/>
    <w:multiLevelType w:val="hybridMultilevel"/>
    <w:tmpl w:val="88444452"/>
    <w:lvl w:ilvl="0" w:tplc="4BF6AAAC">
      <w:start w:val="1"/>
      <w:numFmt w:val="lowerLetter"/>
      <w:lvlText w:val="%1)"/>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645150">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A6FE34">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FA92A2">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6E9B46">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BA816C">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EC2560">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8AFDFE">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89984">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6A6726"/>
    <w:multiLevelType w:val="hybridMultilevel"/>
    <w:tmpl w:val="CA641676"/>
    <w:lvl w:ilvl="0" w:tplc="0DF0FDB2">
      <w:start w:val="1"/>
      <w:numFmt w:val="lowerLetter"/>
      <w:lvlText w:val="%1)"/>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400252">
      <w:start w:val="1"/>
      <w:numFmt w:val="lowerLetter"/>
      <w:lvlText w:val="%2"/>
      <w:lvlJc w:val="left"/>
      <w:pPr>
        <w:ind w:left="1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3C7400">
      <w:start w:val="1"/>
      <w:numFmt w:val="lowerRoman"/>
      <w:lvlText w:val="%3"/>
      <w:lvlJc w:val="left"/>
      <w:pPr>
        <w:ind w:left="2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68176">
      <w:start w:val="1"/>
      <w:numFmt w:val="decimal"/>
      <w:lvlText w:val="%4"/>
      <w:lvlJc w:val="left"/>
      <w:pPr>
        <w:ind w:left="3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E6C710">
      <w:start w:val="1"/>
      <w:numFmt w:val="lowerLetter"/>
      <w:lvlText w:val="%5"/>
      <w:lvlJc w:val="left"/>
      <w:pPr>
        <w:ind w:left="3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68DD0">
      <w:start w:val="1"/>
      <w:numFmt w:val="lowerRoman"/>
      <w:lvlText w:val="%6"/>
      <w:lvlJc w:val="left"/>
      <w:pPr>
        <w:ind w:left="4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A84F6">
      <w:start w:val="1"/>
      <w:numFmt w:val="decimal"/>
      <w:lvlText w:val="%7"/>
      <w:lvlJc w:val="left"/>
      <w:pPr>
        <w:ind w:left="5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F03206">
      <w:start w:val="1"/>
      <w:numFmt w:val="lowerLetter"/>
      <w:lvlText w:val="%8"/>
      <w:lvlJc w:val="left"/>
      <w:pPr>
        <w:ind w:left="6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41AC8">
      <w:start w:val="1"/>
      <w:numFmt w:val="lowerRoman"/>
      <w:lvlText w:val="%9"/>
      <w:lvlJc w:val="left"/>
      <w:pPr>
        <w:ind w:left="6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E81BAC"/>
    <w:multiLevelType w:val="hybridMultilevel"/>
    <w:tmpl w:val="B6DCB56E"/>
    <w:lvl w:ilvl="0" w:tplc="ECCE606C">
      <w:start w:val="4"/>
      <w:numFmt w:val="lowerLetter"/>
      <w:lvlText w:val="%1)"/>
      <w:lvlJc w:val="left"/>
      <w:pPr>
        <w:ind w:left="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DCEBF6">
      <w:start w:val="1"/>
      <w:numFmt w:val="lowerLetter"/>
      <w:lvlText w:val="%2"/>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327B44">
      <w:start w:val="1"/>
      <w:numFmt w:val="lowerRoman"/>
      <w:lvlText w:val="%3"/>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3C5F86">
      <w:start w:val="1"/>
      <w:numFmt w:val="decimal"/>
      <w:lvlText w:val="%4"/>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74089C">
      <w:start w:val="1"/>
      <w:numFmt w:val="lowerLetter"/>
      <w:lvlText w:val="%5"/>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28DC7A">
      <w:start w:val="1"/>
      <w:numFmt w:val="lowerRoman"/>
      <w:lvlText w:val="%6"/>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B8F46A">
      <w:start w:val="1"/>
      <w:numFmt w:val="decimal"/>
      <w:lvlText w:val="%7"/>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5AA2DA">
      <w:start w:val="1"/>
      <w:numFmt w:val="lowerLetter"/>
      <w:lvlText w:val="%8"/>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CCBC50">
      <w:start w:val="1"/>
      <w:numFmt w:val="lowerRoman"/>
      <w:lvlText w:val="%9"/>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60045158">
    <w:abstractNumId w:val="0"/>
  </w:num>
  <w:num w:numId="2" w16cid:durableId="2055496106">
    <w:abstractNumId w:val="1"/>
  </w:num>
  <w:num w:numId="3" w16cid:durableId="379593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B02"/>
    <w:rsid w:val="00116A5E"/>
    <w:rsid w:val="005D0B02"/>
    <w:rsid w:val="00971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0951"/>
  <w15:docId w15:val="{DEE7AD5C-4209-47CE-B02D-2519BA91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7" w:line="219" w:lineRule="auto"/>
      <w:ind w:left="1148" w:hanging="3"/>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outlineLvl w:val="0"/>
    </w:pPr>
    <w:rPr>
      <w:rFonts w:ascii="Calibri" w:eastAsia="Calibri" w:hAnsi="Calibri" w:cs="Calibri"/>
      <w:color w:val="000000"/>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3.xml"/><Relationship Id="rId26" Type="http://schemas.openxmlformats.org/officeDocument/2006/relationships/image" Target="media/image17.jpg"/><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2.xml"/><Relationship Id="rId25" Type="http://schemas.openxmlformats.org/officeDocument/2006/relationships/image" Target="media/image16.jp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1.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4.jpg"/><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3.jpg"/><Relationship Id="rId27" Type="http://schemas.openxmlformats.org/officeDocument/2006/relationships/image" Target="media/image18.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1113</Words>
  <Characters>6573</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2024-04-25T13:49:00Z</dcterms:created>
  <dcterms:modified xsi:type="dcterms:W3CDTF">2024-04-25T13:49:00Z</dcterms:modified>
</cp:coreProperties>
</file>