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D759E" w14:textId="77777777" w:rsidR="002641CD" w:rsidRDefault="002641CD" w:rsidP="00D859C2">
      <w:pPr>
        <w:jc w:val="center"/>
        <w:rPr>
          <w:b/>
          <w:sz w:val="36"/>
          <w:szCs w:val="36"/>
        </w:rPr>
      </w:pPr>
    </w:p>
    <w:p w14:paraId="7FFFAF1A" w14:textId="77777777" w:rsidR="002641CD" w:rsidRDefault="002641CD" w:rsidP="00D859C2">
      <w:pPr>
        <w:jc w:val="center"/>
        <w:rPr>
          <w:b/>
          <w:sz w:val="36"/>
          <w:szCs w:val="36"/>
        </w:rPr>
      </w:pPr>
    </w:p>
    <w:p w14:paraId="46BEAF8A" w14:textId="77777777" w:rsidR="002641CD" w:rsidRDefault="002641CD" w:rsidP="00D859C2">
      <w:pPr>
        <w:jc w:val="center"/>
        <w:rPr>
          <w:b/>
          <w:sz w:val="36"/>
          <w:szCs w:val="36"/>
        </w:rPr>
      </w:pPr>
    </w:p>
    <w:p w14:paraId="3925DCBF" w14:textId="0EED756E"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5776A9EA" w:rsidR="00D859C2" w:rsidRPr="00726B26" w:rsidRDefault="002E230A" w:rsidP="00D859C2">
      <w:pPr>
        <w:rPr>
          <w:b/>
        </w:rPr>
      </w:pPr>
      <w:r>
        <w:rPr>
          <w:b/>
        </w:rPr>
        <w:t xml:space="preserve">Carl </w:t>
      </w:r>
      <w:proofErr w:type="spellStart"/>
      <w:r>
        <w:rPr>
          <w:b/>
        </w:rPr>
        <w:t>Zeiss</w:t>
      </w:r>
      <w:proofErr w:type="spellEnd"/>
      <w:r>
        <w:rPr>
          <w:b/>
        </w:rPr>
        <w:t xml:space="preserve"> spol. s r.o.</w:t>
      </w:r>
    </w:p>
    <w:p w14:paraId="3DADA2B1" w14:textId="4CB360BD" w:rsidR="00D859C2" w:rsidRDefault="00D859C2" w:rsidP="00D859C2">
      <w:r>
        <w:t xml:space="preserve">IČ: </w:t>
      </w:r>
      <w:r w:rsidR="002E230A">
        <w:t>49356691</w:t>
      </w:r>
    </w:p>
    <w:p w14:paraId="494735B8" w14:textId="1356467C" w:rsidR="00D859C2" w:rsidRPr="00512AB9" w:rsidRDefault="00D859C2" w:rsidP="00D859C2">
      <w:r>
        <w:t xml:space="preserve">DIČ: </w:t>
      </w:r>
      <w:r w:rsidR="002E230A">
        <w:t>CZ49356691</w:t>
      </w:r>
    </w:p>
    <w:p w14:paraId="4BE4B061" w14:textId="4C37EA73" w:rsidR="00D859C2" w:rsidRPr="00512AB9" w:rsidRDefault="00D859C2" w:rsidP="00D859C2">
      <w:r>
        <w:t>se sídlem</w:t>
      </w:r>
      <w:r w:rsidRPr="00512AB9">
        <w:t xml:space="preserve">: </w:t>
      </w:r>
      <w:r w:rsidR="002E230A">
        <w:t>Radlická 3201/14, 150 00 Praha 5</w:t>
      </w:r>
    </w:p>
    <w:p w14:paraId="1F4F5F98" w14:textId="42C79228" w:rsidR="00D859C2" w:rsidRPr="00512AB9" w:rsidRDefault="00D859C2" w:rsidP="00D859C2">
      <w:r>
        <w:t>zastoupena</w:t>
      </w:r>
      <w:r w:rsidRPr="00512AB9">
        <w:t xml:space="preserve">: </w:t>
      </w:r>
      <w:r w:rsidR="002E230A">
        <w:t xml:space="preserve">Ing. Nikolou </w:t>
      </w:r>
      <w:proofErr w:type="spellStart"/>
      <w:r w:rsidR="002E230A">
        <w:t>Hlůžovou</w:t>
      </w:r>
      <w:proofErr w:type="spellEnd"/>
      <w:r w:rsidR="002E230A">
        <w:t>, MBA, prokuristkou, Allanem Mrkvičkou MBA, prokuristou</w:t>
      </w:r>
    </w:p>
    <w:p w14:paraId="43130257" w14:textId="6109AAC4" w:rsidR="00D859C2" w:rsidRPr="00512AB9" w:rsidRDefault="00D859C2" w:rsidP="00D859C2">
      <w:r w:rsidRPr="00512AB9">
        <w:t xml:space="preserve">bankovní spojení: </w:t>
      </w:r>
      <w:proofErr w:type="spellStart"/>
      <w:r w:rsidR="002E230A">
        <w:t>UniCredit</w:t>
      </w:r>
      <w:proofErr w:type="spellEnd"/>
      <w:r w:rsidR="002E230A">
        <w:t xml:space="preserve"> Bank, a.s.</w:t>
      </w:r>
    </w:p>
    <w:p w14:paraId="4B4D9F51" w14:textId="5B60320F" w:rsidR="00D859C2" w:rsidRPr="00512AB9" w:rsidRDefault="00D859C2" w:rsidP="00D859C2">
      <w:r w:rsidRPr="00512AB9">
        <w:t xml:space="preserve">číslo účtu: </w:t>
      </w:r>
      <w:r w:rsidR="002E230A">
        <w:t>3285361005/2700</w:t>
      </w:r>
    </w:p>
    <w:p w14:paraId="7BE5CCD9" w14:textId="29A2EEA7" w:rsidR="00D859C2" w:rsidRPr="00512AB9" w:rsidRDefault="00D859C2" w:rsidP="00D859C2">
      <w:r>
        <w:t>z</w:t>
      </w:r>
      <w:r w:rsidRPr="00512AB9">
        <w:t>apsán</w:t>
      </w:r>
      <w:r>
        <w:t>a</w:t>
      </w:r>
      <w:r w:rsidRPr="00512AB9">
        <w:t xml:space="preserve"> v obchodním rejstříku vedeném </w:t>
      </w:r>
      <w:r w:rsidR="002E230A">
        <w:t>Městským</w:t>
      </w:r>
      <w:r>
        <w:t xml:space="preserve"> </w:t>
      </w:r>
      <w:r w:rsidRPr="00652864">
        <w:t>soudem v </w:t>
      </w:r>
      <w:r w:rsidR="001303CF">
        <w:t>Praze</w:t>
      </w:r>
      <w:r w:rsidRPr="00652864">
        <w:t xml:space="preserve">, oddíl </w:t>
      </w:r>
      <w:r w:rsidR="001303CF">
        <w:t>C</w:t>
      </w:r>
      <w:r w:rsidRPr="00652864">
        <w:t xml:space="preserve">, vložka </w:t>
      </w:r>
      <w:r w:rsidR="001303CF">
        <w:t>19868</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6EC4DF8D" w:rsidR="00D859C2" w:rsidRPr="002B77A6" w:rsidRDefault="00D859C2" w:rsidP="00D859C2">
      <w:r>
        <w:t>zastoupena</w:t>
      </w:r>
      <w:r w:rsidRPr="002B77A6">
        <w:t>:</w:t>
      </w:r>
      <w:r w:rsidRPr="001150C5">
        <w:t xml:space="preserve"> MUDr. </w:t>
      </w:r>
      <w:r w:rsidR="00F83E0D">
        <w:t>Ivem Rovným</w:t>
      </w:r>
      <w:r w:rsidRPr="001150C5">
        <w:t xml:space="preserve">, </w:t>
      </w:r>
      <w:r w:rsidR="00F83E0D">
        <w:t>MBA</w:t>
      </w:r>
      <w:r>
        <w:t>, ředitel</w:t>
      </w:r>
      <w:r w:rsidR="001966F7">
        <w:t>em</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4C8D01A2"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836164" w:rsidRPr="00836164">
        <w:rPr>
          <w:b/>
        </w:rPr>
        <w:t xml:space="preserve"> PERIMETR</w:t>
      </w:r>
      <w:r w:rsidR="00836164">
        <w:t xml:space="preserve"> “</w:t>
      </w:r>
      <w:r>
        <w:t xml:space="preserve"> (dále jen „</w:t>
      </w:r>
      <w:r w:rsidRPr="00512300">
        <w:rPr>
          <w:b/>
        </w:rPr>
        <w:t>Zadávací dokumentace</w:t>
      </w:r>
      <w:r>
        <w:t>“).</w:t>
      </w:r>
    </w:p>
    <w:p w14:paraId="2D8C845B" w14:textId="77777777" w:rsidR="00271FDF" w:rsidRDefault="00271FDF" w:rsidP="00271FDF">
      <w:pPr>
        <w:pStyle w:val="Odstavecsmlouvy"/>
        <w:numPr>
          <w:ilvl w:val="0"/>
          <w:numId w:val="0"/>
        </w:numPr>
        <w:ind w:left="567"/>
      </w:pPr>
    </w:p>
    <w:p w14:paraId="384E6B28" w14:textId="4E5AEB2B" w:rsidR="00271FDF" w:rsidRPr="00CF0C56" w:rsidRDefault="00271FDF" w:rsidP="00271FDF">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w:t>
      </w:r>
      <w:r w:rsidR="00196060">
        <w:t>.</w:t>
      </w:r>
      <w:r w:rsidR="00C9479B">
        <w:t xml:space="preserve"> </w:t>
      </w:r>
      <w:r w:rsidR="00196060">
        <w:t>V</w:t>
      </w:r>
      <w:r w:rsidR="00C9479B">
        <w:t> případě rozporu mezi přílohou č. 1 a Zadávací dokumentací má přednost Zadávací dokumentace</w:t>
      </w:r>
      <w:r>
        <w:t>.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569426C4" w14:textId="77777777" w:rsidR="00F83E0D" w:rsidRDefault="00F83E0D" w:rsidP="00F83E0D">
      <w:pPr>
        <w:pStyle w:val="Odstavecsmlouvy"/>
        <w:numPr>
          <w:ilvl w:val="1"/>
          <w:numId w:val="1"/>
        </w:numPr>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fldChar w:fldCharType="begin"/>
      </w:r>
      <w:r>
        <w:instrText xml:space="preserve"> REF _Ref31278541 \r \h </w:instrText>
      </w:r>
      <w:r>
        <w:fldChar w:fldCharType="separate"/>
      </w:r>
      <w:r w:rsidR="00045908">
        <w:t>V</w:t>
      </w:r>
      <w:r>
        <w:fldChar w:fldCharType="end"/>
      </w:r>
      <w:r>
        <w:t> této smlouvy, a to dle specifikace uvedené v příloze č. 1 této smlouvy a v Zadávací dokumentaci (dále jen „</w:t>
      </w:r>
      <w:r w:rsidRPr="00841443">
        <w:rPr>
          <w:b/>
        </w:rPr>
        <w:t>Montáž</w:t>
      </w:r>
      <w:r>
        <w:t>“).</w:t>
      </w:r>
    </w:p>
    <w:p w14:paraId="2A3FCA86" w14:textId="77777777" w:rsidR="00F83E0D" w:rsidRDefault="00F83E0D" w:rsidP="00F83E0D">
      <w:pPr>
        <w:pStyle w:val="Odstavecsmlouvy"/>
        <w:numPr>
          <w:ilvl w:val="0"/>
          <w:numId w:val="0"/>
        </w:numPr>
        <w:ind w:left="567"/>
      </w:pPr>
    </w:p>
    <w:p w14:paraId="1C88048F" w14:textId="1C9C10DE"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0719D17C" w14:textId="5C9544F0" w:rsidR="00BA5EEC" w:rsidRDefault="00BA5EEC" w:rsidP="00BA5EEC">
      <w:pPr>
        <w:pStyle w:val="Odstavecsmlouvy"/>
        <w:numPr>
          <w:ilvl w:val="1"/>
          <w:numId w:val="1"/>
        </w:numPr>
      </w:pPr>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0D020E">
        <w:t>§ 41 zákona č. 375/2022 Sb., o zdravotnických prostředcích a diagnostických zdravotnických prostředcích in vitro, ve znění pozdějších předpisů (dále jen „</w:t>
      </w:r>
      <w:proofErr w:type="spellStart"/>
      <w:r w:rsidR="000D020E">
        <w:rPr>
          <w:b/>
        </w:rPr>
        <w:t>ZoZP</w:t>
      </w:r>
      <w:proofErr w:type="spellEnd"/>
      <w:r w:rsidR="000D020E">
        <w:t>“),</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4BF4870F" w14:textId="77777777" w:rsidR="009A7E08" w:rsidRDefault="009A7E08" w:rsidP="009A7E08">
      <w:pPr>
        <w:pStyle w:val="Odstavecsmlouvy"/>
        <w:numPr>
          <w:ilvl w:val="0"/>
          <w:numId w:val="0"/>
        </w:numPr>
        <w:ind w:left="567"/>
      </w:pPr>
      <w:bookmarkStart w:id="0" w:name="_Ref496264709"/>
      <w:bookmarkStart w:id="1" w:name="_Ref25667426"/>
      <w:bookmarkStart w:id="2" w:name="_Ref42077377"/>
    </w:p>
    <w:p w14:paraId="3D3AA1E8" w14:textId="77777777" w:rsidR="000D020E" w:rsidRDefault="000D020E" w:rsidP="000D020E">
      <w:pPr>
        <w:pStyle w:val="Odstavecsmlouvy"/>
        <w:numPr>
          <w:ilvl w:val="0"/>
          <w:numId w:val="0"/>
        </w:numPr>
        <w:ind w:left="567"/>
      </w:pPr>
      <w:bookmarkStart w:id="3" w:name="_Ref98508647"/>
      <w:bookmarkEnd w:id="0"/>
      <w:bookmarkEnd w:id="1"/>
      <w:bookmarkEnd w:id="2"/>
    </w:p>
    <w:p w14:paraId="262FC22F" w14:textId="0BC2F664" w:rsidR="009A7E08" w:rsidRDefault="00236BD3" w:rsidP="009A7E08">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a výše souhrnně jen „</w:t>
      </w:r>
      <w:r w:rsidRPr="00817693">
        <w:rPr>
          <w:b/>
        </w:rPr>
        <w:t>Licence</w:t>
      </w:r>
      <w:r>
        <w:t>“). Nevyplývá-li z přílohy č. 1 této smlouvy něco jiného,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takové Licenční smlouvy, Prodávající je oprávněn takto pro Kupujícího zajistit uzavření takové Licenční smlouvy a Kupující tím nabude práva v rozsahu Licence. Prodávající je povinen hradit veškeré náklady nabyvatele licencí vyplývající z Licenčních smluv.</w:t>
      </w:r>
      <w:bookmarkEnd w:id="3"/>
      <w:r>
        <w:t xml:space="preserve"> Veškeré Licence musí nabýt účinnosti během lhůty pro dodání Zboží.</w:t>
      </w:r>
    </w:p>
    <w:p w14:paraId="11393A80" w14:textId="77777777" w:rsidR="009A7E08" w:rsidRDefault="009A7E08" w:rsidP="009A7E08">
      <w:pPr>
        <w:pStyle w:val="Odstavecsmlouvy"/>
        <w:numPr>
          <w:ilvl w:val="0"/>
          <w:numId w:val="0"/>
        </w:numPr>
        <w:ind w:left="567"/>
      </w:pPr>
    </w:p>
    <w:p w14:paraId="6600F0E3" w14:textId="3C352550" w:rsidR="0070757B" w:rsidRDefault="00236BD3" w:rsidP="0070757B">
      <w:pPr>
        <w:pStyle w:val="Odstavecsmlouvy"/>
        <w:numPr>
          <w:ilvl w:val="1"/>
          <w:numId w:val="1"/>
        </w:numPr>
      </w:pPr>
      <w:bookmarkStart w:id="4" w:name="_Ref77341478"/>
      <w:bookmarkStart w:id="5" w:name="_Ref46315892"/>
      <w:bookmarkStart w:id="6" w:name="_Ref116304982"/>
      <w:bookmarkEnd w:id="4"/>
      <w:bookmarkEnd w:id="5"/>
      <w:r>
        <w:t>Jestliže je v příloze č. 1 této smlouvy specifikována služba vztahující se ke Zboží, Licenci nebo Software (dále jen „</w:t>
      </w:r>
      <w:r w:rsidRPr="00DA2540">
        <w:rPr>
          <w:b/>
        </w:rPr>
        <w:t>Služb</w:t>
      </w:r>
      <w:r>
        <w:rPr>
          <w:b/>
        </w:rPr>
        <w:t>a</w:t>
      </w:r>
      <w:r>
        <w:t>“), je Prodávající povinen takovou službu Kupujícímu po dobu a za podmínek uvedených v příloze č. 1 této smlouvy a v Zadávací dokumentaci poskytovat. Jestliže z povahy takové služby vyplývá, že ji poskytuje třetí osoba (např. výrobce položky Zboží nebo Software), je Prodávající ve lhůtě sjednané pro zprostředkování Licenční smlouvy povinen Kupujícímu zprostředkovat uzavření smlouvy o poskytování takové služby v rozsahu a za podmínek vyplývajících z přílohy č. 1 této smlouvy (taková smlouva dále jen „</w:t>
      </w:r>
      <w:r w:rsidRPr="00A47CCF">
        <w:rPr>
          <w:b/>
        </w:rPr>
        <w:t>Smlouva o poskytování Služby</w:t>
      </w:r>
      <w:r>
        <w:t>“).</w:t>
      </w:r>
      <w:r w:rsidRPr="007B69F7">
        <w:t xml:space="preserve"> </w:t>
      </w:r>
      <w:r>
        <w:t>Závazek Prodávajícího zprostředkovat uzavření Smlouvy o poskytování Služby se považuje za splněný i uzavřením Licenční smlouvy, pokud Licenční smlouva obsahuje plné znění Smlouvy o poskytování Služby nebo na její znění odkazuje a Kupující tím získá oprávnění čerpat Službu. Závazek Prodávajícího zprostředkovat uzavření Smlouvy o poskytování Služby se považuje za splněný i uzavřením této smlouvy, pokud je Prodávající oprávněn takto pro Kupujícího zajistit uzavření Smlouvy o poskytování Služby a Kupující tím získá oprávnění čerpat Službu. Prodávající je ve vztahu ke všem Smlouvám o poskytování Služby povinen hradit veškeré náklady objednatele z nich vyplývající.</w:t>
      </w:r>
      <w:bookmarkEnd w:id="6"/>
      <w:r w:rsidRPr="005B5DF9">
        <w:t xml:space="preserve"> </w:t>
      </w:r>
      <w:r>
        <w:t>Poskytování veškerých Služeb musí být zahájeno během lhůty pro dodání Zboží.</w:t>
      </w:r>
    </w:p>
    <w:p w14:paraId="3FDBCDBD" w14:textId="77777777" w:rsidR="009A7E08" w:rsidRDefault="009A7E08" w:rsidP="009A7E08">
      <w:pPr>
        <w:pStyle w:val="Odstavecsmlouvy"/>
        <w:numPr>
          <w:ilvl w:val="0"/>
          <w:numId w:val="0"/>
        </w:numPr>
        <w:ind w:left="567"/>
      </w:pPr>
    </w:p>
    <w:p w14:paraId="17BE4C7A" w14:textId="6D4C6EFD" w:rsidR="00FC0959" w:rsidRDefault="009A7E08" w:rsidP="00241F04">
      <w:pPr>
        <w:pStyle w:val="Odstavecsmlouvy"/>
        <w:numPr>
          <w:ilvl w:val="1"/>
          <w:numId w:val="1"/>
        </w:numPr>
      </w:pPr>
      <w:r>
        <w:t xml:space="preserve">Pokud je pro oprávněné užívání </w:t>
      </w:r>
      <w:r w:rsidR="001B4519">
        <w:t xml:space="preserve">software uvedeného v příloze č. 1 této smlouvy nebo software, který je součástí Zboží, </w:t>
      </w:r>
      <w:r>
        <w:t xml:space="preserve">v souladu s touto smlouvou nezbytný licenční/produktový klíč nebo obdobný kód (dále jen </w:t>
      </w:r>
      <w:r w:rsidRPr="00FC0959">
        <w:rPr>
          <w:b/>
        </w:rPr>
        <w:t>„Licenční klí</w:t>
      </w:r>
      <w:r w:rsidRPr="00817693">
        <w:rPr>
          <w:b/>
        </w:rPr>
        <w:t>č</w:t>
      </w:r>
      <w:r>
        <w:t xml:space="preserve">“), je Prodávající povinen Kupujícímu zpřístupnit Licenční klíč v </w:t>
      </w:r>
      <w:r w:rsidRPr="00C40AA2">
        <w:t>podobě</w:t>
      </w:r>
      <w:r>
        <w:t>, která mu bude umožňovat časově neomezené opakované čtení Licenčního klíče v otevřené podobě.</w:t>
      </w:r>
      <w:r w:rsidR="00236BD3">
        <w:t xml:space="preserve"> Pokud je Licenční klíč uložen na hardwarovém nosiči, považuje se takový nosič za položku Zboží, tj. musí být součástí dodávky.</w:t>
      </w:r>
    </w:p>
    <w:p w14:paraId="69085684" w14:textId="77777777" w:rsidR="00FC0959" w:rsidRDefault="00FC0959" w:rsidP="00FC0959">
      <w:pPr>
        <w:pStyle w:val="Odstavecsmlouvy"/>
        <w:numPr>
          <w:ilvl w:val="0"/>
          <w:numId w:val="0"/>
        </w:numPr>
        <w:ind w:left="567"/>
      </w:pPr>
    </w:p>
    <w:p w14:paraId="3FAE0A81" w14:textId="15019848" w:rsidR="00FC0959" w:rsidRDefault="00FC0959" w:rsidP="00FC0959">
      <w:pPr>
        <w:pStyle w:val="Odstavecsmlouvy"/>
        <w:numPr>
          <w:ilvl w:val="1"/>
          <w:numId w:val="1"/>
        </w:numPr>
      </w:pPr>
      <w:r>
        <w:t>Vždy, když je to pro řádný průběh plnění této smlouvy nezbytné, nebo požádá-li o to Kupující, svolá Prodávající v součinnosti s Kupujícím jednání realizačního týmu, na kterém Prodávající seznámí Kupujícího s průběhem plnění této smlouvy a umožní Kupujícímu udělit pokyny k dalšímu plnění této smlouvy (dále jen „</w:t>
      </w:r>
      <w:r>
        <w:rPr>
          <w:b/>
        </w:rPr>
        <w:t>Realizační tým</w:t>
      </w:r>
      <w:r>
        <w:t xml:space="preserve">“). </w:t>
      </w:r>
      <w:r w:rsidRPr="00184F1B">
        <w:rPr>
          <w:u w:val="single"/>
        </w:rPr>
        <w:t xml:space="preserve">Prodávající je povinen svolat nejméně jeden </w:t>
      </w:r>
      <w:r>
        <w:rPr>
          <w:u w:val="single"/>
        </w:rPr>
        <w:t>Realizační tým</w:t>
      </w:r>
      <w:r w:rsidR="00A36B03">
        <w:rPr>
          <w:u w:val="single"/>
        </w:rPr>
        <w:t xml:space="preserve">, a to </w:t>
      </w:r>
      <w:r w:rsidRPr="00184F1B">
        <w:rPr>
          <w:u w:val="single"/>
        </w:rPr>
        <w:t xml:space="preserve">tak, aby se konal </w:t>
      </w:r>
      <w:r w:rsidR="00842E64">
        <w:rPr>
          <w:u w:val="single"/>
        </w:rPr>
        <w:t>nejpozději 2 týdny</w:t>
      </w:r>
      <w:r w:rsidRPr="00184F1B">
        <w:rPr>
          <w:u w:val="single"/>
        </w:rPr>
        <w:t xml:space="preserve"> </w:t>
      </w:r>
      <w:r w:rsidR="00842E64">
        <w:rPr>
          <w:u w:val="single"/>
        </w:rPr>
        <w:t>před koncem lhůty sjednané pro dodání Zboží</w:t>
      </w:r>
      <w:r w:rsidRPr="00184F1B">
        <w:rPr>
          <w:u w:val="single"/>
        </w:rPr>
        <w:t>.</w:t>
      </w:r>
      <w:r>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12D5CBFC" w14:textId="77777777" w:rsidR="00FC0959" w:rsidRDefault="00FC0959" w:rsidP="00FC0959">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0FD446DC" w:rsidR="00D86891"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6D247C">
        <w:t xml:space="preserve">počítačový </w:t>
      </w:r>
      <w:r w:rsidR="009523CB">
        <w:t>perimetr,</w:t>
      </w:r>
      <w:r w:rsidR="006D247C">
        <w:t xml:space="preserve"> 1</w:t>
      </w:r>
      <w:r w:rsidR="002F4F30" w:rsidRPr="00D859C2">
        <w:t xml:space="preserve"> ks</w:t>
      </w:r>
      <w:r w:rsidR="008645D8" w:rsidRPr="00D859C2">
        <w:rPr>
          <w:b/>
        </w:rPr>
        <w:t>, typ:</w:t>
      </w:r>
      <w:r w:rsidR="006D247C">
        <w:rPr>
          <w:b/>
        </w:rPr>
        <w:t xml:space="preserve"> </w:t>
      </w:r>
      <w:r w:rsidR="006D247C" w:rsidRPr="006D247C">
        <w:rPr>
          <w:b/>
          <w:bCs/>
        </w:rPr>
        <w:t>HFA3 850</w:t>
      </w:r>
      <w:r w:rsidR="004453FF" w:rsidRPr="00D859C2">
        <w:rPr>
          <w:b/>
        </w:rPr>
        <w:t>, výrobce</w:t>
      </w:r>
      <w:r w:rsidR="006D247C">
        <w:rPr>
          <w:b/>
        </w:rPr>
        <w:t xml:space="preserve"> CARL ZEISS</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42F31BA8" w14:textId="77777777" w:rsidR="008C67A3" w:rsidRPr="00D859C2" w:rsidRDefault="008C67A3" w:rsidP="008C67A3">
      <w:pPr>
        <w:pStyle w:val="Odstavecsmlouvy"/>
        <w:numPr>
          <w:ilvl w:val="0"/>
          <w:numId w:val="0"/>
        </w:numPr>
        <w:ind w:left="567"/>
      </w:pPr>
    </w:p>
    <w:p w14:paraId="75136A60" w14:textId="77777777" w:rsidR="00AF2763" w:rsidRPr="00D859C2" w:rsidRDefault="00AF2763" w:rsidP="00D859C2">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6FEB9B8F" w14:textId="77777777" w:rsidR="004975C3" w:rsidRPr="00D859C2" w:rsidRDefault="004975C3" w:rsidP="004975C3">
      <w:pPr>
        <w:pStyle w:val="Odstavecsmlouvy"/>
      </w:pPr>
      <w:r w:rsidRPr="00D859C2">
        <w:t>Prodávající se zavazuje dodat Kupujícímu společně se Zbožím i veškeré doklady, které se ke Zboží vztahují, tj. zejména doklady nutné k převzetí a k řádnému užívání zboží:</w:t>
      </w:r>
    </w:p>
    <w:p w14:paraId="3CBBC133" w14:textId="77777777" w:rsidR="004975C3" w:rsidRPr="00D859C2" w:rsidRDefault="004975C3" w:rsidP="004975C3">
      <w:pPr>
        <w:pStyle w:val="Psmenoodstavce"/>
      </w:pPr>
      <w:r w:rsidRPr="00D859C2">
        <w:t xml:space="preserve">návod k ovládání Zboží v českém jazyce ve dvou vyhotoveních (1x v listinné podobě, 1x v datové podobě ve formátu </w:t>
      </w:r>
      <w:r>
        <w:t>RTF, DOC, DOCX</w:t>
      </w:r>
      <w:r w:rsidRPr="00D859C2">
        <w:t xml:space="preserve"> nebo </w:t>
      </w:r>
      <w:r>
        <w:t>PDF</w:t>
      </w:r>
      <w:r w:rsidRPr="00D859C2">
        <w:t>);</w:t>
      </w:r>
    </w:p>
    <w:p w14:paraId="09EF8BEF" w14:textId="77777777" w:rsidR="004975C3" w:rsidRPr="00D859C2" w:rsidRDefault="004975C3" w:rsidP="004975C3">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w:t>
      </w:r>
      <w:r>
        <w:t xml:space="preserve"> (dále jen „</w:t>
      </w:r>
      <w:proofErr w:type="spellStart"/>
      <w:r w:rsidRPr="00994805">
        <w:rPr>
          <w:b/>
        </w:rPr>
        <w:t>ZoTPV</w:t>
      </w:r>
      <w:proofErr w:type="spellEnd"/>
      <w:r>
        <w:t>“)</w:t>
      </w:r>
      <w:r w:rsidRPr="00D231CC">
        <w:t>, a pokud se jedná o zdravotnický prostředek</w:t>
      </w:r>
      <w:r>
        <w:t>,</w:t>
      </w:r>
      <w:r w:rsidRPr="00D231CC">
        <w:t xml:space="preserve"> dle </w:t>
      </w:r>
      <w:proofErr w:type="spellStart"/>
      <w:r>
        <w:t>ZoZP</w:t>
      </w:r>
      <w:proofErr w:type="spellEnd"/>
      <w:r>
        <w:t xml:space="preserve">, </w:t>
      </w:r>
      <w:r w:rsidRPr="00D231CC">
        <w:t>nařízení Evropského parlamentu a Rady (EU) 2017/745</w:t>
      </w:r>
      <w:r>
        <w:t>,</w:t>
      </w:r>
      <w:r w:rsidRPr="00D231CC">
        <w:t xml:space="preserve"> o zdravotnických prostředcích</w:t>
      </w:r>
      <w:r>
        <w:t xml:space="preserve"> (dále jen „</w:t>
      </w:r>
      <w:r w:rsidRPr="00994805">
        <w:rPr>
          <w:b/>
        </w:rPr>
        <w:t>MDR</w:t>
      </w:r>
      <w:r>
        <w:t>“)</w:t>
      </w:r>
      <w:r w:rsidRPr="00D231CC">
        <w:t>, příp. dle nařízení Evropského parlamentu a Rady (EU) 2017/746</w:t>
      </w:r>
      <w:r>
        <w:t>,</w:t>
      </w:r>
      <w:r w:rsidRPr="00D231CC">
        <w:t xml:space="preserve"> o diagnostických zdravotnických prostředcích in vitro</w:t>
      </w:r>
      <w:r>
        <w:t xml:space="preserve"> (dále jen „</w:t>
      </w:r>
      <w:r w:rsidRPr="00994805">
        <w:rPr>
          <w:b/>
        </w:rPr>
        <w:t>IVDR</w:t>
      </w:r>
      <w:r>
        <w:t>“)</w:t>
      </w:r>
      <w:r w:rsidRPr="00D231CC">
        <w:t>, s uvedením klasifikační třídy, v českém jazyce a ne starší než 5 let od data vystavení. Zároveň bude na Zboží a v uživatelském návodu ke Zboží grafické znázornění této shody prostřednictvím značky CE</w:t>
      </w:r>
      <w:r w:rsidRPr="00D859C2">
        <w:t>.</w:t>
      </w:r>
    </w:p>
    <w:p w14:paraId="75136A66" w14:textId="5308503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1CF210D5"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do</w:t>
      </w:r>
      <w:r w:rsidR="003F7B02" w:rsidRPr="00836164">
        <w:t xml:space="preserve"> </w:t>
      </w:r>
      <w:r w:rsidR="00836164" w:rsidRPr="00836164">
        <w:rPr>
          <w:b/>
        </w:rPr>
        <w:t>10</w:t>
      </w:r>
      <w:r w:rsidR="0042712C" w:rsidRPr="00836164">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31E78D18" w:rsidR="00BE2371" w:rsidRPr="00D859C2" w:rsidRDefault="003F7B02" w:rsidP="00D859C2">
      <w:pPr>
        <w:pStyle w:val="Odstavecsmlouvy"/>
      </w:pPr>
      <w:r w:rsidRPr="00D859C2">
        <w:t xml:space="preserve">Místem dodání Zboží </w:t>
      </w:r>
      <w:r w:rsidR="00D50BBE" w:rsidRPr="00D859C2">
        <w:t xml:space="preserve">je </w:t>
      </w:r>
      <w:r w:rsidR="00836164">
        <w:t>FN BRNO, Oční klinika, Jihlavská 20, 625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68EA9586"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317416">
        <w:t>XXXXXXXXXX</w:t>
      </w:r>
      <w:r w:rsidR="00DE3A3F" w:rsidRPr="00D859C2">
        <w:t xml:space="preserve">, tel.: </w:t>
      </w:r>
      <w:r w:rsidR="00317416">
        <w:t>XXXXXXXXX</w:t>
      </w:r>
      <w:r w:rsidR="00DE3A3F" w:rsidRPr="00D859C2">
        <w:t xml:space="preserve"> a písemně na e-mail: </w:t>
      </w:r>
      <w:r w:rsidR="00317416">
        <w:t>XXXXXXXX</w:t>
      </w:r>
      <w:r w:rsidR="00DE3A3F" w:rsidRPr="00D859C2">
        <w:t>@fnbrno.cz</w:t>
      </w:r>
      <w:r w:rsidRPr="00D859C2">
        <w:t>.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5A7CC22D"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w:t>
      </w:r>
      <w:r w:rsidRPr="009A7E08">
        <w:t xml:space="preserve">modalit (nastavení </w:t>
      </w:r>
      <w:proofErr w:type="spellStart"/>
      <w:r w:rsidRPr="009A7E08">
        <w:t>workflow</w:t>
      </w:r>
      <w:proofErr w:type="spellEnd"/>
      <w:r w:rsidRPr="009A7E08">
        <w:t>), uvedení Zboží do provozu, předvedení jeho funkční zkoušky vč</w:t>
      </w:r>
      <w:r w:rsidR="00094B12" w:rsidRPr="009A7E08">
        <w:t>etně</w:t>
      </w:r>
      <w:r w:rsidRPr="009A7E08">
        <w:t xml:space="preserve"> přejímací zkoušky dlouhodobé stability u Zboží, které této zkoušce podle zákona </w:t>
      </w:r>
      <w:r w:rsidR="003E4543" w:rsidRPr="009A7E08">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9A7E08">
        <w:rPr>
          <w:b/>
        </w:rPr>
        <w:t>AZ</w:t>
      </w:r>
      <w:r w:rsidR="003E4543" w:rsidRPr="009A7E08">
        <w:t>“</w:t>
      </w:r>
      <w:r w:rsidR="00094B12" w:rsidRPr="009A7E08">
        <w:rPr>
          <w:bCs/>
        </w:rPr>
        <w:t>)</w:t>
      </w:r>
      <w:r w:rsidRPr="009A7E08">
        <w:t xml:space="preserve">, podléhá, </w:t>
      </w:r>
      <w:r w:rsidR="00094B12" w:rsidRPr="009A7E08">
        <w:t xml:space="preserve">dále </w:t>
      </w:r>
      <w:r w:rsidRPr="009A7E08">
        <w:t xml:space="preserve">vstupní validace či kalibrace (pouze u Zboží, u nějž je při provozu vyžadována), ověření přenosu dat do archivu </w:t>
      </w:r>
      <w:r w:rsidR="00AF0AFE" w:rsidRPr="009A7E08">
        <w:t>MARIE PACS</w:t>
      </w:r>
      <w:r w:rsidRPr="009A7E08">
        <w:t xml:space="preserve"> (pouze u Zboží, u nějž je vyžadováno) a odzkoušení bezproblémového provozu (např. formou testovacího provozu) za přítomnosti zástupců klinik, zaměs</w:t>
      </w:r>
      <w:r w:rsidR="00FB373A" w:rsidRPr="009A7E08">
        <w:t>tnance Obchodního</w:t>
      </w:r>
      <w:r w:rsidR="00FB373A" w:rsidRPr="00D859C2">
        <w:t xml:space="preserve">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00BA5EEC">
        <w:t>provedení 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3A2F254D" w14:textId="77777777" w:rsidR="008E314A" w:rsidRPr="00D859C2" w:rsidRDefault="008E314A" w:rsidP="008E314A">
      <w:pPr>
        <w:pStyle w:val="Odstavecsmlouvy"/>
        <w:numPr>
          <w:ilvl w:val="1"/>
          <w:numId w:val="1"/>
        </w:numPr>
      </w:pPr>
      <w:r w:rsidRPr="00D859C2">
        <w:t xml:space="preserve">Zástupci Prodávajícího a Kupujícího sepíší a podepíší </w:t>
      </w:r>
      <w:r>
        <w:t>o</w:t>
      </w:r>
      <w:r w:rsidRPr="00D859C2">
        <w:t xml:space="preserve"> dodání </w:t>
      </w:r>
      <w:r>
        <w:t xml:space="preserve">a převzetí Zboží (všech jeho položek), jakož i o řádném provedení Montáže, jestliže Prodávající byl dle této smlouvy povinen Montáž provést, </w:t>
      </w:r>
      <w:r w:rsidRPr="00D859C2">
        <w:t>předávací protokol</w:t>
      </w:r>
      <w:r>
        <w:t xml:space="preserve"> (dále a výše též pouze „</w:t>
      </w:r>
      <w:r w:rsidRPr="00841443">
        <w:rPr>
          <w:b/>
        </w:rPr>
        <w:t>předávací protokol</w:t>
      </w:r>
      <w:r>
        <w:t>“)</w:t>
      </w:r>
      <w:r w:rsidRPr="00D859C2">
        <w:t xml:space="preserve">. Prodávající i Kupující jsou oprávněni v předávacím protokolu uvést jakékoliv záznamy, </w:t>
      </w:r>
      <w:r>
        <w:t xml:space="preserve">vady, nedodělky, </w:t>
      </w:r>
      <w:r w:rsidRPr="00D859C2">
        <w:t xml:space="preserve">připomínky či výhrady; tyto se však nepovažují za změnu této smlouvy či dodatek k této smlouvě. </w:t>
      </w:r>
      <w:r>
        <w:t xml:space="preserve">Kupující je v předávacím protokolu oprávněn stanovit přiměřenou lhůtu pro odstranění vad a nedodělků, které do předávacího protokolu uvedl. </w:t>
      </w:r>
      <w:r w:rsidRPr="00D859C2">
        <w:t xml:space="preserve">Neuvedení jakýchkoliv (i zjevných) vad </w:t>
      </w:r>
      <w:r>
        <w:t xml:space="preserve">či nedodělků </w:t>
      </w:r>
      <w:r w:rsidRPr="00D859C2">
        <w:t xml:space="preserve">do předávacího protokolu neomezuje Kupujícího v právu oznamovat zjištěné vady </w:t>
      </w:r>
      <w:r>
        <w:t xml:space="preserve">a nedodělky </w:t>
      </w:r>
      <w:r w:rsidRPr="00D859C2">
        <w:t>Prodávajícímu i po dodání Zboží v průběhu záruční doby</w:t>
      </w:r>
      <w:r>
        <w:t>, resp. po provedení Montáže</w:t>
      </w:r>
      <w:r w:rsidRPr="00D859C2">
        <w:t xml:space="preserve">. </w:t>
      </w:r>
      <w:r>
        <w:t>Řádné odstranění vad a nedodělků uvedených Kupujícím v předávacím protokolu Kupující Prodávajícímu na jeho žádost písemně potvrdí.</w:t>
      </w:r>
    </w:p>
    <w:p w14:paraId="75136A73" w14:textId="77777777" w:rsidR="00A4060F" w:rsidRPr="00D859C2" w:rsidRDefault="00A4060F" w:rsidP="00D859C2">
      <w:pPr>
        <w:pStyle w:val="Odstavecsmlouvy"/>
        <w:numPr>
          <w:ilvl w:val="0"/>
          <w:numId w:val="0"/>
        </w:numPr>
        <w:ind w:left="567"/>
      </w:pPr>
    </w:p>
    <w:p w14:paraId="41BE0DED" w14:textId="38FEDF0D" w:rsidR="007D3CF9" w:rsidRPr="00D859C2" w:rsidRDefault="00F83E0D" w:rsidP="007D3CF9">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r>
        <w:t xml:space="preserve"> Smluvní strany se však mohou dohodnout, že n</w:t>
      </w:r>
      <w:r w:rsidRPr="00C53B89">
        <w:t xml:space="preserve">ebezpečí škody na </w:t>
      </w:r>
      <w:r>
        <w:t xml:space="preserve">některých </w:t>
      </w:r>
      <w:r w:rsidRPr="00C53B89">
        <w:t xml:space="preserve">položkách Zboží přechází na Kupujícího </w:t>
      </w:r>
      <w:r>
        <w:t xml:space="preserve">již </w:t>
      </w:r>
      <w:r w:rsidRPr="00C53B89">
        <w:t xml:space="preserve">okamžikem </w:t>
      </w:r>
      <w:r>
        <w:t xml:space="preserve">podpisu </w:t>
      </w:r>
      <w:r w:rsidRPr="00C53B89">
        <w:t>Kupující</w:t>
      </w:r>
      <w:r>
        <w:t>ho na příslušném písemném dodacím listu vyhotoveném</w:t>
      </w:r>
      <w:r w:rsidRPr="00C53B89">
        <w:t xml:space="preserve"> Prodávajícím</w:t>
      </w:r>
      <w:r>
        <w:t>, čímž Kupující dodání takových položek Zboží potvrdí, přičemž j</w:t>
      </w:r>
      <w:r w:rsidRPr="00C53B89">
        <w:t xml:space="preserve">edno vyhotovení dodacího listu náleží vždy Kupujícímu. </w:t>
      </w:r>
      <w:r>
        <w:t>Odmítne-li Kupující podepsat dodací list dle věty předchozí, má se za to, že dohoda smluvní stran dle věty předchozí ve vztahu k příslušným položkám Zboží neexistuje.</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7" w:name="_Ref31278541"/>
      <w:r>
        <w:t>Montáž</w:t>
      </w:r>
      <w:bookmarkEnd w:id="7"/>
    </w:p>
    <w:p w14:paraId="7F49ED67" w14:textId="77777777" w:rsidR="00841443" w:rsidRDefault="00841443" w:rsidP="00841443">
      <w:pPr>
        <w:jc w:val="center"/>
        <w:rPr>
          <w:b/>
          <w:bCs/>
        </w:rPr>
      </w:pPr>
    </w:p>
    <w:p w14:paraId="36B44289" w14:textId="77777777" w:rsidR="00271FDF" w:rsidRDefault="00271FDF" w:rsidP="00271FDF">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3C6955D7" w14:textId="77777777" w:rsidR="00271FDF" w:rsidRDefault="00271FDF" w:rsidP="00271FDF">
      <w:pPr>
        <w:pStyle w:val="Odstavecsmlouvy"/>
        <w:numPr>
          <w:ilvl w:val="0"/>
          <w:numId w:val="0"/>
        </w:numPr>
        <w:ind w:left="567"/>
      </w:pPr>
    </w:p>
    <w:p w14:paraId="300EEB4E" w14:textId="77777777" w:rsidR="00271FDF" w:rsidRDefault="00271FDF" w:rsidP="00271FDF">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765CCC7" w14:textId="77777777" w:rsidR="00271FDF" w:rsidRDefault="00271FDF" w:rsidP="00271FDF">
      <w:pPr>
        <w:pStyle w:val="Odstavecsmlouvy"/>
        <w:numPr>
          <w:ilvl w:val="0"/>
          <w:numId w:val="0"/>
        </w:numPr>
        <w:ind w:left="567"/>
      </w:pPr>
    </w:p>
    <w:p w14:paraId="276DC609" w14:textId="77777777" w:rsidR="00271FDF" w:rsidRDefault="00271FDF" w:rsidP="00271FDF">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271FDF">
      <w:pPr>
        <w:pStyle w:val="Odstavecsmlouvy"/>
        <w:numPr>
          <w:ilvl w:val="0"/>
          <w:numId w:val="0"/>
        </w:numPr>
        <w:ind w:left="567"/>
      </w:pPr>
    </w:p>
    <w:p w14:paraId="437234A1" w14:textId="77777777" w:rsidR="00271FDF" w:rsidRDefault="00271FDF" w:rsidP="00271FDF">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40"/>
        <w:gridCol w:w="3823"/>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5541C58B" w:rsidR="00D859C2" w:rsidRPr="006D247C" w:rsidRDefault="003815F4" w:rsidP="000E79CE">
            <w:pPr>
              <w:pStyle w:val="Zkladntext3"/>
              <w:rPr>
                <w:b/>
                <w:sz w:val="22"/>
                <w:szCs w:val="22"/>
              </w:rPr>
            </w:pPr>
            <w:r>
              <w:rPr>
                <w:b/>
                <w:sz w:val="22"/>
                <w:szCs w:val="22"/>
              </w:rPr>
              <w:t xml:space="preserve">    834 840</w:t>
            </w:r>
            <w:r w:rsidR="006D247C" w:rsidRPr="006D247C">
              <w:rPr>
                <w:b/>
                <w:sz w:val="22"/>
                <w:szCs w:val="22"/>
              </w:rPr>
              <w:t xml:space="preserve">,- </w:t>
            </w:r>
            <w:r w:rsidR="00D859C2" w:rsidRPr="006D247C">
              <w:rPr>
                <w:b/>
                <w:sz w:val="22"/>
                <w:szCs w:val="22"/>
              </w:rPr>
              <w:t>Kč</w:t>
            </w:r>
          </w:p>
        </w:tc>
      </w:tr>
      <w:tr w:rsidR="00D859C2" w:rsidRPr="005B49AA" w14:paraId="33392E42" w14:textId="77777777" w:rsidTr="000E79CE">
        <w:tc>
          <w:tcPr>
            <w:tcW w:w="5211" w:type="dxa"/>
            <w:shd w:val="clear" w:color="auto" w:fill="auto"/>
          </w:tcPr>
          <w:p w14:paraId="193C9961" w14:textId="4639B24B" w:rsidR="00D859C2" w:rsidRPr="005B49AA" w:rsidRDefault="00D859C2" w:rsidP="000E79CE">
            <w:pPr>
              <w:pStyle w:val="Zkladntext3"/>
              <w:rPr>
                <w:b/>
                <w:sz w:val="22"/>
                <w:szCs w:val="22"/>
              </w:rPr>
            </w:pPr>
            <w:r w:rsidRPr="005B49AA">
              <w:rPr>
                <w:b/>
                <w:sz w:val="22"/>
                <w:szCs w:val="22"/>
              </w:rPr>
              <w:t>DPH</w:t>
            </w:r>
            <w:r w:rsidR="006D247C">
              <w:rPr>
                <w:b/>
                <w:sz w:val="22"/>
                <w:szCs w:val="22"/>
              </w:rPr>
              <w:t xml:space="preserve"> 21</w:t>
            </w:r>
            <w:r w:rsidRPr="005B49AA">
              <w:rPr>
                <w:b/>
                <w:sz w:val="22"/>
                <w:szCs w:val="22"/>
              </w:rPr>
              <w:t xml:space="preserve"> %:</w:t>
            </w:r>
          </w:p>
        </w:tc>
        <w:tc>
          <w:tcPr>
            <w:tcW w:w="4253" w:type="dxa"/>
            <w:shd w:val="clear" w:color="auto" w:fill="auto"/>
          </w:tcPr>
          <w:p w14:paraId="44D4CFEA" w14:textId="5115E504" w:rsidR="00D859C2" w:rsidRPr="006D247C" w:rsidRDefault="003815F4" w:rsidP="000E79CE">
            <w:pPr>
              <w:pStyle w:val="Zkladntext3"/>
              <w:rPr>
                <w:b/>
                <w:sz w:val="22"/>
                <w:szCs w:val="22"/>
              </w:rPr>
            </w:pPr>
            <w:r>
              <w:rPr>
                <w:b/>
                <w:sz w:val="22"/>
                <w:szCs w:val="22"/>
              </w:rPr>
              <w:t xml:space="preserve">    </w:t>
            </w:r>
            <w:r w:rsidR="006D247C" w:rsidRPr="006D247C">
              <w:rPr>
                <w:b/>
                <w:sz w:val="22"/>
                <w:szCs w:val="22"/>
              </w:rPr>
              <w:t>1</w:t>
            </w:r>
            <w:r>
              <w:rPr>
                <w:b/>
                <w:sz w:val="22"/>
                <w:szCs w:val="22"/>
              </w:rPr>
              <w:t>75 316,40</w:t>
            </w:r>
            <w:r w:rsidR="00D859C2" w:rsidRPr="006D247C">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4FFFAB1C" w:rsidR="00D859C2" w:rsidRPr="006D247C" w:rsidRDefault="003815F4" w:rsidP="000E79CE">
            <w:pPr>
              <w:pStyle w:val="Zkladntext3"/>
              <w:rPr>
                <w:b/>
                <w:sz w:val="22"/>
                <w:szCs w:val="22"/>
              </w:rPr>
            </w:pPr>
            <w:r>
              <w:rPr>
                <w:b/>
                <w:sz w:val="22"/>
                <w:szCs w:val="22"/>
              </w:rPr>
              <w:t xml:space="preserve"> 1 010 156,40</w:t>
            </w:r>
            <w:r w:rsidR="00D859C2" w:rsidRPr="006D247C">
              <w:rPr>
                <w:b/>
                <w:sz w:val="22"/>
                <w:szCs w:val="22"/>
              </w:rPr>
              <w:t xml:space="preserve"> Kč</w:t>
            </w:r>
          </w:p>
        </w:tc>
      </w:tr>
    </w:tbl>
    <w:p w14:paraId="183039AC" w14:textId="77777777" w:rsidR="00D859C2" w:rsidRDefault="00D859C2" w:rsidP="003E4543"/>
    <w:p w14:paraId="5A41E830" w14:textId="2D7F4B23" w:rsidR="00D70368" w:rsidRPr="00D859C2" w:rsidRDefault="00D70368" w:rsidP="00D70368">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w:t>
      </w:r>
      <w:r w:rsidR="001A2256">
        <w:t>Montáž, odměnu</w:t>
      </w:r>
      <w:r>
        <w:t xml:space="preserve">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3E3C07F7" w14:textId="77777777" w:rsidR="008E314A" w:rsidRPr="00D859C2" w:rsidRDefault="008E314A" w:rsidP="008E314A">
      <w:pPr>
        <w:pStyle w:val="Odstavecsmlouvy"/>
        <w:numPr>
          <w:ilvl w:val="1"/>
          <w:numId w:val="1"/>
        </w:numPr>
      </w:pPr>
      <w:r w:rsidRPr="00D859C2">
        <w:t xml:space="preserve">Kupující se zavazuje uhradit kupní cenu na základě jedné faktury – daňového dokladu. </w:t>
      </w:r>
      <w:r>
        <w:t xml:space="preserve">Prodávající je oprávněn vystavit fakturu nejdříve v okamžiku podpisu předávacího protokolu oběma smluvními stranami. Splatnost faktury je </w:t>
      </w:r>
      <w:r w:rsidRPr="00D859C2">
        <w:t xml:space="preserve">60 dnů od </w:t>
      </w:r>
      <w:r>
        <w:t xml:space="preserve">jejího </w:t>
      </w:r>
      <w:r w:rsidRPr="00D859C2">
        <w:t xml:space="preserve">vystavení. Dnem uskutečnění zdanitelného plnění bude den protokolárního převzetí předmětu plnění kupujícím od Prodávajícího. 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Pr>
          <w:color w:val="000000"/>
        </w:rPr>
        <w:t xml:space="preserve"> (dále jen „</w:t>
      </w:r>
      <w:r w:rsidRPr="00094B12">
        <w:rPr>
          <w:b/>
          <w:color w:val="000000"/>
        </w:rPr>
        <w:t>ZDPH</w:t>
      </w:r>
      <w:r>
        <w:rPr>
          <w:color w:val="000000"/>
        </w:rPr>
        <w:t>“)</w:t>
      </w:r>
      <w:r w:rsidRPr="00D859C2">
        <w:rPr>
          <w:color w:val="000000"/>
        </w:rPr>
        <w:t xml:space="preserve">, </w:t>
      </w:r>
      <w:r w:rsidRPr="00D859C2">
        <w:t>a musí na ní být uvedena sjednaná kupní cena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6A31F4EE" w14:textId="77777777" w:rsidR="004975C3" w:rsidRPr="00D859C2" w:rsidRDefault="004975C3" w:rsidP="004975C3">
      <w:pPr>
        <w:pStyle w:val="Odstavecsmlouvy"/>
        <w:numPr>
          <w:ilvl w:val="1"/>
          <w:numId w:val="1"/>
        </w:numPr>
      </w:pPr>
      <w:r w:rsidRPr="00D859C2">
        <w:t xml:space="preserve">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w:t>
      </w:r>
      <w:proofErr w:type="spellStart"/>
      <w:r>
        <w:t>ZoZP</w:t>
      </w:r>
      <w:proofErr w:type="spellEnd"/>
      <w:r>
        <w:t xml:space="preserve">, MDR, IVDR a </w:t>
      </w:r>
      <w:proofErr w:type="spellStart"/>
      <w:r>
        <w:t>ZoTPV</w:t>
      </w:r>
      <w:proofErr w:type="spellEnd"/>
      <w:r w:rsidRPr="00D859C2">
        <w:t>.</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24D2B490" w14:textId="77777777" w:rsidR="00271FDF" w:rsidRDefault="00271FDF" w:rsidP="00271FDF">
      <w:pPr>
        <w:pStyle w:val="Odstavecsmlouvy"/>
        <w:numPr>
          <w:ilvl w:val="1"/>
          <w:numId w:val="1"/>
        </w:numPr>
        <w:rPr>
          <w:color w:val="000000"/>
        </w:rPr>
      </w:pPr>
      <w:bookmarkStart w:id="8"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5B632D66" w:rsidR="006C6CD1" w:rsidRDefault="00C71D12" w:rsidP="00841443">
      <w:pPr>
        <w:pStyle w:val="Odstavecsmlouvy"/>
      </w:pPr>
      <w:bookmarkStart w:id="9"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 xml:space="preserve">Zboží za účelem zjištění jeho kybernetických bezpečnostních zranitelností. Zjištěná kybernetická bezpečnostní zranitelnost </w:t>
      </w:r>
      <w:r w:rsidR="00BC4516">
        <w:t>(dále též jen „</w:t>
      </w:r>
      <w:r w:rsidR="00BC4516" w:rsidRPr="00BC4516">
        <w:rPr>
          <w:b/>
        </w:rPr>
        <w:t>zranitelnost</w:t>
      </w:r>
      <w:r w:rsidR="00BC4516">
        <w:t xml:space="preserve">“) </w:t>
      </w:r>
      <w:r>
        <w:t>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8"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9" w:history="1">
        <w:r w:rsidRPr="00EF5A13">
          <w:rPr>
            <w:rStyle w:val="Hypertextovodkaz"/>
          </w:rPr>
          <w:t>https://www.first.org/cvss/</w:t>
        </w:r>
      </w:hyperlink>
      <w:r>
        <w:t xml:space="preserve">). </w:t>
      </w:r>
      <w:bookmarkEnd w:id="8"/>
      <w:r w:rsidR="008510BD">
        <w:t xml:space="preserve">Za skrytou vadu Zboží podle tohoto odstavce se považuje rovněž zranitelnost, u které vyšlo najevo, že ji Zboží má, jinak než testováním dle věty první, ledaže Prodávající ve lhůtě pro zahájení prací na odstranění takové vady prokáže opak. Nelze-li vadu dle věty předchozí ohodnotit dle standardu CVSS, má se za to, že jde o vadu se </w:t>
      </w:r>
      <w:proofErr w:type="spellStart"/>
      <w:r w:rsidR="008510BD">
        <w:t>severitou</w:t>
      </w:r>
      <w:proofErr w:type="spellEnd"/>
      <w:r w:rsidR="008510BD">
        <w:t xml:space="preserve"> 5, ledaže se smluvní strany dohodnou jinak. </w:t>
      </w:r>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E84314" w:rsidRPr="00E84314">
        <w:t xml:space="preserve"> </w:t>
      </w:r>
      <w:r w:rsidR="00E84314">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9"/>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4F02366E"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045908">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045908">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7BDFEE98" w14:textId="00F08BD5" w:rsidR="00D52AAC" w:rsidRPr="00D859C2" w:rsidRDefault="00D52AAC" w:rsidP="00D52AAC">
      <w:pPr>
        <w:pStyle w:val="Odstavecsmlouvy"/>
      </w:pPr>
      <w:r>
        <w:t xml:space="preserve">V případě prodlení Prodávajícího s odstraněním vady nebo nedodělku uvedeného Kupujícím v předávacím protokolu, je Prodávající povinen </w:t>
      </w:r>
      <w:r w:rsidRPr="00D859C2">
        <w:t xml:space="preserve">uhradit Kupujícímu smluvní pokutu ve výši 0,2% </w:t>
      </w:r>
      <w:r>
        <w:t>z celkové kupní ceny včetně</w:t>
      </w:r>
      <w:r w:rsidRPr="00D859C2">
        <w:t xml:space="preserve"> DPH </w:t>
      </w:r>
      <w:r>
        <w:t xml:space="preserve">za každou takovou vadu nebo nedodělek a </w:t>
      </w:r>
      <w:r w:rsidRPr="00D859C2">
        <w:t xml:space="preserve">za každý </w:t>
      </w:r>
      <w:r>
        <w:t xml:space="preserve">i započatý </w:t>
      </w:r>
      <w:r w:rsidRPr="00D859C2">
        <w:t>den prodlení</w:t>
      </w:r>
      <w:r>
        <w:t>, ledaže se na takové prodlení vztahuje jiná smluvní pokuta sjednaná touto smlouvou</w:t>
      </w:r>
      <w:r w:rsidRPr="00D859C2">
        <w:t>.</w:t>
      </w:r>
    </w:p>
    <w:p w14:paraId="737A2401" w14:textId="77777777" w:rsidR="00D52AAC" w:rsidRDefault="00D52AAC" w:rsidP="00D52AAC">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429EC192"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045908">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1E6B5CDB"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045908">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073904AD"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045908">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687BC581" w14:textId="3D0254B3" w:rsidR="00FC0959" w:rsidRDefault="00FC0959" w:rsidP="00FC0959">
      <w:pPr>
        <w:pStyle w:val="Odstavecsmlouvy"/>
        <w:numPr>
          <w:ilvl w:val="1"/>
          <w:numId w:val="1"/>
        </w:numPr>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3000,- Kč (slovy: </w:t>
      </w:r>
      <w:proofErr w:type="spellStart"/>
      <w:r>
        <w:t>třitisíce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6F54CD56" w14:textId="77777777" w:rsidR="00FC0959" w:rsidRDefault="00FC0959" w:rsidP="00FC0959">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10"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1" w:name="_Ref41464712"/>
      <w:bookmarkStart w:id="12"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1"/>
    </w:p>
    <w:bookmarkEnd w:id="12"/>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3" w:name="_Ref41464266"/>
      <w:r>
        <w:t>Ochrana osobních údajů a kybernetická bezpečnost</w:t>
      </w:r>
      <w:bookmarkEnd w:id="13"/>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4"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4"/>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5"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5"/>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737FA6FC"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045908">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0"/>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5879514B" w:rsidR="00327588" w:rsidRPr="00D859C2" w:rsidRDefault="00497922" w:rsidP="00094B12">
      <w:pPr>
        <w:pStyle w:val="Odstavecsmlouvy"/>
        <w:rPr>
          <w:snapToGrid w:val="0"/>
        </w:rPr>
      </w:pPr>
      <w:r>
        <w:rPr>
          <w:snapToGrid w:val="0"/>
        </w:rPr>
        <w:t xml:space="preserve">Tato smlouva je sepsána ve </w:t>
      </w:r>
      <w:r w:rsidR="00836164" w:rsidRPr="00836164">
        <w:rPr>
          <w:snapToGrid w:val="0"/>
        </w:rPr>
        <w:t>dvou</w:t>
      </w:r>
      <w:r>
        <w:rPr>
          <w:snapToGrid w:val="0"/>
        </w:rPr>
        <w:t xml:space="preserve"> vyhotoveních stejné platnosti a závaznosti, přičemž Prodávající obdrží jedno vyhotovení a Kupující obdrží </w:t>
      </w:r>
      <w:r w:rsidR="00836164" w:rsidRPr="00836164">
        <w:rPr>
          <w:snapToGrid w:val="0"/>
        </w:rPr>
        <w:t>jedno</w:t>
      </w:r>
      <w:r>
        <w:rPr>
          <w:snapToGrid w:val="0"/>
        </w:rPr>
        <w:t xml:space="preserve"> vyhotovení. Případně je tato smlouva vyhotovena elektronicky a podepsána uznávaným elektronickým podpisem. V takovém případě obdrží každá smluvní strana elektronický originál oboustranně podepsané smlouvy.</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6770D5CD" w14:textId="77777777" w:rsidR="0096600E" w:rsidRDefault="0096600E" w:rsidP="0096600E">
      <w:pPr>
        <w:pStyle w:val="Odstavecsmlouvy"/>
        <w:numPr>
          <w:ilvl w:val="1"/>
          <w:numId w:val="1"/>
        </w:numPr>
      </w:pPr>
      <w:r>
        <w:t>Nedílnou součástí této smlouvy jsou:</w:t>
      </w:r>
    </w:p>
    <w:p w14:paraId="6EC6FB1A" w14:textId="4C52A646" w:rsidR="0096600E" w:rsidRDefault="0096600E" w:rsidP="0096600E">
      <w:pPr>
        <w:pStyle w:val="Odstavecsmlouvy"/>
        <w:numPr>
          <w:ilvl w:val="0"/>
          <w:numId w:val="13"/>
        </w:numPr>
      </w:pPr>
      <w:r>
        <w:t xml:space="preserve">Příloha č. 1 – Specifikace </w:t>
      </w:r>
      <w:r w:rsidR="00F83E0D">
        <w:t>Zboží,</w:t>
      </w:r>
      <w:r>
        <w:t xml:space="preserve"> Služeb</w:t>
      </w:r>
      <w:r w:rsidR="00F83E0D">
        <w:t xml:space="preserve"> a Montáže</w:t>
      </w:r>
      <w:r>
        <w:t>;</w:t>
      </w:r>
    </w:p>
    <w:p w14:paraId="629C0848" w14:textId="77777777" w:rsidR="0096600E" w:rsidRDefault="0096600E" w:rsidP="0096600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50C37144" w14:textId="77777777" w:rsidR="0096600E" w:rsidRDefault="0096600E" w:rsidP="0096600E">
      <w:pPr>
        <w:pStyle w:val="Odstavecsmlouvy"/>
        <w:numPr>
          <w:ilvl w:val="0"/>
          <w:numId w:val="0"/>
        </w:numPr>
        <w:ind w:left="567"/>
      </w:pPr>
    </w:p>
    <w:p w14:paraId="4665DF3A" w14:textId="699D4095"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09"/>
        <w:gridCol w:w="1000"/>
        <w:gridCol w:w="3796"/>
      </w:tblGrid>
      <w:tr w:rsidR="00094B12" w:rsidRPr="00D722DC" w14:paraId="3036FF83" w14:textId="77777777" w:rsidTr="00160D16">
        <w:tc>
          <w:tcPr>
            <w:tcW w:w="3802" w:type="dxa"/>
            <w:shd w:val="clear" w:color="auto" w:fill="auto"/>
          </w:tcPr>
          <w:p w14:paraId="69B3B101" w14:textId="7B52BE41"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00426F17">
              <w:rPr>
                <w:sz w:val="22"/>
                <w:szCs w:val="22"/>
              </w:rPr>
              <w:t>Praze</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46F31914" w:rsidR="00094B12" w:rsidRPr="001150C5" w:rsidRDefault="00426F17" w:rsidP="000E79CE">
            <w:pPr>
              <w:pStyle w:val="slovn"/>
              <w:numPr>
                <w:ilvl w:val="0"/>
                <w:numId w:val="0"/>
              </w:numPr>
              <w:tabs>
                <w:tab w:val="num" w:pos="567"/>
              </w:tabs>
              <w:spacing w:after="0" w:line="280" w:lineRule="atLeast"/>
              <w:jc w:val="center"/>
              <w:rPr>
                <w:b/>
                <w:sz w:val="22"/>
                <w:szCs w:val="22"/>
              </w:rPr>
            </w:pPr>
            <w:r>
              <w:rPr>
                <w:b/>
                <w:sz w:val="22"/>
                <w:szCs w:val="22"/>
              </w:rPr>
              <w:t xml:space="preserve">Carl </w:t>
            </w:r>
            <w:proofErr w:type="spellStart"/>
            <w:r>
              <w:rPr>
                <w:b/>
                <w:sz w:val="22"/>
                <w:szCs w:val="22"/>
              </w:rPr>
              <w:t>Zeiss</w:t>
            </w:r>
            <w:proofErr w:type="spellEnd"/>
            <w:r>
              <w:rPr>
                <w:b/>
                <w:sz w:val="22"/>
                <w:szCs w:val="22"/>
              </w:rPr>
              <w:t xml:space="preserve"> spol. s r.o.</w:t>
            </w:r>
          </w:p>
          <w:p w14:paraId="17D23793" w14:textId="76D8E7B1" w:rsidR="00094B12" w:rsidRPr="00D722DC" w:rsidRDefault="00426F17" w:rsidP="000E79CE">
            <w:pPr>
              <w:pStyle w:val="slovn"/>
              <w:numPr>
                <w:ilvl w:val="0"/>
                <w:numId w:val="0"/>
              </w:numPr>
              <w:tabs>
                <w:tab w:val="num" w:pos="567"/>
              </w:tabs>
              <w:spacing w:after="0" w:line="280" w:lineRule="atLeast"/>
              <w:jc w:val="center"/>
              <w:rPr>
                <w:sz w:val="22"/>
                <w:szCs w:val="22"/>
              </w:rPr>
            </w:pPr>
            <w:r>
              <w:rPr>
                <w:sz w:val="22"/>
                <w:szCs w:val="22"/>
              </w:rPr>
              <w:t xml:space="preserve">Ing. Nikola </w:t>
            </w:r>
            <w:proofErr w:type="spellStart"/>
            <w:r>
              <w:rPr>
                <w:sz w:val="22"/>
                <w:szCs w:val="22"/>
              </w:rPr>
              <w:t>Hlůžová</w:t>
            </w:r>
            <w:proofErr w:type="spellEnd"/>
            <w:r>
              <w:rPr>
                <w:sz w:val="22"/>
                <w:szCs w:val="22"/>
              </w:rPr>
              <w:t>, MBA, prokuristka</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18FDD3" w:rsidR="00094B12" w:rsidRPr="001150C5" w:rsidRDefault="00094B12" w:rsidP="00F83E0D">
            <w:pPr>
              <w:pStyle w:val="slovn"/>
              <w:numPr>
                <w:ilvl w:val="0"/>
                <w:numId w:val="0"/>
              </w:numPr>
              <w:tabs>
                <w:tab w:val="num" w:pos="567"/>
              </w:tabs>
              <w:spacing w:after="0" w:line="280" w:lineRule="atLeast"/>
              <w:jc w:val="center"/>
              <w:rPr>
                <w:sz w:val="22"/>
                <w:szCs w:val="22"/>
              </w:rPr>
            </w:pPr>
            <w:r w:rsidRPr="001150C5">
              <w:rPr>
                <w:sz w:val="22"/>
                <w:szCs w:val="22"/>
              </w:rPr>
              <w:t xml:space="preserve">MUDr. </w:t>
            </w:r>
            <w:r w:rsidR="00F83E0D">
              <w:rPr>
                <w:sz w:val="22"/>
                <w:szCs w:val="22"/>
              </w:rPr>
              <w:t>Ivo Rovný</w:t>
            </w:r>
            <w:r w:rsidRPr="001150C5">
              <w:rPr>
                <w:sz w:val="22"/>
                <w:szCs w:val="22"/>
              </w:rPr>
              <w:t xml:space="preserve">, </w:t>
            </w:r>
            <w:r w:rsidR="00F83E0D">
              <w:rPr>
                <w:sz w:val="22"/>
                <w:szCs w:val="22"/>
              </w:rPr>
              <w:t>MBA</w:t>
            </w:r>
            <w:r w:rsidRPr="001150C5">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4C6FE1CE" w14:textId="79C4B1C7" w:rsidR="00426F17" w:rsidRDefault="00426F17">
      <w:pPr>
        <w:spacing w:line="240" w:lineRule="auto"/>
        <w:jc w:val="left"/>
      </w:pPr>
    </w:p>
    <w:p w14:paraId="09E51F20" w14:textId="35E7BD9B" w:rsidR="00426F17" w:rsidRDefault="00426F17">
      <w:pPr>
        <w:spacing w:line="240" w:lineRule="auto"/>
        <w:jc w:val="left"/>
      </w:pPr>
    </w:p>
    <w:p w14:paraId="1661B8E1" w14:textId="3DFE53D9" w:rsidR="00426F17" w:rsidRDefault="00426F17">
      <w:pPr>
        <w:spacing w:line="240" w:lineRule="auto"/>
        <w:jc w:val="left"/>
      </w:pPr>
    </w:p>
    <w:p w14:paraId="60E389F1" w14:textId="77777777" w:rsidR="00426F17" w:rsidRDefault="00426F17">
      <w:pPr>
        <w:spacing w:line="240" w:lineRule="auto"/>
        <w:jc w:val="left"/>
      </w:pPr>
    </w:p>
    <w:tbl>
      <w:tblPr>
        <w:tblW w:w="0" w:type="auto"/>
        <w:tblInd w:w="567" w:type="dxa"/>
        <w:tblLook w:val="04A0" w:firstRow="1" w:lastRow="0" w:firstColumn="1" w:lastColumn="0" w:noHBand="0" w:noVBand="1"/>
      </w:tblPr>
      <w:tblGrid>
        <w:gridCol w:w="3889"/>
      </w:tblGrid>
      <w:tr w:rsidR="00426F17" w:rsidRPr="00D722DC" w14:paraId="717B9478" w14:textId="77777777" w:rsidTr="007D47AE">
        <w:tc>
          <w:tcPr>
            <w:tcW w:w="3889" w:type="dxa"/>
            <w:tcBorders>
              <w:bottom w:val="single" w:sz="4" w:space="0" w:color="auto"/>
            </w:tcBorders>
            <w:shd w:val="clear" w:color="auto" w:fill="auto"/>
          </w:tcPr>
          <w:p w14:paraId="7B366989" w14:textId="77777777" w:rsidR="00426F17" w:rsidRPr="00D722DC" w:rsidRDefault="00426F17" w:rsidP="007D47AE">
            <w:pPr>
              <w:pStyle w:val="slovn"/>
              <w:numPr>
                <w:ilvl w:val="0"/>
                <w:numId w:val="0"/>
              </w:numPr>
              <w:tabs>
                <w:tab w:val="num" w:pos="567"/>
              </w:tabs>
              <w:spacing w:after="0" w:line="280" w:lineRule="atLeast"/>
              <w:rPr>
                <w:sz w:val="22"/>
                <w:szCs w:val="22"/>
              </w:rPr>
            </w:pPr>
          </w:p>
        </w:tc>
      </w:tr>
      <w:tr w:rsidR="00426F17" w:rsidRPr="001150C5" w14:paraId="337D9208" w14:textId="77777777" w:rsidTr="007D47AE">
        <w:tc>
          <w:tcPr>
            <w:tcW w:w="3889" w:type="dxa"/>
            <w:tcBorders>
              <w:top w:val="single" w:sz="4" w:space="0" w:color="auto"/>
            </w:tcBorders>
            <w:shd w:val="clear" w:color="auto" w:fill="auto"/>
          </w:tcPr>
          <w:p w14:paraId="2CFBA86C" w14:textId="000E947E" w:rsidR="00426F17" w:rsidRPr="00D722DC" w:rsidRDefault="00426F17" w:rsidP="007D47AE">
            <w:pPr>
              <w:pStyle w:val="slovn"/>
              <w:numPr>
                <w:ilvl w:val="0"/>
                <w:numId w:val="0"/>
              </w:numPr>
              <w:tabs>
                <w:tab w:val="num" w:pos="567"/>
              </w:tabs>
              <w:spacing w:after="0" w:line="280" w:lineRule="atLeast"/>
              <w:jc w:val="center"/>
              <w:rPr>
                <w:b/>
                <w:sz w:val="22"/>
                <w:szCs w:val="22"/>
              </w:rPr>
            </w:pPr>
            <w:r>
              <w:rPr>
                <w:b/>
                <w:sz w:val="22"/>
                <w:szCs w:val="22"/>
              </w:rPr>
              <w:t xml:space="preserve">Carl </w:t>
            </w:r>
            <w:proofErr w:type="spellStart"/>
            <w:r>
              <w:rPr>
                <w:b/>
                <w:sz w:val="22"/>
                <w:szCs w:val="22"/>
              </w:rPr>
              <w:t>Zeiss</w:t>
            </w:r>
            <w:proofErr w:type="spellEnd"/>
            <w:r>
              <w:rPr>
                <w:b/>
                <w:sz w:val="22"/>
                <w:szCs w:val="22"/>
              </w:rPr>
              <w:t xml:space="preserve"> spol. s r.o.</w:t>
            </w:r>
          </w:p>
          <w:p w14:paraId="4D78EF35" w14:textId="52AA08F9" w:rsidR="00426F17" w:rsidRPr="001150C5" w:rsidRDefault="00426F17" w:rsidP="007D47AE">
            <w:pPr>
              <w:pStyle w:val="slovn"/>
              <w:numPr>
                <w:ilvl w:val="0"/>
                <w:numId w:val="0"/>
              </w:numPr>
              <w:tabs>
                <w:tab w:val="num" w:pos="567"/>
              </w:tabs>
              <w:spacing w:after="0" w:line="280" w:lineRule="atLeast"/>
              <w:jc w:val="center"/>
              <w:rPr>
                <w:sz w:val="22"/>
                <w:szCs w:val="22"/>
              </w:rPr>
            </w:pPr>
            <w:r>
              <w:rPr>
                <w:sz w:val="22"/>
                <w:szCs w:val="22"/>
              </w:rPr>
              <w:t>Allan Mrkvička</w:t>
            </w:r>
            <w:r w:rsidRPr="001150C5">
              <w:rPr>
                <w:sz w:val="22"/>
                <w:szCs w:val="22"/>
              </w:rPr>
              <w:t xml:space="preserve">, </w:t>
            </w:r>
            <w:r>
              <w:rPr>
                <w:sz w:val="22"/>
                <w:szCs w:val="22"/>
              </w:rPr>
              <w:t>MBA</w:t>
            </w:r>
            <w:r w:rsidRPr="001150C5">
              <w:rPr>
                <w:sz w:val="22"/>
                <w:szCs w:val="22"/>
              </w:rPr>
              <w:t xml:space="preserve">, </w:t>
            </w:r>
            <w:r>
              <w:rPr>
                <w:sz w:val="22"/>
                <w:szCs w:val="22"/>
              </w:rPr>
              <w:t>prokurista</w:t>
            </w:r>
          </w:p>
        </w:tc>
      </w:tr>
    </w:tbl>
    <w:p w14:paraId="24111A61" w14:textId="6BE507FA" w:rsidR="00094B12" w:rsidRDefault="00094B12">
      <w:pPr>
        <w:spacing w:line="240" w:lineRule="auto"/>
        <w:jc w:val="left"/>
      </w:pPr>
    </w:p>
    <w:p w14:paraId="072A10B1" w14:textId="77777777" w:rsidR="00426F17" w:rsidRDefault="00426F17" w:rsidP="00094B12">
      <w:pPr>
        <w:jc w:val="center"/>
        <w:rPr>
          <w:b/>
        </w:rPr>
      </w:pPr>
    </w:p>
    <w:p w14:paraId="6A2C9826" w14:textId="77777777" w:rsidR="00426F17" w:rsidRDefault="00426F17" w:rsidP="00094B12">
      <w:pPr>
        <w:jc w:val="center"/>
        <w:rPr>
          <w:b/>
        </w:rPr>
      </w:pPr>
    </w:p>
    <w:p w14:paraId="68A19ED8" w14:textId="77777777" w:rsidR="00426F17" w:rsidRDefault="00426F17" w:rsidP="00094B12">
      <w:pPr>
        <w:jc w:val="center"/>
        <w:rPr>
          <w:b/>
        </w:rPr>
      </w:pPr>
    </w:p>
    <w:p w14:paraId="0F662013" w14:textId="0A49B6A7" w:rsidR="00426F17" w:rsidRDefault="00426F17" w:rsidP="00094B12">
      <w:pPr>
        <w:jc w:val="center"/>
        <w:rPr>
          <w:b/>
        </w:rPr>
      </w:pPr>
    </w:p>
    <w:p w14:paraId="48F0CF14" w14:textId="594504C3" w:rsidR="00F55227" w:rsidRDefault="00F55227" w:rsidP="00094B12">
      <w:pPr>
        <w:jc w:val="center"/>
        <w:rPr>
          <w:b/>
        </w:rPr>
      </w:pPr>
    </w:p>
    <w:p w14:paraId="47D48627" w14:textId="77777777" w:rsidR="00F55227" w:rsidRDefault="00F55227" w:rsidP="00094B12">
      <w:pPr>
        <w:jc w:val="center"/>
        <w:rPr>
          <w:b/>
        </w:rPr>
      </w:pPr>
    </w:p>
    <w:p w14:paraId="5869C330" w14:textId="1B57B922"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22A0C77B" w:rsidR="00094B12" w:rsidRDefault="00094B12" w:rsidP="00094B12">
      <w:pPr>
        <w:jc w:val="center"/>
        <w:rPr>
          <w:b/>
        </w:rPr>
      </w:pPr>
      <w:r w:rsidRPr="000729CF">
        <w:rPr>
          <w:b/>
        </w:rPr>
        <w:t xml:space="preserve">Detailní specifikace </w:t>
      </w:r>
      <w:r w:rsidR="00F83E0D">
        <w:rPr>
          <w:b/>
        </w:rPr>
        <w:t>Zboží, Služeb a Montáže</w:t>
      </w:r>
    </w:p>
    <w:p w14:paraId="46EF4B78" w14:textId="77777777" w:rsidR="00094B12" w:rsidRDefault="00094B12" w:rsidP="00094B12"/>
    <w:p w14:paraId="540D04E3" w14:textId="3C3F2BBC" w:rsidR="00F55227" w:rsidRDefault="00F55227" w:rsidP="00F55227">
      <w:pPr>
        <w:rPr>
          <w:b/>
          <w:i/>
          <w:sz w:val="28"/>
          <w:szCs w:val="28"/>
        </w:rPr>
      </w:pPr>
      <w:r>
        <w:rPr>
          <w:b/>
          <w:i/>
          <w:sz w:val="28"/>
          <w:szCs w:val="28"/>
        </w:rPr>
        <w:t>Počítačový perimetr HFA3 850:</w:t>
      </w:r>
    </w:p>
    <w:p w14:paraId="128159CD" w14:textId="77777777" w:rsidR="00F55227" w:rsidRDefault="00F55227" w:rsidP="00F55227">
      <w:pPr>
        <w:rPr>
          <w:b/>
          <w:i/>
          <w:sz w:val="28"/>
          <w:szCs w:val="28"/>
        </w:rPr>
      </w:pPr>
    </w:p>
    <w:p w14:paraId="075EBF14" w14:textId="77777777" w:rsidR="00F55227" w:rsidRDefault="00F55227" w:rsidP="00F55227">
      <w:pPr>
        <w:rPr>
          <w:b/>
          <w:i/>
          <w:sz w:val="28"/>
          <w:szCs w:val="28"/>
        </w:rPr>
      </w:pPr>
    </w:p>
    <w:p w14:paraId="58D51F2E" w14:textId="77777777" w:rsidR="00F55227" w:rsidRDefault="00F55227" w:rsidP="00F55227">
      <w:pPr>
        <w:numPr>
          <w:ilvl w:val="0"/>
          <w:numId w:val="15"/>
        </w:numPr>
        <w:spacing w:line="240" w:lineRule="auto"/>
        <w:rPr>
          <w:sz w:val="24"/>
          <w:szCs w:val="24"/>
        </w:rPr>
      </w:pPr>
      <w:r>
        <w:rPr>
          <w:sz w:val="24"/>
          <w:szCs w:val="24"/>
        </w:rPr>
        <w:t xml:space="preserve">Splňuje nejnáročnější požadavky kladené na včasnou detekci glaukomu a využití </w:t>
      </w:r>
      <w:proofErr w:type="spellStart"/>
      <w:r>
        <w:rPr>
          <w:sz w:val="24"/>
          <w:szCs w:val="24"/>
        </w:rPr>
        <w:t>perimetrie</w:t>
      </w:r>
      <w:proofErr w:type="spellEnd"/>
      <w:r>
        <w:rPr>
          <w:sz w:val="24"/>
          <w:szCs w:val="24"/>
        </w:rPr>
        <w:t xml:space="preserve"> v </w:t>
      </w:r>
      <w:proofErr w:type="spellStart"/>
      <w:r>
        <w:rPr>
          <w:sz w:val="24"/>
          <w:szCs w:val="24"/>
        </w:rPr>
        <w:t>neurooftalmologii</w:t>
      </w:r>
      <w:proofErr w:type="spellEnd"/>
    </w:p>
    <w:p w14:paraId="031A1B67" w14:textId="77777777" w:rsidR="00F55227" w:rsidRDefault="00F55227" w:rsidP="00F55227">
      <w:pPr>
        <w:numPr>
          <w:ilvl w:val="0"/>
          <w:numId w:val="15"/>
        </w:numPr>
        <w:spacing w:line="240" w:lineRule="auto"/>
        <w:rPr>
          <w:sz w:val="24"/>
          <w:szCs w:val="24"/>
        </w:rPr>
      </w:pPr>
      <w:r>
        <w:rPr>
          <w:sz w:val="24"/>
          <w:szCs w:val="24"/>
        </w:rPr>
        <w:t>Rozsah vyšetřovaného pole – 90° v nazální i temporální rovině</w:t>
      </w:r>
    </w:p>
    <w:p w14:paraId="1B9A0348" w14:textId="77777777" w:rsidR="00F55227" w:rsidRDefault="00F55227" w:rsidP="00F55227">
      <w:pPr>
        <w:numPr>
          <w:ilvl w:val="0"/>
          <w:numId w:val="15"/>
        </w:numPr>
        <w:spacing w:line="240" w:lineRule="auto"/>
        <w:rPr>
          <w:sz w:val="24"/>
          <w:szCs w:val="24"/>
        </w:rPr>
      </w:pPr>
      <w:r>
        <w:rPr>
          <w:sz w:val="24"/>
          <w:szCs w:val="24"/>
        </w:rPr>
        <w:t>Délka stimulu 200ms</w:t>
      </w:r>
    </w:p>
    <w:p w14:paraId="7E7C91DC" w14:textId="1689B706" w:rsidR="00F55227" w:rsidRDefault="00F55227" w:rsidP="00F55227">
      <w:pPr>
        <w:numPr>
          <w:ilvl w:val="0"/>
          <w:numId w:val="15"/>
        </w:numPr>
        <w:spacing w:line="240" w:lineRule="auto"/>
        <w:rPr>
          <w:sz w:val="24"/>
          <w:szCs w:val="24"/>
        </w:rPr>
      </w:pPr>
      <w:r>
        <w:rPr>
          <w:sz w:val="24"/>
          <w:szCs w:val="24"/>
        </w:rPr>
        <w:t>Osvětlení pozadí 31,5 ASB</w:t>
      </w:r>
    </w:p>
    <w:p w14:paraId="0BF49851" w14:textId="77777777" w:rsidR="00F55227" w:rsidRDefault="00F55227" w:rsidP="00F55227">
      <w:pPr>
        <w:numPr>
          <w:ilvl w:val="0"/>
          <w:numId w:val="15"/>
        </w:numPr>
        <w:spacing w:line="240" w:lineRule="auto"/>
        <w:rPr>
          <w:sz w:val="24"/>
          <w:szCs w:val="24"/>
        </w:rPr>
      </w:pPr>
      <w:r>
        <w:rPr>
          <w:sz w:val="24"/>
          <w:szCs w:val="24"/>
        </w:rPr>
        <w:t>V rámci softwarového vybavení je k dispozici knihovna testů pro centrální i periferní část zorného pole v provedení screeningovém i prahovém</w:t>
      </w:r>
    </w:p>
    <w:p w14:paraId="41840469" w14:textId="77777777" w:rsidR="00F55227" w:rsidRDefault="00F55227" w:rsidP="00F55227">
      <w:pPr>
        <w:numPr>
          <w:ilvl w:val="0"/>
          <w:numId w:val="16"/>
        </w:numPr>
        <w:spacing w:line="240" w:lineRule="auto"/>
        <w:rPr>
          <w:sz w:val="24"/>
          <w:szCs w:val="24"/>
        </w:rPr>
      </w:pPr>
      <w:r>
        <w:rPr>
          <w:sz w:val="24"/>
          <w:szCs w:val="24"/>
        </w:rPr>
        <w:t xml:space="preserve">Umožňuje statickou modro – žlutou </w:t>
      </w:r>
      <w:proofErr w:type="spellStart"/>
      <w:r>
        <w:rPr>
          <w:sz w:val="24"/>
          <w:szCs w:val="24"/>
        </w:rPr>
        <w:t>perimetrii</w:t>
      </w:r>
      <w:proofErr w:type="spellEnd"/>
    </w:p>
    <w:p w14:paraId="00AA17B3" w14:textId="77777777" w:rsidR="00F55227" w:rsidRDefault="00F55227" w:rsidP="00F55227">
      <w:pPr>
        <w:numPr>
          <w:ilvl w:val="0"/>
          <w:numId w:val="16"/>
        </w:numPr>
        <w:spacing w:line="240" w:lineRule="auto"/>
        <w:rPr>
          <w:sz w:val="24"/>
          <w:szCs w:val="24"/>
        </w:rPr>
      </w:pPr>
      <w:r>
        <w:rPr>
          <w:sz w:val="24"/>
          <w:szCs w:val="24"/>
        </w:rPr>
        <w:t xml:space="preserve">Umožnuje červenou nebo modrou na bílé </w:t>
      </w:r>
      <w:proofErr w:type="spellStart"/>
      <w:r>
        <w:rPr>
          <w:sz w:val="24"/>
          <w:szCs w:val="24"/>
        </w:rPr>
        <w:t>perimetrii</w:t>
      </w:r>
      <w:proofErr w:type="spellEnd"/>
    </w:p>
    <w:p w14:paraId="185BE28E" w14:textId="77777777" w:rsidR="00F55227" w:rsidRDefault="00F55227" w:rsidP="00F55227">
      <w:pPr>
        <w:numPr>
          <w:ilvl w:val="0"/>
          <w:numId w:val="17"/>
        </w:numPr>
        <w:spacing w:line="240" w:lineRule="auto"/>
        <w:rPr>
          <w:sz w:val="24"/>
          <w:szCs w:val="24"/>
        </w:rPr>
      </w:pPr>
      <w:r>
        <w:rPr>
          <w:sz w:val="24"/>
          <w:szCs w:val="24"/>
        </w:rPr>
        <w:t xml:space="preserve">Umožňuje klasickou kinetickou </w:t>
      </w:r>
      <w:proofErr w:type="spellStart"/>
      <w:r>
        <w:rPr>
          <w:sz w:val="24"/>
          <w:szCs w:val="24"/>
        </w:rPr>
        <w:t>perimetrii</w:t>
      </w:r>
      <w:proofErr w:type="spellEnd"/>
    </w:p>
    <w:p w14:paraId="180F21BA" w14:textId="77777777" w:rsidR="00F55227" w:rsidRDefault="00F55227" w:rsidP="00F55227">
      <w:pPr>
        <w:numPr>
          <w:ilvl w:val="0"/>
          <w:numId w:val="17"/>
        </w:numPr>
        <w:spacing w:line="240" w:lineRule="auto"/>
        <w:rPr>
          <w:sz w:val="24"/>
          <w:szCs w:val="24"/>
        </w:rPr>
      </w:pPr>
      <w:r>
        <w:rPr>
          <w:sz w:val="24"/>
          <w:szCs w:val="24"/>
        </w:rPr>
        <w:t xml:space="preserve">Veškerá vyšetření jsou vztažena na </w:t>
      </w:r>
      <w:proofErr w:type="spellStart"/>
      <w:r>
        <w:rPr>
          <w:sz w:val="24"/>
          <w:szCs w:val="24"/>
        </w:rPr>
        <w:t>Goldmannův</w:t>
      </w:r>
      <w:proofErr w:type="spellEnd"/>
      <w:r>
        <w:rPr>
          <w:sz w:val="24"/>
          <w:szCs w:val="24"/>
        </w:rPr>
        <w:t xml:space="preserve"> standard I-V</w:t>
      </w:r>
    </w:p>
    <w:p w14:paraId="178DAE22" w14:textId="315B60BB" w:rsidR="00F55227" w:rsidRPr="00AB7EF8" w:rsidRDefault="00F55227" w:rsidP="00F55227">
      <w:pPr>
        <w:numPr>
          <w:ilvl w:val="0"/>
          <w:numId w:val="17"/>
        </w:numPr>
        <w:spacing w:line="240" w:lineRule="auto"/>
        <w:rPr>
          <w:sz w:val="24"/>
          <w:szCs w:val="24"/>
        </w:rPr>
      </w:pPr>
      <w:r w:rsidRPr="00AB7EF8">
        <w:rPr>
          <w:sz w:val="24"/>
          <w:szCs w:val="24"/>
        </w:rPr>
        <w:t>V průběhu vyšetření je kontrolována fixace pacienta třemi nezávislými způsoby (monitorováním slepé skvrny, monitorováním polohy pacientova oka na obrazovce – vizuálně, monitorováním polohy pacientova oka pomocí infračerveného detektoru)</w:t>
      </w:r>
    </w:p>
    <w:p w14:paraId="315E0A1C" w14:textId="77777777" w:rsidR="00F55227" w:rsidRDefault="00F55227" w:rsidP="00F55227">
      <w:pPr>
        <w:numPr>
          <w:ilvl w:val="0"/>
          <w:numId w:val="18"/>
        </w:numPr>
        <w:spacing w:line="240" w:lineRule="auto"/>
        <w:rPr>
          <w:sz w:val="24"/>
          <w:szCs w:val="24"/>
        </w:rPr>
      </w:pPr>
      <w:r>
        <w:rPr>
          <w:sz w:val="24"/>
          <w:szCs w:val="24"/>
        </w:rPr>
        <w:t>Každý zvolený test může probíhat s různými parametry (velikost stimulu, barva stimulu, prostor fixace pacienta, strategie vyšetření atd.)</w:t>
      </w:r>
    </w:p>
    <w:p w14:paraId="7FB69565" w14:textId="77777777" w:rsidR="00F55227" w:rsidRDefault="00F55227" w:rsidP="00F55227">
      <w:pPr>
        <w:numPr>
          <w:ilvl w:val="0"/>
          <w:numId w:val="18"/>
        </w:numPr>
        <w:spacing w:line="240" w:lineRule="auto"/>
        <w:rPr>
          <w:sz w:val="24"/>
          <w:szCs w:val="24"/>
        </w:rPr>
      </w:pPr>
      <w:r>
        <w:rPr>
          <w:sz w:val="24"/>
          <w:szCs w:val="24"/>
        </w:rPr>
        <w:t>Přehrávání měření oka na monitoru</w:t>
      </w:r>
    </w:p>
    <w:p w14:paraId="1A8E353F" w14:textId="77777777" w:rsidR="00F55227" w:rsidRDefault="00F55227" w:rsidP="00F55227">
      <w:pPr>
        <w:numPr>
          <w:ilvl w:val="0"/>
          <w:numId w:val="18"/>
        </w:numPr>
        <w:spacing w:line="240" w:lineRule="auto"/>
        <w:rPr>
          <w:sz w:val="24"/>
          <w:szCs w:val="24"/>
        </w:rPr>
      </w:pPr>
      <w:r>
        <w:rPr>
          <w:sz w:val="24"/>
          <w:szCs w:val="24"/>
        </w:rPr>
        <w:t>Přístroj je projekční perimetr</w:t>
      </w:r>
    </w:p>
    <w:p w14:paraId="5C9D832F" w14:textId="77777777" w:rsidR="00F55227" w:rsidRDefault="00F55227" w:rsidP="00F55227">
      <w:pPr>
        <w:numPr>
          <w:ilvl w:val="0"/>
          <w:numId w:val="18"/>
        </w:numPr>
        <w:spacing w:line="240" w:lineRule="auto"/>
        <w:rPr>
          <w:sz w:val="24"/>
          <w:szCs w:val="24"/>
        </w:rPr>
      </w:pPr>
      <w:r>
        <w:rPr>
          <w:sz w:val="24"/>
          <w:szCs w:val="24"/>
        </w:rPr>
        <w:t xml:space="preserve">Pro snížení náročnosti vyšetření jsou použity speciální programy SITA Standard, SITA Fast, </w:t>
      </w:r>
      <w:proofErr w:type="spellStart"/>
      <w:r>
        <w:rPr>
          <w:sz w:val="24"/>
          <w:szCs w:val="24"/>
        </w:rPr>
        <w:t>FastPac</w:t>
      </w:r>
      <w:proofErr w:type="spellEnd"/>
      <w:r>
        <w:rPr>
          <w:sz w:val="24"/>
          <w:szCs w:val="24"/>
        </w:rPr>
        <w:t xml:space="preserve"> – tyto programy urychlují testování a snižují testovací dobu až o 60%</w:t>
      </w:r>
    </w:p>
    <w:p w14:paraId="21BE7EFD" w14:textId="77777777" w:rsidR="00F55227" w:rsidRDefault="00F55227" w:rsidP="00F55227">
      <w:pPr>
        <w:numPr>
          <w:ilvl w:val="0"/>
          <w:numId w:val="19"/>
        </w:numPr>
        <w:spacing w:line="240" w:lineRule="auto"/>
        <w:rPr>
          <w:sz w:val="24"/>
          <w:szCs w:val="24"/>
        </w:rPr>
      </w:pPr>
      <w:r>
        <w:rPr>
          <w:sz w:val="24"/>
          <w:szCs w:val="24"/>
        </w:rPr>
        <w:t>Umožňuje statistické porovnávání výsledků testů s průměrnými hodnotami podle věkových skupin</w:t>
      </w:r>
    </w:p>
    <w:p w14:paraId="241A6C61" w14:textId="77777777" w:rsidR="00F55227" w:rsidRDefault="00F55227" w:rsidP="00F55227">
      <w:pPr>
        <w:numPr>
          <w:ilvl w:val="0"/>
          <w:numId w:val="20"/>
        </w:numPr>
        <w:spacing w:line="240" w:lineRule="auto"/>
        <w:rPr>
          <w:sz w:val="24"/>
          <w:szCs w:val="24"/>
        </w:rPr>
      </w:pPr>
      <w:r>
        <w:rPr>
          <w:sz w:val="24"/>
          <w:szCs w:val="24"/>
        </w:rPr>
        <w:t>Umožňuje porovnávání testů jednoho pacienta v časovém odstupu vyšetření (rychlé a jednoznačné posouzení vývoje choroby)</w:t>
      </w:r>
    </w:p>
    <w:p w14:paraId="24BC8F1F" w14:textId="77777777" w:rsidR="00F55227" w:rsidRDefault="00F55227" w:rsidP="00F55227">
      <w:pPr>
        <w:numPr>
          <w:ilvl w:val="0"/>
          <w:numId w:val="20"/>
        </w:numPr>
        <w:spacing w:line="240" w:lineRule="auto"/>
        <w:rPr>
          <w:sz w:val="24"/>
          <w:szCs w:val="24"/>
        </w:rPr>
      </w:pPr>
      <w:r>
        <w:rPr>
          <w:sz w:val="24"/>
          <w:szCs w:val="24"/>
        </w:rPr>
        <w:t xml:space="preserve">U dlouhodobě sledovaných pacientů umožňuje software počítačového perimetru analýzu vývoje choroby (tzv. </w:t>
      </w:r>
      <w:proofErr w:type="spellStart"/>
      <w:r>
        <w:rPr>
          <w:sz w:val="24"/>
          <w:szCs w:val="24"/>
        </w:rPr>
        <w:t>Glaucoma</w:t>
      </w:r>
      <w:proofErr w:type="spellEnd"/>
      <w:r>
        <w:rPr>
          <w:sz w:val="24"/>
          <w:szCs w:val="24"/>
        </w:rPr>
        <w:t xml:space="preserve"> </w:t>
      </w:r>
      <w:proofErr w:type="spellStart"/>
      <w:r>
        <w:rPr>
          <w:sz w:val="24"/>
          <w:szCs w:val="24"/>
        </w:rPr>
        <w:t>Progresse</w:t>
      </w:r>
      <w:proofErr w:type="spellEnd"/>
      <w:r>
        <w:rPr>
          <w:sz w:val="24"/>
          <w:szCs w:val="24"/>
        </w:rPr>
        <w:t xml:space="preserve"> Analyse – GPA) </w:t>
      </w:r>
    </w:p>
    <w:p w14:paraId="70CB4F7B" w14:textId="60FB1DC1" w:rsidR="00F55227" w:rsidRDefault="00F55227" w:rsidP="00F55227">
      <w:pPr>
        <w:numPr>
          <w:ilvl w:val="0"/>
          <w:numId w:val="20"/>
        </w:numPr>
        <w:spacing w:line="240" w:lineRule="auto"/>
        <w:rPr>
          <w:sz w:val="24"/>
          <w:szCs w:val="24"/>
        </w:rPr>
      </w:pPr>
      <w:r>
        <w:rPr>
          <w:sz w:val="24"/>
          <w:szCs w:val="24"/>
        </w:rPr>
        <w:t xml:space="preserve">Glaukomový </w:t>
      </w:r>
      <w:proofErr w:type="spellStart"/>
      <w:r>
        <w:rPr>
          <w:sz w:val="24"/>
          <w:szCs w:val="24"/>
        </w:rPr>
        <w:t>Hemifield</w:t>
      </w:r>
      <w:proofErr w:type="spellEnd"/>
      <w:r>
        <w:rPr>
          <w:sz w:val="24"/>
          <w:szCs w:val="24"/>
        </w:rPr>
        <w:t xml:space="preserve"> Test (GHT)</w:t>
      </w:r>
    </w:p>
    <w:p w14:paraId="42B51CDE" w14:textId="77777777" w:rsidR="00F55227" w:rsidRPr="00CB6968" w:rsidRDefault="00F55227" w:rsidP="00F55227">
      <w:pPr>
        <w:numPr>
          <w:ilvl w:val="0"/>
          <w:numId w:val="20"/>
        </w:numPr>
        <w:spacing w:line="240" w:lineRule="auto"/>
        <w:rPr>
          <w:sz w:val="24"/>
          <w:szCs w:val="24"/>
        </w:rPr>
      </w:pPr>
      <w:r w:rsidRPr="00CB6968">
        <w:rPr>
          <w:sz w:val="24"/>
          <w:szCs w:val="24"/>
        </w:rPr>
        <w:t xml:space="preserve">Další sw. analýzy SITA standard, SITA Fast, Full </w:t>
      </w:r>
      <w:proofErr w:type="spellStart"/>
      <w:r w:rsidRPr="00CB6968">
        <w:rPr>
          <w:sz w:val="24"/>
          <w:szCs w:val="24"/>
        </w:rPr>
        <w:t>Threshold</w:t>
      </w:r>
      <w:proofErr w:type="spellEnd"/>
      <w:r w:rsidRPr="00CB6968">
        <w:rPr>
          <w:sz w:val="24"/>
          <w:szCs w:val="24"/>
        </w:rPr>
        <w:t xml:space="preserve">, Fast Pac analýza jednoho a více polí, SITA-SWAP </w:t>
      </w:r>
    </w:p>
    <w:p w14:paraId="39213BCD" w14:textId="77777777" w:rsidR="00F55227" w:rsidRDefault="00F55227" w:rsidP="00F55227">
      <w:pPr>
        <w:numPr>
          <w:ilvl w:val="0"/>
          <w:numId w:val="20"/>
        </w:numPr>
        <w:spacing w:line="240" w:lineRule="auto"/>
        <w:rPr>
          <w:sz w:val="24"/>
          <w:szCs w:val="24"/>
        </w:rPr>
      </w:pPr>
      <w:r>
        <w:rPr>
          <w:sz w:val="24"/>
          <w:szCs w:val="24"/>
        </w:rPr>
        <w:t xml:space="preserve">Speciální testy: </w:t>
      </w:r>
      <w:proofErr w:type="spellStart"/>
      <w:r>
        <w:rPr>
          <w:sz w:val="24"/>
          <w:szCs w:val="24"/>
        </w:rPr>
        <w:t>Estermanův</w:t>
      </w:r>
      <w:proofErr w:type="spellEnd"/>
      <w:r>
        <w:rPr>
          <w:sz w:val="24"/>
          <w:szCs w:val="24"/>
        </w:rPr>
        <w:t xml:space="preserve"> monokulární, </w:t>
      </w:r>
      <w:proofErr w:type="spellStart"/>
      <w:r>
        <w:rPr>
          <w:sz w:val="24"/>
          <w:szCs w:val="24"/>
        </w:rPr>
        <w:t>Estermanův</w:t>
      </w:r>
      <w:proofErr w:type="spellEnd"/>
      <w:r>
        <w:rPr>
          <w:sz w:val="24"/>
          <w:szCs w:val="24"/>
        </w:rPr>
        <w:t xml:space="preserve"> binokulární, Superior </w:t>
      </w:r>
      <w:proofErr w:type="gramStart"/>
      <w:r>
        <w:rPr>
          <w:sz w:val="24"/>
          <w:szCs w:val="24"/>
        </w:rPr>
        <w:t>36,Superior</w:t>
      </w:r>
      <w:proofErr w:type="gramEnd"/>
      <w:r>
        <w:rPr>
          <w:sz w:val="24"/>
          <w:szCs w:val="24"/>
        </w:rPr>
        <w:t xml:space="preserve"> 64, kinetické testování, obyčejné kinetické testování, obyčejné statické testování</w:t>
      </w:r>
    </w:p>
    <w:p w14:paraId="4B00086E" w14:textId="1CB166EF" w:rsidR="00F55227" w:rsidRDefault="00F55227" w:rsidP="00F55227">
      <w:pPr>
        <w:numPr>
          <w:ilvl w:val="0"/>
          <w:numId w:val="20"/>
        </w:numPr>
        <w:spacing w:line="240" w:lineRule="auto"/>
        <w:rPr>
          <w:sz w:val="24"/>
          <w:szCs w:val="24"/>
        </w:rPr>
      </w:pPr>
      <w:r>
        <w:rPr>
          <w:sz w:val="24"/>
          <w:szCs w:val="24"/>
        </w:rPr>
        <w:t>Automatické sledování pohybu oka (</w:t>
      </w:r>
      <w:proofErr w:type="spellStart"/>
      <w:r>
        <w:rPr>
          <w:sz w:val="24"/>
          <w:szCs w:val="24"/>
        </w:rPr>
        <w:t>Head</w:t>
      </w:r>
      <w:proofErr w:type="spellEnd"/>
      <w:r>
        <w:rPr>
          <w:sz w:val="24"/>
          <w:szCs w:val="24"/>
        </w:rPr>
        <w:t xml:space="preserve"> </w:t>
      </w:r>
      <w:proofErr w:type="spellStart"/>
      <w:r>
        <w:rPr>
          <w:sz w:val="24"/>
          <w:szCs w:val="24"/>
        </w:rPr>
        <w:t>tracking</w:t>
      </w:r>
      <w:proofErr w:type="spellEnd"/>
      <w:r>
        <w:rPr>
          <w:sz w:val="24"/>
          <w:szCs w:val="24"/>
        </w:rPr>
        <w:t>) ve všech osách</w:t>
      </w:r>
    </w:p>
    <w:p w14:paraId="5B503F72" w14:textId="77777777" w:rsidR="00F55227" w:rsidRDefault="00F55227" w:rsidP="00F55227">
      <w:pPr>
        <w:numPr>
          <w:ilvl w:val="0"/>
          <w:numId w:val="20"/>
        </w:numPr>
        <w:spacing w:line="240" w:lineRule="auto"/>
        <w:rPr>
          <w:sz w:val="24"/>
          <w:szCs w:val="24"/>
        </w:rPr>
      </w:pPr>
      <w:r>
        <w:rPr>
          <w:sz w:val="24"/>
          <w:szCs w:val="24"/>
        </w:rPr>
        <w:t>Monitorování Vertexem</w:t>
      </w:r>
    </w:p>
    <w:p w14:paraId="309EF04D" w14:textId="77777777" w:rsidR="00F55227" w:rsidRDefault="00F55227" w:rsidP="00F55227">
      <w:pPr>
        <w:numPr>
          <w:ilvl w:val="0"/>
          <w:numId w:val="20"/>
        </w:numPr>
        <w:spacing w:line="240" w:lineRule="auto"/>
        <w:rPr>
          <w:sz w:val="24"/>
          <w:szCs w:val="24"/>
        </w:rPr>
      </w:pPr>
      <w:r>
        <w:rPr>
          <w:sz w:val="24"/>
          <w:szCs w:val="24"/>
        </w:rPr>
        <w:t>Dotykový barevný LCD display větší 12“, ovládání v českém jazyce</w:t>
      </w:r>
    </w:p>
    <w:p w14:paraId="5C75856D" w14:textId="77777777" w:rsidR="00F55227" w:rsidRDefault="00F55227" w:rsidP="00F55227">
      <w:pPr>
        <w:numPr>
          <w:ilvl w:val="0"/>
          <w:numId w:val="20"/>
        </w:numPr>
        <w:spacing w:line="240" w:lineRule="auto"/>
        <w:rPr>
          <w:sz w:val="24"/>
          <w:szCs w:val="24"/>
        </w:rPr>
      </w:pPr>
      <w:r>
        <w:rPr>
          <w:sz w:val="24"/>
          <w:szCs w:val="24"/>
        </w:rPr>
        <w:t xml:space="preserve">klávesnice </w:t>
      </w:r>
    </w:p>
    <w:p w14:paraId="238C7D11" w14:textId="77777777" w:rsidR="00F55227" w:rsidRDefault="00F55227" w:rsidP="00F55227">
      <w:pPr>
        <w:numPr>
          <w:ilvl w:val="0"/>
          <w:numId w:val="20"/>
        </w:numPr>
        <w:spacing w:line="240" w:lineRule="auto"/>
        <w:rPr>
          <w:sz w:val="24"/>
          <w:szCs w:val="24"/>
        </w:rPr>
      </w:pPr>
      <w:r>
        <w:rPr>
          <w:sz w:val="24"/>
          <w:szCs w:val="24"/>
        </w:rPr>
        <w:t>Pro archivaci výsledků je použit 500 GB hard disk a USB výstup</w:t>
      </w:r>
    </w:p>
    <w:p w14:paraId="5FA6C02D" w14:textId="77777777" w:rsidR="00F55227" w:rsidRDefault="00F55227" w:rsidP="00F55227">
      <w:pPr>
        <w:numPr>
          <w:ilvl w:val="0"/>
          <w:numId w:val="20"/>
        </w:numPr>
        <w:spacing w:line="240" w:lineRule="auto"/>
        <w:rPr>
          <w:sz w:val="24"/>
          <w:szCs w:val="24"/>
        </w:rPr>
      </w:pPr>
      <w:r>
        <w:rPr>
          <w:sz w:val="24"/>
          <w:szCs w:val="24"/>
        </w:rPr>
        <w:t>Hodnocení výsledků je založeno na dvou základních principech – při screeningových testech je hodnocena absolutní vada v dané oblasti (</w:t>
      </w:r>
      <w:proofErr w:type="spellStart"/>
      <w:r>
        <w:rPr>
          <w:sz w:val="24"/>
          <w:szCs w:val="24"/>
        </w:rPr>
        <w:t>vidí-nevidí</w:t>
      </w:r>
      <w:proofErr w:type="spellEnd"/>
      <w:r>
        <w:rPr>
          <w:sz w:val="24"/>
          <w:szCs w:val="24"/>
        </w:rPr>
        <w:t>), při prahových testech je hodnocena hloubka (závažnost) defektu. Tyto výsledky jsou případně vztaženy k věkové skupině pacienta a je zhodnocena jeho relativní kvalita vidění</w:t>
      </w:r>
    </w:p>
    <w:p w14:paraId="1B2777BC" w14:textId="77777777" w:rsidR="00F55227" w:rsidRDefault="00F55227" w:rsidP="00F55227">
      <w:pPr>
        <w:numPr>
          <w:ilvl w:val="0"/>
          <w:numId w:val="20"/>
        </w:numPr>
        <w:spacing w:line="240" w:lineRule="auto"/>
        <w:rPr>
          <w:sz w:val="24"/>
          <w:szCs w:val="24"/>
        </w:rPr>
      </w:pPr>
      <w:r>
        <w:rPr>
          <w:sz w:val="24"/>
          <w:szCs w:val="24"/>
        </w:rPr>
        <w:t xml:space="preserve">Výsledky měření jsou prezentovány formou výtisku nebo přímo na monitoru perimetru. Perimetr je vybaven standardním sériovým rozhraním RS232 a USB portem, proto je možno přístroj napojit do počítačové sítě </w:t>
      </w:r>
    </w:p>
    <w:p w14:paraId="542924AA" w14:textId="77777777" w:rsidR="00F55227" w:rsidRDefault="00F55227" w:rsidP="00F55227">
      <w:pPr>
        <w:numPr>
          <w:ilvl w:val="0"/>
          <w:numId w:val="20"/>
        </w:numPr>
        <w:spacing w:line="240" w:lineRule="auto"/>
        <w:rPr>
          <w:sz w:val="24"/>
          <w:szCs w:val="24"/>
        </w:rPr>
      </w:pPr>
      <w:r>
        <w:rPr>
          <w:sz w:val="24"/>
          <w:szCs w:val="24"/>
        </w:rPr>
        <w:t>DICOM připojení</w:t>
      </w:r>
    </w:p>
    <w:p w14:paraId="49705E88" w14:textId="77777777" w:rsidR="00F55227" w:rsidRDefault="00F55227" w:rsidP="00F55227">
      <w:pPr>
        <w:numPr>
          <w:ilvl w:val="0"/>
          <w:numId w:val="20"/>
        </w:numPr>
        <w:spacing w:line="240" w:lineRule="auto"/>
        <w:rPr>
          <w:sz w:val="24"/>
          <w:szCs w:val="24"/>
        </w:rPr>
      </w:pPr>
      <w:r>
        <w:rPr>
          <w:sz w:val="24"/>
          <w:szCs w:val="24"/>
        </w:rPr>
        <w:t>Certifikován FDA, využíván pro mezinárodní studie</w:t>
      </w:r>
    </w:p>
    <w:p w14:paraId="76E759E6" w14:textId="77777777" w:rsidR="00F55227" w:rsidRDefault="00F55227" w:rsidP="00F55227">
      <w:pPr>
        <w:numPr>
          <w:ilvl w:val="0"/>
          <w:numId w:val="20"/>
        </w:numPr>
        <w:spacing w:line="240" w:lineRule="auto"/>
        <w:rPr>
          <w:sz w:val="24"/>
          <w:szCs w:val="24"/>
        </w:rPr>
      </w:pPr>
      <w:r>
        <w:rPr>
          <w:sz w:val="24"/>
          <w:szCs w:val="24"/>
        </w:rPr>
        <w:t>Zdroj světla halogenová žárovka, její světelný tok je řízený počítačem</w:t>
      </w:r>
    </w:p>
    <w:p w14:paraId="2470CC3C" w14:textId="77777777" w:rsidR="00F55227" w:rsidRDefault="00F55227" w:rsidP="00F55227">
      <w:pPr>
        <w:numPr>
          <w:ilvl w:val="0"/>
          <w:numId w:val="20"/>
        </w:numPr>
        <w:spacing w:line="240" w:lineRule="auto"/>
        <w:rPr>
          <w:sz w:val="24"/>
          <w:szCs w:val="24"/>
        </w:rPr>
      </w:pPr>
      <w:r>
        <w:rPr>
          <w:sz w:val="24"/>
          <w:szCs w:val="24"/>
        </w:rPr>
        <w:t xml:space="preserve">Počítačový perimetr nepoužívá externí PC – jedná se o kompaktní samostatný přístroj. </w:t>
      </w:r>
    </w:p>
    <w:p w14:paraId="1657E10E" w14:textId="4D58C381" w:rsidR="00F55227" w:rsidRPr="00AC7DCD" w:rsidRDefault="00F55227" w:rsidP="00F55227">
      <w:pPr>
        <w:numPr>
          <w:ilvl w:val="0"/>
          <w:numId w:val="20"/>
        </w:numPr>
        <w:spacing w:line="240" w:lineRule="auto"/>
        <w:rPr>
          <w:sz w:val="24"/>
          <w:szCs w:val="24"/>
        </w:rPr>
      </w:pPr>
      <w:r>
        <w:rPr>
          <w:sz w:val="24"/>
          <w:szCs w:val="24"/>
        </w:rPr>
        <w:t xml:space="preserve">Možnost propojení s OCT přes archivační a databázový software, </w:t>
      </w:r>
      <w:r w:rsidR="0078309A">
        <w:rPr>
          <w:sz w:val="24"/>
          <w:szCs w:val="24"/>
        </w:rPr>
        <w:t>umožňující</w:t>
      </w:r>
      <w:r>
        <w:rPr>
          <w:sz w:val="24"/>
          <w:szCs w:val="24"/>
        </w:rPr>
        <w:t xml:space="preserve"> kombinace reportů z perimetru a OCT a kvantifikování anatomických a funkčních změn na sítnici a progrese změn ve vidění </w:t>
      </w:r>
      <w:r w:rsidR="00D453A6">
        <w:rPr>
          <w:sz w:val="24"/>
          <w:szCs w:val="24"/>
        </w:rPr>
        <w:t>pacienta – management</w:t>
      </w:r>
      <w:r>
        <w:rPr>
          <w:sz w:val="24"/>
          <w:szCs w:val="24"/>
        </w:rPr>
        <w:t xml:space="preserve"> glaukomu </w:t>
      </w:r>
    </w:p>
    <w:p w14:paraId="4461A5F6" w14:textId="77777777" w:rsidR="00F55227" w:rsidRPr="00AC7DCD" w:rsidRDefault="00F55227" w:rsidP="00F55227">
      <w:pPr>
        <w:numPr>
          <w:ilvl w:val="0"/>
          <w:numId w:val="20"/>
        </w:numPr>
        <w:spacing w:line="240" w:lineRule="auto"/>
        <w:rPr>
          <w:sz w:val="24"/>
          <w:szCs w:val="24"/>
        </w:rPr>
      </w:pPr>
      <w:r>
        <w:rPr>
          <w:sz w:val="24"/>
          <w:szCs w:val="24"/>
        </w:rPr>
        <w:t>Laserová tiskárna</w:t>
      </w:r>
    </w:p>
    <w:p w14:paraId="712899F8" w14:textId="631A4E2D" w:rsidR="00F55227" w:rsidRDefault="00F55227" w:rsidP="00F55227">
      <w:pPr>
        <w:numPr>
          <w:ilvl w:val="0"/>
          <w:numId w:val="20"/>
        </w:numPr>
        <w:spacing w:line="240" w:lineRule="auto"/>
        <w:rPr>
          <w:sz w:val="24"/>
          <w:szCs w:val="24"/>
        </w:rPr>
      </w:pPr>
      <w:r>
        <w:rPr>
          <w:sz w:val="24"/>
          <w:szCs w:val="24"/>
        </w:rPr>
        <w:t xml:space="preserve">Elektricky ovládaný výškově stavitelný přístrojový stolek </w:t>
      </w:r>
    </w:p>
    <w:p w14:paraId="0335FA67" w14:textId="5B28DC6D" w:rsidR="00F55227" w:rsidRDefault="00F55227" w:rsidP="00F55227">
      <w:pPr>
        <w:numPr>
          <w:ilvl w:val="0"/>
          <w:numId w:val="20"/>
        </w:numPr>
        <w:spacing w:line="240" w:lineRule="auto"/>
        <w:rPr>
          <w:sz w:val="24"/>
          <w:szCs w:val="24"/>
        </w:rPr>
      </w:pPr>
      <w:r>
        <w:rPr>
          <w:sz w:val="24"/>
          <w:szCs w:val="24"/>
        </w:rPr>
        <w:t>přetažení pacientských dat a výsledků měření ze stávajícího perimetru do perimetru nového za účelem prohlížení a porovnávání výsledků měření u stávajících pacientů v čase</w:t>
      </w:r>
    </w:p>
    <w:p w14:paraId="3DA7A380" w14:textId="77777777" w:rsidR="00F55227" w:rsidRDefault="00F55227" w:rsidP="00F55227"/>
    <w:p w14:paraId="652F20A5" w14:textId="5A6C13E5" w:rsidR="00094B12" w:rsidRDefault="00F55227" w:rsidP="00094B12">
      <w:pPr>
        <w:ind w:left="284" w:hanging="5"/>
      </w:pPr>
      <w:r>
        <w:rPr>
          <w:noProof/>
        </w:rPr>
        <w:drawing>
          <wp:inline distT="0" distB="0" distL="0" distR="0" wp14:anchorId="7F44195F" wp14:editId="4A5E7993">
            <wp:extent cx="4953000" cy="4913209"/>
            <wp:effectExtent l="0" t="0" r="0" b="1905"/>
            <wp:docPr id="3" name="Obrázok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a:extLst>
                        <a:ext uri="{FF2B5EF4-FFF2-40B4-BE49-F238E27FC236}">
                          <a16:creationId xmlns:a16="http://schemas.microsoft.com/office/drawing/2014/main" id="{00000000-0008-0000-0000-000003000000}"/>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4995997" cy="4955861"/>
                    </a:xfrm>
                    <a:prstGeom prst="rect">
                      <a:avLst/>
                    </a:prstGeom>
                  </pic:spPr>
                </pic:pic>
              </a:graphicData>
            </a:graphic>
          </wp:inline>
        </w:drawing>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099B9629" w14:textId="6F8FDFE2" w:rsidR="00990F1B" w:rsidRDefault="00990F1B" w:rsidP="00A05D45">
      <w:r>
        <w:rPr>
          <w:noProof/>
        </w:rPr>
        <w:drawing>
          <wp:inline distT="0" distB="0" distL="0" distR="0" wp14:anchorId="7D8CCABF" wp14:editId="26C3359F">
            <wp:extent cx="5760720" cy="406908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069080"/>
                    </a:xfrm>
                    <a:prstGeom prst="rect">
                      <a:avLst/>
                    </a:prstGeom>
                  </pic:spPr>
                </pic:pic>
              </a:graphicData>
            </a:graphic>
          </wp:inline>
        </w:drawing>
      </w:r>
    </w:p>
    <w:p w14:paraId="3CD82D99" w14:textId="5C8AADEB"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3D0ED9FE"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842E64">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Oracle Java – pouze aktuální verze s označením Long-Term-Support </w:t>
      </w:r>
      <w:r w:rsidRPr="006D247C">
        <w:rPr>
          <w:rFonts w:ascii="Arial" w:hAnsi="Arial"/>
        </w:rPr>
        <w:t>(LTS) a garantovanou podporou výrobce minimálně 2 roky</w:t>
      </w:r>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E14C8E4" w:rsidR="00A05D45" w:rsidRDefault="00A05D45" w:rsidP="00A05D45">
      <w:pPr>
        <w:spacing w:line="240" w:lineRule="auto"/>
      </w:pPr>
    </w:p>
    <w:p w14:paraId="6D9DC67F" w14:textId="77777777" w:rsidR="009523CB" w:rsidRDefault="009523CB" w:rsidP="0096600E">
      <w:pPr>
        <w:spacing w:line="240" w:lineRule="auto"/>
        <w:jc w:val="center"/>
        <w:rPr>
          <w:b/>
          <w:u w:val="single"/>
        </w:rPr>
      </w:pPr>
    </w:p>
    <w:p w14:paraId="7BB6680A" w14:textId="77777777" w:rsidR="009523CB" w:rsidRDefault="009523CB" w:rsidP="0096600E">
      <w:pPr>
        <w:spacing w:line="240" w:lineRule="auto"/>
        <w:jc w:val="center"/>
        <w:rPr>
          <w:b/>
          <w:u w:val="single"/>
        </w:rPr>
      </w:pPr>
    </w:p>
    <w:p w14:paraId="785C7051" w14:textId="77777777" w:rsidR="009523CB" w:rsidRDefault="009523CB" w:rsidP="0096600E">
      <w:pPr>
        <w:spacing w:line="240" w:lineRule="auto"/>
        <w:jc w:val="center"/>
        <w:rPr>
          <w:b/>
          <w:u w:val="single"/>
        </w:rPr>
      </w:pPr>
    </w:p>
    <w:p w14:paraId="3CA5ADEE" w14:textId="1FC23448" w:rsidR="0096600E" w:rsidRPr="00340413" w:rsidRDefault="0096600E" w:rsidP="0096600E">
      <w:pPr>
        <w:spacing w:line="240" w:lineRule="auto"/>
        <w:jc w:val="center"/>
        <w:rPr>
          <w:b/>
          <w:u w:val="single"/>
        </w:rPr>
      </w:pPr>
      <w:r w:rsidRPr="00340413">
        <w:rPr>
          <w:b/>
          <w:u w:val="single"/>
        </w:rPr>
        <w:t>Požadavky zadavatele na komunikaci s PACS</w:t>
      </w:r>
    </w:p>
    <w:p w14:paraId="3B0E51B0" w14:textId="77777777" w:rsidR="0096600E" w:rsidRDefault="0096600E" w:rsidP="0096600E">
      <w:pPr>
        <w:spacing w:line="240" w:lineRule="auto"/>
      </w:pPr>
    </w:p>
    <w:p w14:paraId="2F6098B1" w14:textId="77777777" w:rsidR="0096600E" w:rsidRPr="00340413" w:rsidRDefault="0096600E" w:rsidP="0096600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27CE8A48" w14:textId="77777777" w:rsidR="0096600E" w:rsidRDefault="0096600E" w:rsidP="0096600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399BA6AD" w14:textId="77777777" w:rsidR="0096600E" w:rsidRPr="00BC3BA9" w:rsidRDefault="0096600E" w:rsidP="0096600E">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098464BC" w14:textId="77777777" w:rsidR="00EA4679" w:rsidRDefault="00EA4679" w:rsidP="0096600E">
      <w:pPr>
        <w:pStyle w:val="Odstavecseseznamem"/>
        <w:spacing w:after="0" w:line="240" w:lineRule="auto"/>
        <w:rPr>
          <w:rFonts w:ascii="Arial" w:hAnsi="Arial"/>
          <w:noProof/>
        </w:rPr>
      </w:pPr>
      <w:bookmarkStart w:id="16" w:name="_GoBack"/>
      <w:bookmarkEnd w:id="16"/>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5"/>
        <w:gridCol w:w="2297"/>
        <w:gridCol w:w="2366"/>
      </w:tblGrid>
      <w:tr w:rsidR="007E6B54" w:rsidRPr="007E6B54" w14:paraId="1C0165DE" w14:textId="77777777" w:rsidTr="006E6457">
        <w:trPr>
          <w:trHeight w:val="1800"/>
        </w:trPr>
        <w:tc>
          <w:tcPr>
            <w:tcW w:w="3752" w:type="dxa"/>
            <w:shd w:val="clear" w:color="auto" w:fill="auto"/>
            <w:noWrap/>
            <w:vAlign w:val="center"/>
            <w:hideMark/>
          </w:tcPr>
          <w:p w14:paraId="515D51C8" w14:textId="77777777" w:rsidR="007E6B54" w:rsidRPr="007E6B54" w:rsidRDefault="007E6B54" w:rsidP="007E6B54">
            <w:pPr>
              <w:spacing w:line="240" w:lineRule="auto"/>
              <w:jc w:val="center"/>
              <w:rPr>
                <w:b/>
                <w:bCs/>
                <w:color w:val="000000"/>
              </w:rPr>
            </w:pPr>
            <w:r w:rsidRPr="007E6B54">
              <w:rPr>
                <w:b/>
                <w:bCs/>
                <w:color w:val="000000"/>
              </w:rPr>
              <w:t xml:space="preserve">DICOM </w:t>
            </w:r>
            <w:proofErr w:type="spellStart"/>
            <w:r w:rsidRPr="007E6B54">
              <w:rPr>
                <w:b/>
                <w:bCs/>
                <w:color w:val="000000"/>
              </w:rPr>
              <w:t>tag</w:t>
            </w:r>
            <w:proofErr w:type="spellEnd"/>
            <w:r w:rsidRPr="007E6B54">
              <w:rPr>
                <w:b/>
                <w:bCs/>
                <w:color w:val="000000"/>
              </w:rPr>
              <w:t xml:space="preserve"> </w:t>
            </w:r>
            <w:proofErr w:type="spellStart"/>
            <w:r w:rsidRPr="007E6B54">
              <w:rPr>
                <w:b/>
                <w:bCs/>
                <w:color w:val="000000"/>
              </w:rPr>
              <w:t>name</w:t>
            </w:r>
            <w:proofErr w:type="spellEnd"/>
            <w:r w:rsidRPr="007E6B54">
              <w:rPr>
                <w:b/>
                <w:bCs/>
                <w:color w:val="000000"/>
              </w:rPr>
              <w:t xml:space="preserve"> (DICOM </w:t>
            </w:r>
            <w:proofErr w:type="spellStart"/>
            <w:r w:rsidRPr="007E6B54">
              <w:rPr>
                <w:b/>
                <w:bCs/>
                <w:color w:val="000000"/>
              </w:rPr>
              <w:t>tag</w:t>
            </w:r>
            <w:proofErr w:type="spellEnd"/>
            <w:r w:rsidRPr="007E6B54">
              <w:rPr>
                <w:b/>
                <w:bCs/>
                <w:color w:val="000000"/>
              </w:rPr>
              <w:t xml:space="preserve"> No.)</w:t>
            </w:r>
          </w:p>
        </w:tc>
        <w:tc>
          <w:tcPr>
            <w:tcW w:w="2332" w:type="dxa"/>
            <w:shd w:val="clear" w:color="auto" w:fill="auto"/>
            <w:noWrap/>
            <w:vAlign w:val="center"/>
            <w:hideMark/>
          </w:tcPr>
          <w:p w14:paraId="0417548E" w14:textId="77777777" w:rsidR="007E6B54" w:rsidRPr="007E6B54" w:rsidRDefault="007E6B54" w:rsidP="007E6B54">
            <w:pPr>
              <w:spacing w:line="240" w:lineRule="auto"/>
              <w:jc w:val="center"/>
              <w:rPr>
                <w:b/>
                <w:bCs/>
                <w:color w:val="000000"/>
              </w:rPr>
            </w:pPr>
            <w:proofErr w:type="spellStart"/>
            <w:r w:rsidRPr="007E6B54">
              <w:rPr>
                <w:b/>
                <w:bCs/>
                <w:color w:val="000000"/>
              </w:rPr>
              <w:t>Specific</w:t>
            </w:r>
            <w:proofErr w:type="spellEnd"/>
            <w:r w:rsidRPr="007E6B54">
              <w:rPr>
                <w:b/>
                <w:bCs/>
                <w:color w:val="000000"/>
              </w:rPr>
              <w:t xml:space="preserve"> </w:t>
            </w:r>
            <w:proofErr w:type="spellStart"/>
            <w:r w:rsidRPr="007E6B54">
              <w:rPr>
                <w:b/>
                <w:bCs/>
                <w:color w:val="000000"/>
              </w:rPr>
              <w:t>values</w:t>
            </w:r>
            <w:proofErr w:type="spellEnd"/>
          </w:p>
        </w:tc>
        <w:tc>
          <w:tcPr>
            <w:tcW w:w="2274" w:type="dxa"/>
            <w:shd w:val="clear" w:color="auto" w:fill="auto"/>
            <w:vAlign w:val="center"/>
            <w:hideMark/>
          </w:tcPr>
          <w:p w14:paraId="0E137879" w14:textId="77777777" w:rsidR="007E6B54" w:rsidRPr="007E6B54" w:rsidRDefault="007E6B54" w:rsidP="007E6B54">
            <w:pPr>
              <w:spacing w:line="240" w:lineRule="auto"/>
              <w:jc w:val="center"/>
              <w:rPr>
                <w:b/>
                <w:bCs/>
                <w:color w:val="000000"/>
              </w:rPr>
            </w:pPr>
            <w:r w:rsidRPr="007E6B54">
              <w:rPr>
                <w:b/>
                <w:bCs/>
                <w:color w:val="000000"/>
              </w:rPr>
              <w:t>Ano/Ne</w:t>
            </w:r>
          </w:p>
        </w:tc>
      </w:tr>
      <w:tr w:rsidR="007E6B54" w:rsidRPr="007E6B54" w14:paraId="4071570D" w14:textId="77777777" w:rsidTr="006E6457">
        <w:trPr>
          <w:trHeight w:val="300"/>
        </w:trPr>
        <w:tc>
          <w:tcPr>
            <w:tcW w:w="3752" w:type="dxa"/>
            <w:shd w:val="clear" w:color="auto" w:fill="auto"/>
            <w:noWrap/>
            <w:vAlign w:val="center"/>
            <w:hideMark/>
          </w:tcPr>
          <w:p w14:paraId="7CADBA0E" w14:textId="77777777" w:rsidR="007E6B54" w:rsidRPr="007E6B54" w:rsidRDefault="007E6B54" w:rsidP="007E6B54">
            <w:pPr>
              <w:spacing w:line="240" w:lineRule="auto"/>
              <w:jc w:val="left"/>
              <w:rPr>
                <w:b/>
                <w:bCs/>
                <w:color w:val="000000"/>
              </w:rPr>
            </w:pPr>
            <w:r w:rsidRPr="007E6B54">
              <w:rPr>
                <w:b/>
                <w:bCs/>
                <w:color w:val="000000"/>
              </w:rPr>
              <w:t>REQUIRED_STUDY_FIELDS:</w:t>
            </w:r>
          </w:p>
        </w:tc>
        <w:tc>
          <w:tcPr>
            <w:tcW w:w="2332" w:type="dxa"/>
            <w:shd w:val="clear" w:color="auto" w:fill="auto"/>
            <w:noWrap/>
            <w:vAlign w:val="center"/>
            <w:hideMark/>
          </w:tcPr>
          <w:p w14:paraId="2FC7A512" w14:textId="77777777" w:rsidR="007E6B54" w:rsidRPr="007E6B54" w:rsidRDefault="007E6B54" w:rsidP="007E6B54">
            <w:pPr>
              <w:spacing w:line="240" w:lineRule="auto"/>
              <w:jc w:val="left"/>
              <w:rPr>
                <w:color w:val="000000"/>
              </w:rPr>
            </w:pPr>
            <w:r w:rsidRPr="007E6B54">
              <w:rPr>
                <w:color w:val="000000"/>
              </w:rPr>
              <w:t> </w:t>
            </w:r>
          </w:p>
        </w:tc>
        <w:tc>
          <w:tcPr>
            <w:tcW w:w="2274" w:type="dxa"/>
            <w:shd w:val="clear" w:color="auto" w:fill="auto"/>
            <w:noWrap/>
            <w:vAlign w:val="center"/>
            <w:hideMark/>
          </w:tcPr>
          <w:p w14:paraId="1914724B" w14:textId="77777777" w:rsidR="007E6B54" w:rsidRPr="007E6B54" w:rsidRDefault="007E6B54" w:rsidP="007E6B54">
            <w:pPr>
              <w:spacing w:line="240" w:lineRule="auto"/>
              <w:ind w:firstLineChars="1000" w:firstLine="2200"/>
              <w:jc w:val="left"/>
              <w:rPr>
                <w:color w:val="000000"/>
              </w:rPr>
            </w:pPr>
            <w:r w:rsidRPr="007E6B54">
              <w:rPr>
                <w:color w:val="000000"/>
              </w:rPr>
              <w:t> </w:t>
            </w:r>
          </w:p>
        </w:tc>
      </w:tr>
      <w:tr w:rsidR="007E6B54" w:rsidRPr="007E6B54" w14:paraId="1F3695A8" w14:textId="77777777" w:rsidTr="006E6457">
        <w:trPr>
          <w:trHeight w:val="300"/>
        </w:trPr>
        <w:tc>
          <w:tcPr>
            <w:tcW w:w="3752" w:type="dxa"/>
            <w:shd w:val="clear" w:color="auto" w:fill="auto"/>
            <w:noWrap/>
            <w:vAlign w:val="center"/>
            <w:hideMark/>
          </w:tcPr>
          <w:p w14:paraId="57256337" w14:textId="77777777" w:rsidR="007E6B54" w:rsidRPr="007E6B54" w:rsidRDefault="007E6B54" w:rsidP="007E6B54">
            <w:pPr>
              <w:spacing w:line="240" w:lineRule="auto"/>
              <w:jc w:val="left"/>
              <w:rPr>
                <w:color w:val="000000"/>
              </w:rPr>
            </w:pPr>
            <w:proofErr w:type="spellStart"/>
            <w:r w:rsidRPr="007E6B54">
              <w:rPr>
                <w:color w:val="000000"/>
              </w:rPr>
              <w:t>STU_StuDat</w:t>
            </w:r>
            <w:proofErr w:type="spellEnd"/>
            <w:r w:rsidRPr="007E6B54">
              <w:rPr>
                <w:color w:val="000000"/>
              </w:rPr>
              <w:t xml:space="preserve"> (0008,0020)</w:t>
            </w:r>
          </w:p>
        </w:tc>
        <w:tc>
          <w:tcPr>
            <w:tcW w:w="2332" w:type="dxa"/>
            <w:shd w:val="clear" w:color="auto" w:fill="auto"/>
            <w:noWrap/>
            <w:vAlign w:val="center"/>
            <w:hideMark/>
          </w:tcPr>
          <w:p w14:paraId="505C187C" w14:textId="77777777" w:rsidR="007E6B54" w:rsidRPr="007E6B54" w:rsidRDefault="007E6B54" w:rsidP="007E6B54">
            <w:pPr>
              <w:spacing w:line="240" w:lineRule="auto"/>
              <w:jc w:val="left"/>
              <w:rPr>
                <w:color w:val="000000"/>
              </w:rPr>
            </w:pPr>
            <w:proofErr w:type="spellStart"/>
            <w:r w:rsidRPr="007E6B54">
              <w:rPr>
                <w:color w:val="000000"/>
              </w:rPr>
              <w:t>value</w:t>
            </w:r>
            <w:proofErr w:type="spellEnd"/>
          </w:p>
        </w:tc>
        <w:tc>
          <w:tcPr>
            <w:tcW w:w="2274" w:type="dxa"/>
            <w:shd w:val="clear" w:color="auto" w:fill="auto"/>
            <w:noWrap/>
            <w:vAlign w:val="center"/>
            <w:hideMark/>
          </w:tcPr>
          <w:p w14:paraId="78242F46"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68028F15" w14:textId="77777777" w:rsidTr="006E6457">
        <w:trPr>
          <w:trHeight w:val="300"/>
        </w:trPr>
        <w:tc>
          <w:tcPr>
            <w:tcW w:w="3752" w:type="dxa"/>
            <w:shd w:val="clear" w:color="auto" w:fill="auto"/>
            <w:noWrap/>
            <w:vAlign w:val="center"/>
            <w:hideMark/>
          </w:tcPr>
          <w:p w14:paraId="0C180003" w14:textId="77777777" w:rsidR="007E6B54" w:rsidRPr="007E6B54" w:rsidRDefault="007E6B54" w:rsidP="007E6B54">
            <w:pPr>
              <w:spacing w:line="240" w:lineRule="auto"/>
              <w:jc w:val="left"/>
              <w:rPr>
                <w:color w:val="000000"/>
              </w:rPr>
            </w:pPr>
            <w:proofErr w:type="spellStart"/>
            <w:r w:rsidRPr="007E6B54">
              <w:rPr>
                <w:color w:val="000000"/>
              </w:rPr>
              <w:t>STU_StuTim</w:t>
            </w:r>
            <w:proofErr w:type="spellEnd"/>
            <w:r w:rsidRPr="007E6B54">
              <w:rPr>
                <w:color w:val="000000"/>
              </w:rPr>
              <w:t xml:space="preserve"> (0008,0030)</w:t>
            </w:r>
          </w:p>
        </w:tc>
        <w:tc>
          <w:tcPr>
            <w:tcW w:w="2332" w:type="dxa"/>
            <w:shd w:val="clear" w:color="auto" w:fill="auto"/>
            <w:noWrap/>
            <w:vAlign w:val="center"/>
            <w:hideMark/>
          </w:tcPr>
          <w:p w14:paraId="0FC52C7D" w14:textId="77777777" w:rsidR="007E6B54" w:rsidRPr="007E6B54" w:rsidRDefault="007E6B54" w:rsidP="007E6B54">
            <w:pPr>
              <w:spacing w:line="240" w:lineRule="auto"/>
              <w:jc w:val="left"/>
              <w:rPr>
                <w:color w:val="000000"/>
              </w:rPr>
            </w:pPr>
            <w:proofErr w:type="spellStart"/>
            <w:r w:rsidRPr="007E6B54">
              <w:rPr>
                <w:color w:val="000000"/>
              </w:rPr>
              <w:t>value</w:t>
            </w:r>
            <w:proofErr w:type="spellEnd"/>
          </w:p>
        </w:tc>
        <w:tc>
          <w:tcPr>
            <w:tcW w:w="2274" w:type="dxa"/>
            <w:shd w:val="clear" w:color="auto" w:fill="auto"/>
            <w:noWrap/>
            <w:vAlign w:val="center"/>
            <w:hideMark/>
          </w:tcPr>
          <w:p w14:paraId="1A487022"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7625E89B" w14:textId="77777777" w:rsidTr="006E6457">
        <w:trPr>
          <w:trHeight w:val="300"/>
        </w:trPr>
        <w:tc>
          <w:tcPr>
            <w:tcW w:w="3752" w:type="dxa"/>
            <w:shd w:val="clear" w:color="auto" w:fill="auto"/>
            <w:noWrap/>
            <w:vAlign w:val="center"/>
            <w:hideMark/>
          </w:tcPr>
          <w:p w14:paraId="45380473" w14:textId="77777777" w:rsidR="007E6B54" w:rsidRPr="007E6B54" w:rsidRDefault="007E6B54" w:rsidP="007E6B54">
            <w:pPr>
              <w:spacing w:line="240" w:lineRule="auto"/>
              <w:jc w:val="left"/>
              <w:rPr>
                <w:color w:val="000000"/>
              </w:rPr>
            </w:pPr>
            <w:proofErr w:type="spellStart"/>
            <w:r w:rsidRPr="007E6B54">
              <w:rPr>
                <w:color w:val="000000"/>
              </w:rPr>
              <w:t>STU_AccNum</w:t>
            </w:r>
            <w:proofErr w:type="spellEnd"/>
            <w:r w:rsidRPr="007E6B54">
              <w:rPr>
                <w:color w:val="000000"/>
              </w:rPr>
              <w:t xml:space="preserve"> (0008,0050)</w:t>
            </w:r>
          </w:p>
        </w:tc>
        <w:tc>
          <w:tcPr>
            <w:tcW w:w="2332" w:type="dxa"/>
            <w:shd w:val="clear" w:color="auto" w:fill="auto"/>
            <w:noWrap/>
            <w:vAlign w:val="center"/>
            <w:hideMark/>
          </w:tcPr>
          <w:p w14:paraId="110F983B" w14:textId="77777777" w:rsidR="007E6B54" w:rsidRPr="007E6B54" w:rsidRDefault="007E6B54" w:rsidP="007E6B54">
            <w:pPr>
              <w:spacing w:line="240" w:lineRule="auto"/>
              <w:jc w:val="left"/>
              <w:rPr>
                <w:color w:val="000000"/>
              </w:rPr>
            </w:pPr>
            <w:r w:rsidRPr="007E6B54">
              <w:rPr>
                <w:color w:val="000000"/>
              </w:rPr>
              <w:t>min. "</w:t>
            </w:r>
            <w:proofErr w:type="spellStart"/>
            <w:r w:rsidRPr="007E6B54">
              <w:rPr>
                <w:color w:val="000000"/>
              </w:rPr>
              <w:t>null</w:t>
            </w:r>
            <w:proofErr w:type="spellEnd"/>
            <w:r w:rsidRPr="007E6B54">
              <w:rPr>
                <w:color w:val="000000"/>
              </w:rPr>
              <w:t>"</w:t>
            </w:r>
          </w:p>
        </w:tc>
        <w:tc>
          <w:tcPr>
            <w:tcW w:w="2274" w:type="dxa"/>
            <w:shd w:val="clear" w:color="auto" w:fill="auto"/>
            <w:noWrap/>
            <w:vAlign w:val="center"/>
            <w:hideMark/>
          </w:tcPr>
          <w:p w14:paraId="1E4FCADB"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0C52A0B0" w14:textId="77777777" w:rsidTr="006E6457">
        <w:trPr>
          <w:trHeight w:val="300"/>
        </w:trPr>
        <w:tc>
          <w:tcPr>
            <w:tcW w:w="3752" w:type="dxa"/>
            <w:shd w:val="clear" w:color="auto" w:fill="auto"/>
            <w:noWrap/>
            <w:vAlign w:val="center"/>
            <w:hideMark/>
          </w:tcPr>
          <w:p w14:paraId="2759733A" w14:textId="77777777" w:rsidR="007E6B54" w:rsidRPr="007E6B54" w:rsidRDefault="007E6B54" w:rsidP="007E6B54">
            <w:pPr>
              <w:spacing w:line="240" w:lineRule="auto"/>
              <w:jc w:val="left"/>
              <w:rPr>
                <w:color w:val="000000"/>
              </w:rPr>
            </w:pPr>
            <w:proofErr w:type="spellStart"/>
            <w:r w:rsidRPr="007E6B54">
              <w:rPr>
                <w:color w:val="000000"/>
              </w:rPr>
              <w:t>STU_StuID</w:t>
            </w:r>
            <w:proofErr w:type="spellEnd"/>
            <w:r w:rsidRPr="007E6B54">
              <w:rPr>
                <w:color w:val="000000"/>
              </w:rPr>
              <w:t xml:space="preserve"> (0020,0010)</w:t>
            </w:r>
          </w:p>
        </w:tc>
        <w:tc>
          <w:tcPr>
            <w:tcW w:w="2332" w:type="dxa"/>
            <w:shd w:val="clear" w:color="auto" w:fill="auto"/>
            <w:noWrap/>
            <w:vAlign w:val="center"/>
            <w:hideMark/>
          </w:tcPr>
          <w:p w14:paraId="2DA647B8" w14:textId="77777777" w:rsidR="007E6B54" w:rsidRPr="007E6B54" w:rsidRDefault="007E6B54" w:rsidP="007E6B54">
            <w:pPr>
              <w:spacing w:line="240" w:lineRule="auto"/>
              <w:jc w:val="left"/>
              <w:rPr>
                <w:color w:val="000000"/>
              </w:rPr>
            </w:pPr>
            <w:r w:rsidRPr="007E6B54">
              <w:rPr>
                <w:color w:val="000000"/>
              </w:rPr>
              <w:t>min. "</w:t>
            </w:r>
            <w:proofErr w:type="spellStart"/>
            <w:r w:rsidRPr="007E6B54">
              <w:rPr>
                <w:color w:val="000000"/>
              </w:rPr>
              <w:t>null</w:t>
            </w:r>
            <w:proofErr w:type="spellEnd"/>
            <w:r w:rsidRPr="007E6B54">
              <w:rPr>
                <w:color w:val="000000"/>
              </w:rPr>
              <w:t>"</w:t>
            </w:r>
          </w:p>
        </w:tc>
        <w:tc>
          <w:tcPr>
            <w:tcW w:w="2274" w:type="dxa"/>
            <w:shd w:val="clear" w:color="auto" w:fill="auto"/>
            <w:noWrap/>
            <w:vAlign w:val="center"/>
            <w:hideMark/>
          </w:tcPr>
          <w:p w14:paraId="5F1A3AE7"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1AA542FF" w14:textId="77777777" w:rsidTr="006E6457">
        <w:trPr>
          <w:trHeight w:val="300"/>
        </w:trPr>
        <w:tc>
          <w:tcPr>
            <w:tcW w:w="3752" w:type="dxa"/>
            <w:shd w:val="clear" w:color="auto" w:fill="auto"/>
            <w:noWrap/>
            <w:vAlign w:val="center"/>
            <w:hideMark/>
          </w:tcPr>
          <w:p w14:paraId="58EB4193" w14:textId="77777777" w:rsidR="007E6B54" w:rsidRPr="007E6B54" w:rsidRDefault="007E6B54" w:rsidP="007E6B54">
            <w:pPr>
              <w:spacing w:line="240" w:lineRule="auto"/>
              <w:jc w:val="left"/>
              <w:rPr>
                <w:color w:val="000000"/>
              </w:rPr>
            </w:pPr>
            <w:proofErr w:type="spellStart"/>
            <w:r w:rsidRPr="007E6B54">
              <w:rPr>
                <w:color w:val="000000"/>
              </w:rPr>
              <w:t>STU_StuInsUID</w:t>
            </w:r>
            <w:proofErr w:type="spellEnd"/>
            <w:r w:rsidRPr="007E6B54">
              <w:rPr>
                <w:color w:val="000000"/>
              </w:rPr>
              <w:t xml:space="preserve"> (0020,000d)</w:t>
            </w:r>
          </w:p>
        </w:tc>
        <w:tc>
          <w:tcPr>
            <w:tcW w:w="2332" w:type="dxa"/>
            <w:shd w:val="clear" w:color="auto" w:fill="auto"/>
            <w:noWrap/>
            <w:vAlign w:val="center"/>
            <w:hideMark/>
          </w:tcPr>
          <w:p w14:paraId="543F82BC" w14:textId="77777777" w:rsidR="007E6B54" w:rsidRPr="007E6B54" w:rsidRDefault="007E6B54" w:rsidP="007E6B54">
            <w:pPr>
              <w:spacing w:line="240" w:lineRule="auto"/>
              <w:jc w:val="left"/>
              <w:rPr>
                <w:color w:val="000000"/>
              </w:rPr>
            </w:pPr>
            <w:proofErr w:type="spellStart"/>
            <w:r w:rsidRPr="007E6B54">
              <w:rPr>
                <w:color w:val="000000"/>
              </w:rPr>
              <w:t>string</w:t>
            </w:r>
            <w:proofErr w:type="spellEnd"/>
          </w:p>
        </w:tc>
        <w:tc>
          <w:tcPr>
            <w:tcW w:w="2274" w:type="dxa"/>
            <w:shd w:val="clear" w:color="auto" w:fill="auto"/>
            <w:noWrap/>
            <w:vAlign w:val="center"/>
            <w:hideMark/>
          </w:tcPr>
          <w:p w14:paraId="23875A70"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53ABC591" w14:textId="77777777" w:rsidTr="006E6457">
        <w:trPr>
          <w:trHeight w:val="300"/>
        </w:trPr>
        <w:tc>
          <w:tcPr>
            <w:tcW w:w="3752" w:type="dxa"/>
            <w:shd w:val="clear" w:color="auto" w:fill="auto"/>
            <w:noWrap/>
            <w:vAlign w:val="center"/>
            <w:hideMark/>
          </w:tcPr>
          <w:p w14:paraId="5107EEFA" w14:textId="77777777" w:rsidR="007E6B54" w:rsidRPr="007E6B54" w:rsidRDefault="007E6B54" w:rsidP="007E6B54">
            <w:pPr>
              <w:spacing w:line="240" w:lineRule="auto"/>
              <w:jc w:val="left"/>
              <w:rPr>
                <w:color w:val="000000"/>
              </w:rPr>
            </w:pPr>
            <w:proofErr w:type="spellStart"/>
            <w:r w:rsidRPr="007E6B54">
              <w:rPr>
                <w:color w:val="000000"/>
              </w:rPr>
              <w:t>STU_RefPhyNam</w:t>
            </w:r>
            <w:proofErr w:type="spellEnd"/>
            <w:r w:rsidRPr="007E6B54">
              <w:rPr>
                <w:color w:val="000000"/>
              </w:rPr>
              <w:t xml:space="preserve"> (0008,0090)  </w:t>
            </w:r>
          </w:p>
        </w:tc>
        <w:tc>
          <w:tcPr>
            <w:tcW w:w="2332" w:type="dxa"/>
            <w:shd w:val="clear" w:color="auto" w:fill="auto"/>
            <w:noWrap/>
            <w:vAlign w:val="center"/>
            <w:hideMark/>
          </w:tcPr>
          <w:p w14:paraId="3867CB75" w14:textId="77777777" w:rsidR="007E6B54" w:rsidRPr="007E6B54" w:rsidRDefault="007E6B54" w:rsidP="007E6B54">
            <w:pPr>
              <w:spacing w:line="240" w:lineRule="auto"/>
              <w:jc w:val="left"/>
              <w:rPr>
                <w:color w:val="000000"/>
              </w:rPr>
            </w:pPr>
            <w:proofErr w:type="spellStart"/>
            <w:r w:rsidRPr="007E6B54">
              <w:rPr>
                <w:color w:val="000000"/>
              </w:rPr>
              <w:t>string</w:t>
            </w:r>
            <w:proofErr w:type="spellEnd"/>
          </w:p>
        </w:tc>
        <w:tc>
          <w:tcPr>
            <w:tcW w:w="2274" w:type="dxa"/>
            <w:shd w:val="clear" w:color="auto" w:fill="auto"/>
            <w:noWrap/>
            <w:vAlign w:val="center"/>
            <w:hideMark/>
          </w:tcPr>
          <w:p w14:paraId="00F50ACB"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0E7111E9" w14:textId="77777777" w:rsidTr="006E6457">
        <w:trPr>
          <w:trHeight w:val="300"/>
        </w:trPr>
        <w:tc>
          <w:tcPr>
            <w:tcW w:w="3752" w:type="dxa"/>
            <w:shd w:val="clear" w:color="auto" w:fill="auto"/>
            <w:noWrap/>
            <w:vAlign w:val="center"/>
            <w:hideMark/>
          </w:tcPr>
          <w:p w14:paraId="7FC731E0" w14:textId="77777777" w:rsidR="007E6B54" w:rsidRPr="007E6B54" w:rsidRDefault="007E6B54" w:rsidP="007E6B54">
            <w:pPr>
              <w:spacing w:line="240" w:lineRule="auto"/>
              <w:jc w:val="left"/>
              <w:rPr>
                <w:color w:val="000000"/>
              </w:rPr>
            </w:pPr>
            <w:r w:rsidRPr="007E6B54">
              <w:rPr>
                <w:color w:val="000000"/>
              </w:rPr>
              <w:t xml:space="preserve">Media </w:t>
            </w:r>
            <w:proofErr w:type="spellStart"/>
            <w:r w:rsidRPr="007E6B54">
              <w:rPr>
                <w:color w:val="000000"/>
              </w:rPr>
              <w:t>Storage</w:t>
            </w:r>
            <w:proofErr w:type="spellEnd"/>
            <w:r w:rsidRPr="007E6B54">
              <w:rPr>
                <w:color w:val="000000"/>
              </w:rPr>
              <w:t xml:space="preserve"> SOP </w:t>
            </w:r>
            <w:proofErr w:type="spellStart"/>
            <w:r w:rsidRPr="007E6B54">
              <w:rPr>
                <w:color w:val="000000"/>
              </w:rPr>
              <w:t>Class</w:t>
            </w:r>
            <w:proofErr w:type="spellEnd"/>
            <w:r w:rsidRPr="007E6B54">
              <w:rPr>
                <w:color w:val="000000"/>
              </w:rPr>
              <w:t xml:space="preserve"> UID (0002,0002)</w:t>
            </w:r>
          </w:p>
        </w:tc>
        <w:tc>
          <w:tcPr>
            <w:tcW w:w="2332" w:type="dxa"/>
            <w:shd w:val="clear" w:color="auto" w:fill="auto"/>
            <w:noWrap/>
            <w:vAlign w:val="center"/>
            <w:hideMark/>
          </w:tcPr>
          <w:p w14:paraId="17D160C1" w14:textId="77777777" w:rsidR="007E6B54" w:rsidRPr="007E6B54" w:rsidRDefault="007E6B54" w:rsidP="007E6B54">
            <w:pPr>
              <w:spacing w:line="240" w:lineRule="auto"/>
              <w:jc w:val="left"/>
              <w:rPr>
                <w:color w:val="000000"/>
              </w:rPr>
            </w:pPr>
            <w:proofErr w:type="spellStart"/>
            <w:r w:rsidRPr="007E6B54">
              <w:rPr>
                <w:color w:val="000000"/>
              </w:rPr>
              <w:t>string</w:t>
            </w:r>
            <w:proofErr w:type="spellEnd"/>
          </w:p>
        </w:tc>
        <w:tc>
          <w:tcPr>
            <w:tcW w:w="2274" w:type="dxa"/>
            <w:shd w:val="clear" w:color="auto" w:fill="auto"/>
            <w:noWrap/>
            <w:vAlign w:val="center"/>
            <w:hideMark/>
          </w:tcPr>
          <w:p w14:paraId="567981B0"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205B492E" w14:textId="77777777" w:rsidTr="006E6457">
        <w:trPr>
          <w:trHeight w:val="300"/>
        </w:trPr>
        <w:tc>
          <w:tcPr>
            <w:tcW w:w="3752" w:type="dxa"/>
            <w:shd w:val="clear" w:color="auto" w:fill="auto"/>
            <w:noWrap/>
            <w:vAlign w:val="center"/>
            <w:hideMark/>
          </w:tcPr>
          <w:p w14:paraId="22C8CA60" w14:textId="77777777" w:rsidR="007E6B54" w:rsidRPr="007E6B54" w:rsidRDefault="007E6B54" w:rsidP="007E6B54">
            <w:pPr>
              <w:spacing w:line="240" w:lineRule="auto"/>
              <w:jc w:val="left"/>
              <w:rPr>
                <w:color w:val="000000"/>
              </w:rPr>
            </w:pPr>
            <w:proofErr w:type="spellStart"/>
            <w:r w:rsidRPr="007E6B54">
              <w:rPr>
                <w:color w:val="000000"/>
              </w:rPr>
              <w:t>Imager</w:t>
            </w:r>
            <w:proofErr w:type="spellEnd"/>
            <w:r w:rsidRPr="007E6B54">
              <w:rPr>
                <w:color w:val="000000"/>
              </w:rPr>
              <w:t xml:space="preserve"> Pixel </w:t>
            </w:r>
            <w:proofErr w:type="spellStart"/>
            <w:r w:rsidRPr="007E6B54">
              <w:rPr>
                <w:color w:val="000000"/>
              </w:rPr>
              <w:t>Spacing</w:t>
            </w:r>
            <w:proofErr w:type="spellEnd"/>
            <w:r w:rsidRPr="007E6B54">
              <w:rPr>
                <w:color w:val="000000"/>
              </w:rPr>
              <w:t xml:space="preserve"> (0018,1164)</w:t>
            </w:r>
          </w:p>
        </w:tc>
        <w:tc>
          <w:tcPr>
            <w:tcW w:w="2332" w:type="dxa"/>
            <w:shd w:val="clear" w:color="auto" w:fill="auto"/>
            <w:noWrap/>
            <w:vAlign w:val="center"/>
            <w:hideMark/>
          </w:tcPr>
          <w:p w14:paraId="0C08773B" w14:textId="77777777" w:rsidR="007E6B54" w:rsidRPr="007E6B54" w:rsidRDefault="007E6B54" w:rsidP="007E6B54">
            <w:pPr>
              <w:spacing w:line="240" w:lineRule="auto"/>
              <w:jc w:val="left"/>
              <w:rPr>
                <w:color w:val="000000"/>
              </w:rPr>
            </w:pPr>
            <w:proofErr w:type="spellStart"/>
            <w:r w:rsidRPr="007E6B54">
              <w:rPr>
                <w:color w:val="000000"/>
              </w:rPr>
              <w:t>value</w:t>
            </w:r>
            <w:proofErr w:type="spellEnd"/>
          </w:p>
        </w:tc>
        <w:tc>
          <w:tcPr>
            <w:tcW w:w="2274" w:type="dxa"/>
            <w:shd w:val="clear" w:color="auto" w:fill="auto"/>
            <w:noWrap/>
            <w:vAlign w:val="center"/>
            <w:hideMark/>
          </w:tcPr>
          <w:p w14:paraId="3BD2C84F" w14:textId="77777777" w:rsidR="007E6B54" w:rsidRPr="007E6B54" w:rsidRDefault="007E6B54" w:rsidP="007E6B54">
            <w:pPr>
              <w:spacing w:line="240" w:lineRule="auto"/>
              <w:jc w:val="left"/>
              <w:rPr>
                <w:color w:val="000000"/>
              </w:rPr>
            </w:pPr>
            <w:r w:rsidRPr="007E6B54">
              <w:rPr>
                <w:color w:val="000000"/>
              </w:rPr>
              <w:t>Ne </w:t>
            </w:r>
          </w:p>
        </w:tc>
      </w:tr>
      <w:tr w:rsidR="007E6B54" w:rsidRPr="007E6B54" w14:paraId="42FAA6B8" w14:textId="77777777" w:rsidTr="006E6457">
        <w:trPr>
          <w:trHeight w:val="300"/>
        </w:trPr>
        <w:tc>
          <w:tcPr>
            <w:tcW w:w="3752" w:type="dxa"/>
            <w:shd w:val="clear" w:color="auto" w:fill="auto"/>
            <w:noWrap/>
            <w:vAlign w:val="center"/>
            <w:hideMark/>
          </w:tcPr>
          <w:p w14:paraId="69133250" w14:textId="77777777" w:rsidR="007E6B54" w:rsidRPr="007E6B54" w:rsidRDefault="007E6B54" w:rsidP="007E6B54">
            <w:pPr>
              <w:spacing w:line="240" w:lineRule="auto"/>
              <w:jc w:val="left"/>
              <w:rPr>
                <w:color w:val="000000"/>
              </w:rPr>
            </w:pPr>
            <w:proofErr w:type="spellStart"/>
            <w:r w:rsidRPr="007E6B54">
              <w:rPr>
                <w:color w:val="000000"/>
              </w:rPr>
              <w:t>Planar</w:t>
            </w:r>
            <w:proofErr w:type="spellEnd"/>
            <w:r w:rsidRPr="007E6B54">
              <w:rPr>
                <w:color w:val="000000"/>
              </w:rPr>
              <w:t xml:space="preserve"> </w:t>
            </w:r>
            <w:proofErr w:type="spellStart"/>
            <w:r w:rsidRPr="007E6B54">
              <w:rPr>
                <w:color w:val="000000"/>
              </w:rPr>
              <w:t>Configuration</w:t>
            </w:r>
            <w:proofErr w:type="spellEnd"/>
            <w:r w:rsidRPr="007E6B54">
              <w:rPr>
                <w:color w:val="000000"/>
              </w:rPr>
              <w:t xml:space="preserve"> (0028,0006)</w:t>
            </w:r>
          </w:p>
        </w:tc>
        <w:tc>
          <w:tcPr>
            <w:tcW w:w="2332" w:type="dxa"/>
            <w:shd w:val="clear" w:color="auto" w:fill="auto"/>
            <w:noWrap/>
            <w:vAlign w:val="center"/>
            <w:hideMark/>
          </w:tcPr>
          <w:p w14:paraId="207E27A4" w14:textId="77777777" w:rsidR="007E6B54" w:rsidRPr="007E6B54" w:rsidRDefault="007E6B54" w:rsidP="007E6B54">
            <w:pPr>
              <w:spacing w:line="240" w:lineRule="auto"/>
              <w:jc w:val="left"/>
              <w:rPr>
                <w:color w:val="000000"/>
              </w:rPr>
            </w:pPr>
            <w:r w:rsidRPr="007E6B54">
              <w:rPr>
                <w:color w:val="000000"/>
              </w:rPr>
              <w:t>pokud je toto dáno povahou Zařízení</w:t>
            </w:r>
          </w:p>
        </w:tc>
        <w:tc>
          <w:tcPr>
            <w:tcW w:w="2274" w:type="dxa"/>
            <w:shd w:val="clear" w:color="auto" w:fill="auto"/>
            <w:noWrap/>
            <w:vAlign w:val="center"/>
            <w:hideMark/>
          </w:tcPr>
          <w:p w14:paraId="22C38CBB"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55C7DEBB" w14:textId="77777777" w:rsidTr="006E6457">
        <w:trPr>
          <w:trHeight w:val="300"/>
        </w:trPr>
        <w:tc>
          <w:tcPr>
            <w:tcW w:w="3752" w:type="dxa"/>
            <w:shd w:val="clear" w:color="auto" w:fill="auto"/>
            <w:noWrap/>
            <w:vAlign w:val="center"/>
            <w:hideMark/>
          </w:tcPr>
          <w:p w14:paraId="24DAB0F2" w14:textId="77777777" w:rsidR="007E6B54" w:rsidRPr="007E6B54" w:rsidRDefault="007E6B54" w:rsidP="007E6B54">
            <w:pPr>
              <w:spacing w:line="240" w:lineRule="auto"/>
              <w:jc w:val="left"/>
              <w:rPr>
                <w:color w:val="000000"/>
              </w:rPr>
            </w:pPr>
            <w:r w:rsidRPr="007E6B54">
              <w:rPr>
                <w:color w:val="000000"/>
              </w:rPr>
              <w:t xml:space="preserve">Image </w:t>
            </w:r>
            <w:proofErr w:type="spellStart"/>
            <w:r w:rsidRPr="007E6B54">
              <w:rPr>
                <w:color w:val="000000"/>
              </w:rPr>
              <w:t>Orientation</w:t>
            </w:r>
            <w:proofErr w:type="spellEnd"/>
            <w:r w:rsidRPr="007E6B54">
              <w:rPr>
                <w:color w:val="000000"/>
              </w:rPr>
              <w:t xml:space="preserve"> (</w:t>
            </w:r>
            <w:proofErr w:type="spellStart"/>
            <w:r w:rsidRPr="007E6B54">
              <w:rPr>
                <w:color w:val="000000"/>
              </w:rPr>
              <w:t>Patient</w:t>
            </w:r>
            <w:proofErr w:type="spellEnd"/>
            <w:r w:rsidRPr="007E6B54">
              <w:rPr>
                <w:color w:val="000000"/>
              </w:rPr>
              <w:t>) (0020,0037)</w:t>
            </w:r>
          </w:p>
        </w:tc>
        <w:tc>
          <w:tcPr>
            <w:tcW w:w="2332" w:type="dxa"/>
            <w:shd w:val="clear" w:color="auto" w:fill="auto"/>
            <w:noWrap/>
            <w:vAlign w:val="center"/>
            <w:hideMark/>
          </w:tcPr>
          <w:p w14:paraId="74C2EE0E" w14:textId="77777777" w:rsidR="007E6B54" w:rsidRPr="007E6B54" w:rsidRDefault="007E6B54" w:rsidP="007E6B54">
            <w:pPr>
              <w:spacing w:line="240" w:lineRule="auto"/>
              <w:jc w:val="left"/>
              <w:rPr>
                <w:color w:val="000000"/>
              </w:rPr>
            </w:pPr>
            <w:r w:rsidRPr="007E6B54">
              <w:rPr>
                <w:color w:val="000000"/>
              </w:rPr>
              <w:t>pokud je toto dáno povahou Zařízení</w:t>
            </w:r>
          </w:p>
        </w:tc>
        <w:tc>
          <w:tcPr>
            <w:tcW w:w="2274" w:type="dxa"/>
            <w:shd w:val="clear" w:color="auto" w:fill="auto"/>
            <w:noWrap/>
            <w:vAlign w:val="center"/>
            <w:hideMark/>
          </w:tcPr>
          <w:p w14:paraId="75338D7D" w14:textId="77777777" w:rsidR="007E6B54" w:rsidRPr="007E6B54" w:rsidRDefault="007E6B54" w:rsidP="007E6B54">
            <w:pPr>
              <w:spacing w:line="240" w:lineRule="auto"/>
              <w:jc w:val="left"/>
              <w:rPr>
                <w:color w:val="000000"/>
              </w:rPr>
            </w:pPr>
            <w:r w:rsidRPr="007E6B54">
              <w:rPr>
                <w:color w:val="000000"/>
              </w:rPr>
              <w:t>Ne </w:t>
            </w:r>
          </w:p>
        </w:tc>
      </w:tr>
      <w:tr w:rsidR="007E6B54" w:rsidRPr="007E6B54" w14:paraId="29FA9613" w14:textId="77777777" w:rsidTr="006E6457">
        <w:trPr>
          <w:trHeight w:val="300"/>
        </w:trPr>
        <w:tc>
          <w:tcPr>
            <w:tcW w:w="3752" w:type="dxa"/>
            <w:shd w:val="clear" w:color="auto" w:fill="auto"/>
            <w:noWrap/>
            <w:vAlign w:val="center"/>
            <w:hideMark/>
          </w:tcPr>
          <w:p w14:paraId="6FB8A28B" w14:textId="77777777" w:rsidR="007E6B54" w:rsidRPr="007E6B54" w:rsidRDefault="007E6B54" w:rsidP="007E6B54">
            <w:pPr>
              <w:spacing w:line="240" w:lineRule="auto"/>
              <w:jc w:val="left"/>
              <w:rPr>
                <w:color w:val="000000"/>
              </w:rPr>
            </w:pPr>
            <w:proofErr w:type="spellStart"/>
            <w:r w:rsidRPr="007E6B54">
              <w:rPr>
                <w:color w:val="000000"/>
              </w:rPr>
              <w:t>Institution</w:t>
            </w:r>
            <w:proofErr w:type="spellEnd"/>
            <w:r w:rsidRPr="007E6B54">
              <w:rPr>
                <w:color w:val="000000"/>
              </w:rPr>
              <w:t xml:space="preserve"> </w:t>
            </w:r>
            <w:proofErr w:type="spellStart"/>
            <w:r w:rsidRPr="007E6B54">
              <w:rPr>
                <w:color w:val="000000"/>
              </w:rPr>
              <w:t>Name</w:t>
            </w:r>
            <w:proofErr w:type="spellEnd"/>
            <w:r w:rsidRPr="007E6B54">
              <w:rPr>
                <w:color w:val="000000"/>
              </w:rPr>
              <w:t xml:space="preserve"> (0008,0080)</w:t>
            </w:r>
          </w:p>
        </w:tc>
        <w:tc>
          <w:tcPr>
            <w:tcW w:w="2332" w:type="dxa"/>
            <w:shd w:val="clear" w:color="auto" w:fill="auto"/>
            <w:noWrap/>
            <w:vAlign w:val="center"/>
            <w:hideMark/>
          </w:tcPr>
          <w:p w14:paraId="19409CF1" w14:textId="77777777" w:rsidR="007E6B54" w:rsidRPr="007E6B54" w:rsidRDefault="007E6B54" w:rsidP="007E6B54">
            <w:pPr>
              <w:spacing w:line="240" w:lineRule="auto"/>
              <w:jc w:val="left"/>
              <w:rPr>
                <w:b/>
                <w:bCs/>
                <w:color w:val="000000"/>
              </w:rPr>
            </w:pPr>
            <w:r w:rsidRPr="007E6B54">
              <w:rPr>
                <w:b/>
                <w:bCs/>
                <w:color w:val="000000"/>
              </w:rPr>
              <w:t>FN BRNO</w:t>
            </w:r>
          </w:p>
        </w:tc>
        <w:tc>
          <w:tcPr>
            <w:tcW w:w="2274" w:type="dxa"/>
            <w:shd w:val="clear" w:color="auto" w:fill="auto"/>
            <w:noWrap/>
            <w:vAlign w:val="center"/>
            <w:hideMark/>
          </w:tcPr>
          <w:p w14:paraId="5ED1997F"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36AB28EF" w14:textId="77777777" w:rsidTr="006E6457">
        <w:trPr>
          <w:trHeight w:val="300"/>
        </w:trPr>
        <w:tc>
          <w:tcPr>
            <w:tcW w:w="3752" w:type="dxa"/>
            <w:shd w:val="clear" w:color="auto" w:fill="auto"/>
            <w:noWrap/>
            <w:vAlign w:val="center"/>
            <w:hideMark/>
          </w:tcPr>
          <w:p w14:paraId="0D5C10D3" w14:textId="77777777" w:rsidR="007E6B54" w:rsidRPr="007E6B54" w:rsidRDefault="007E6B54" w:rsidP="007E6B54">
            <w:pPr>
              <w:spacing w:line="240" w:lineRule="auto"/>
              <w:jc w:val="left"/>
              <w:rPr>
                <w:color w:val="000000"/>
              </w:rPr>
            </w:pPr>
            <w:proofErr w:type="spellStart"/>
            <w:r w:rsidRPr="007E6B54">
              <w:rPr>
                <w:color w:val="000000"/>
              </w:rPr>
              <w:t>Institutional</w:t>
            </w:r>
            <w:proofErr w:type="spellEnd"/>
            <w:r w:rsidRPr="007E6B54">
              <w:rPr>
                <w:color w:val="000000"/>
              </w:rPr>
              <w:t xml:space="preserve"> Department </w:t>
            </w:r>
            <w:proofErr w:type="spellStart"/>
            <w:r w:rsidRPr="007E6B54">
              <w:rPr>
                <w:color w:val="000000"/>
              </w:rPr>
              <w:t>Name</w:t>
            </w:r>
            <w:proofErr w:type="spellEnd"/>
            <w:r w:rsidRPr="007E6B54">
              <w:rPr>
                <w:color w:val="000000"/>
              </w:rPr>
              <w:t xml:space="preserve"> (0008,1040)</w:t>
            </w:r>
          </w:p>
        </w:tc>
        <w:tc>
          <w:tcPr>
            <w:tcW w:w="2332" w:type="dxa"/>
            <w:shd w:val="clear" w:color="auto" w:fill="auto"/>
            <w:noWrap/>
            <w:vAlign w:val="center"/>
            <w:hideMark/>
          </w:tcPr>
          <w:p w14:paraId="1FFE31CA" w14:textId="77777777" w:rsidR="007E6B54" w:rsidRPr="007E6B54" w:rsidRDefault="007E6B54" w:rsidP="007E6B54">
            <w:pPr>
              <w:spacing w:line="240" w:lineRule="auto"/>
              <w:jc w:val="left"/>
              <w:rPr>
                <w:color w:val="000000"/>
              </w:rPr>
            </w:pPr>
            <w:r w:rsidRPr="007E6B54">
              <w:rPr>
                <w:color w:val="000000"/>
              </w:rPr>
              <w:t xml:space="preserve">Zkratka oddělení (např. </w:t>
            </w:r>
            <w:r w:rsidRPr="007E6B54">
              <w:rPr>
                <w:b/>
                <w:bCs/>
                <w:color w:val="000000"/>
              </w:rPr>
              <w:t>IGEK</w:t>
            </w:r>
            <w:r w:rsidRPr="007E6B54">
              <w:rPr>
                <w:color w:val="000000"/>
              </w:rPr>
              <w:t>, IKK, KRNM)</w:t>
            </w:r>
          </w:p>
        </w:tc>
        <w:tc>
          <w:tcPr>
            <w:tcW w:w="2274" w:type="dxa"/>
            <w:shd w:val="clear" w:color="auto" w:fill="auto"/>
            <w:noWrap/>
            <w:vAlign w:val="center"/>
            <w:hideMark/>
          </w:tcPr>
          <w:p w14:paraId="75C8E2A1"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510DAE28" w14:textId="77777777" w:rsidTr="006E6457">
        <w:trPr>
          <w:trHeight w:val="300"/>
        </w:trPr>
        <w:tc>
          <w:tcPr>
            <w:tcW w:w="3752" w:type="dxa"/>
            <w:shd w:val="clear" w:color="auto" w:fill="auto"/>
            <w:noWrap/>
            <w:vAlign w:val="center"/>
            <w:hideMark/>
          </w:tcPr>
          <w:p w14:paraId="5F4E28C5" w14:textId="77777777" w:rsidR="007E6B54" w:rsidRPr="007E6B54" w:rsidRDefault="007E6B54" w:rsidP="007E6B54">
            <w:pPr>
              <w:spacing w:line="240" w:lineRule="auto"/>
              <w:jc w:val="left"/>
              <w:rPr>
                <w:b/>
                <w:bCs/>
                <w:color w:val="000000"/>
              </w:rPr>
            </w:pPr>
            <w:r w:rsidRPr="007E6B54">
              <w:rPr>
                <w:b/>
                <w:bCs/>
                <w:color w:val="000000"/>
              </w:rPr>
              <w:t>REQUIRED_SERIES_FIELDS</w:t>
            </w:r>
          </w:p>
        </w:tc>
        <w:tc>
          <w:tcPr>
            <w:tcW w:w="2332" w:type="dxa"/>
            <w:shd w:val="clear" w:color="auto" w:fill="auto"/>
            <w:noWrap/>
            <w:vAlign w:val="center"/>
            <w:hideMark/>
          </w:tcPr>
          <w:p w14:paraId="547F0680" w14:textId="77777777" w:rsidR="007E6B54" w:rsidRPr="007E6B54" w:rsidRDefault="007E6B54" w:rsidP="007E6B54">
            <w:pPr>
              <w:spacing w:line="240" w:lineRule="auto"/>
              <w:jc w:val="left"/>
              <w:rPr>
                <w:color w:val="000000"/>
              </w:rPr>
            </w:pPr>
            <w:r w:rsidRPr="007E6B54">
              <w:rPr>
                <w:color w:val="000000"/>
              </w:rPr>
              <w:t> </w:t>
            </w:r>
          </w:p>
        </w:tc>
        <w:tc>
          <w:tcPr>
            <w:tcW w:w="2274" w:type="dxa"/>
            <w:shd w:val="clear" w:color="auto" w:fill="auto"/>
            <w:noWrap/>
            <w:vAlign w:val="center"/>
            <w:hideMark/>
          </w:tcPr>
          <w:p w14:paraId="28293CC9" w14:textId="77777777" w:rsidR="007E6B54" w:rsidRPr="007E6B54" w:rsidRDefault="007E6B54" w:rsidP="007E6B54">
            <w:pPr>
              <w:spacing w:line="240" w:lineRule="auto"/>
              <w:jc w:val="left"/>
              <w:rPr>
                <w:color w:val="000000"/>
              </w:rPr>
            </w:pPr>
            <w:r w:rsidRPr="007E6B54">
              <w:rPr>
                <w:color w:val="000000"/>
              </w:rPr>
              <w:t> </w:t>
            </w:r>
          </w:p>
        </w:tc>
      </w:tr>
      <w:tr w:rsidR="007E6B54" w:rsidRPr="007E6B54" w14:paraId="27E7A181" w14:textId="77777777" w:rsidTr="006E6457">
        <w:trPr>
          <w:trHeight w:val="300"/>
        </w:trPr>
        <w:tc>
          <w:tcPr>
            <w:tcW w:w="3752" w:type="dxa"/>
            <w:shd w:val="clear" w:color="auto" w:fill="auto"/>
            <w:noWrap/>
            <w:vAlign w:val="center"/>
            <w:hideMark/>
          </w:tcPr>
          <w:p w14:paraId="14DF04C8" w14:textId="77777777" w:rsidR="007E6B54" w:rsidRPr="007E6B54" w:rsidRDefault="007E6B54" w:rsidP="007E6B54">
            <w:pPr>
              <w:spacing w:line="240" w:lineRule="auto"/>
              <w:jc w:val="left"/>
              <w:rPr>
                <w:color w:val="000000"/>
              </w:rPr>
            </w:pPr>
            <w:proofErr w:type="spellStart"/>
            <w:r w:rsidRPr="007E6B54">
              <w:rPr>
                <w:color w:val="000000"/>
              </w:rPr>
              <w:t>SER_Mod</w:t>
            </w:r>
            <w:proofErr w:type="spellEnd"/>
            <w:r w:rsidRPr="007E6B54">
              <w:rPr>
                <w:color w:val="000000"/>
              </w:rPr>
              <w:t xml:space="preserve"> (0008,0060)</w:t>
            </w:r>
          </w:p>
        </w:tc>
        <w:tc>
          <w:tcPr>
            <w:tcW w:w="2332" w:type="dxa"/>
            <w:shd w:val="clear" w:color="auto" w:fill="auto"/>
            <w:noWrap/>
            <w:vAlign w:val="center"/>
            <w:hideMark/>
          </w:tcPr>
          <w:p w14:paraId="4AC734BD" w14:textId="77777777" w:rsidR="007E6B54" w:rsidRPr="007E6B54" w:rsidRDefault="007E6B54" w:rsidP="007E6B54">
            <w:pPr>
              <w:spacing w:line="240" w:lineRule="auto"/>
              <w:jc w:val="left"/>
              <w:rPr>
                <w:color w:val="000000"/>
              </w:rPr>
            </w:pPr>
            <w:proofErr w:type="spellStart"/>
            <w:r w:rsidRPr="007E6B54">
              <w:rPr>
                <w:color w:val="000000"/>
              </w:rPr>
              <w:t>value</w:t>
            </w:r>
            <w:proofErr w:type="spellEnd"/>
            <w:r w:rsidRPr="007E6B54">
              <w:rPr>
                <w:color w:val="000000"/>
              </w:rPr>
              <w:t xml:space="preserve"> (př. MR, CT, MG, DX,…)</w:t>
            </w:r>
          </w:p>
        </w:tc>
        <w:tc>
          <w:tcPr>
            <w:tcW w:w="2274" w:type="dxa"/>
            <w:shd w:val="clear" w:color="auto" w:fill="auto"/>
            <w:noWrap/>
            <w:vAlign w:val="center"/>
            <w:hideMark/>
          </w:tcPr>
          <w:p w14:paraId="573F0675"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445AF5C8" w14:textId="77777777" w:rsidTr="006E6457">
        <w:trPr>
          <w:trHeight w:val="300"/>
        </w:trPr>
        <w:tc>
          <w:tcPr>
            <w:tcW w:w="3752" w:type="dxa"/>
            <w:shd w:val="clear" w:color="auto" w:fill="auto"/>
            <w:noWrap/>
            <w:vAlign w:val="center"/>
            <w:hideMark/>
          </w:tcPr>
          <w:p w14:paraId="7C2B9406" w14:textId="77777777" w:rsidR="007E6B54" w:rsidRPr="007E6B54" w:rsidRDefault="007E6B54" w:rsidP="007E6B54">
            <w:pPr>
              <w:spacing w:line="240" w:lineRule="auto"/>
              <w:jc w:val="left"/>
              <w:rPr>
                <w:color w:val="000000"/>
              </w:rPr>
            </w:pPr>
            <w:proofErr w:type="spellStart"/>
            <w:r w:rsidRPr="007E6B54">
              <w:rPr>
                <w:color w:val="000000"/>
              </w:rPr>
              <w:t>SER_SerNum</w:t>
            </w:r>
            <w:proofErr w:type="spellEnd"/>
            <w:r w:rsidRPr="007E6B54">
              <w:rPr>
                <w:color w:val="000000"/>
              </w:rPr>
              <w:t xml:space="preserve"> (0020,0011)</w:t>
            </w:r>
          </w:p>
        </w:tc>
        <w:tc>
          <w:tcPr>
            <w:tcW w:w="2332" w:type="dxa"/>
            <w:shd w:val="clear" w:color="auto" w:fill="auto"/>
            <w:noWrap/>
            <w:vAlign w:val="center"/>
            <w:hideMark/>
          </w:tcPr>
          <w:p w14:paraId="2EDA92EE" w14:textId="77777777" w:rsidR="007E6B54" w:rsidRPr="007E6B54" w:rsidRDefault="007E6B54" w:rsidP="007E6B54">
            <w:pPr>
              <w:spacing w:line="240" w:lineRule="auto"/>
              <w:jc w:val="left"/>
              <w:rPr>
                <w:color w:val="000000"/>
              </w:rPr>
            </w:pPr>
            <w:proofErr w:type="spellStart"/>
            <w:r w:rsidRPr="007E6B54">
              <w:rPr>
                <w:color w:val="000000"/>
              </w:rPr>
              <w:t>value</w:t>
            </w:r>
            <w:proofErr w:type="spellEnd"/>
          </w:p>
        </w:tc>
        <w:tc>
          <w:tcPr>
            <w:tcW w:w="2274" w:type="dxa"/>
            <w:shd w:val="clear" w:color="auto" w:fill="auto"/>
            <w:noWrap/>
            <w:vAlign w:val="center"/>
            <w:hideMark/>
          </w:tcPr>
          <w:p w14:paraId="12438BE8"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1AF4E15C" w14:textId="77777777" w:rsidTr="006E6457">
        <w:trPr>
          <w:trHeight w:val="300"/>
        </w:trPr>
        <w:tc>
          <w:tcPr>
            <w:tcW w:w="3752" w:type="dxa"/>
            <w:shd w:val="clear" w:color="auto" w:fill="auto"/>
            <w:noWrap/>
            <w:vAlign w:val="center"/>
            <w:hideMark/>
          </w:tcPr>
          <w:p w14:paraId="7093E3D4" w14:textId="77777777" w:rsidR="007E6B54" w:rsidRPr="007E6B54" w:rsidRDefault="007E6B54" w:rsidP="007E6B54">
            <w:pPr>
              <w:spacing w:line="240" w:lineRule="auto"/>
              <w:jc w:val="left"/>
              <w:rPr>
                <w:color w:val="000000"/>
              </w:rPr>
            </w:pPr>
            <w:proofErr w:type="spellStart"/>
            <w:r w:rsidRPr="007E6B54">
              <w:rPr>
                <w:color w:val="000000"/>
              </w:rPr>
              <w:t>SER_SerInsUID</w:t>
            </w:r>
            <w:proofErr w:type="spellEnd"/>
            <w:r w:rsidRPr="007E6B54">
              <w:rPr>
                <w:color w:val="000000"/>
              </w:rPr>
              <w:t xml:space="preserve"> (0020,000e)</w:t>
            </w:r>
          </w:p>
        </w:tc>
        <w:tc>
          <w:tcPr>
            <w:tcW w:w="2332" w:type="dxa"/>
            <w:shd w:val="clear" w:color="auto" w:fill="auto"/>
            <w:noWrap/>
            <w:vAlign w:val="center"/>
            <w:hideMark/>
          </w:tcPr>
          <w:p w14:paraId="7498249D" w14:textId="77777777" w:rsidR="007E6B54" w:rsidRPr="007E6B54" w:rsidRDefault="007E6B54" w:rsidP="007E6B54">
            <w:pPr>
              <w:spacing w:line="240" w:lineRule="auto"/>
              <w:jc w:val="left"/>
              <w:rPr>
                <w:color w:val="000000"/>
              </w:rPr>
            </w:pPr>
            <w:proofErr w:type="spellStart"/>
            <w:r w:rsidRPr="007E6B54">
              <w:rPr>
                <w:color w:val="000000"/>
              </w:rPr>
              <w:t>string</w:t>
            </w:r>
            <w:proofErr w:type="spellEnd"/>
          </w:p>
        </w:tc>
        <w:tc>
          <w:tcPr>
            <w:tcW w:w="2274" w:type="dxa"/>
            <w:shd w:val="clear" w:color="auto" w:fill="auto"/>
            <w:noWrap/>
            <w:vAlign w:val="center"/>
            <w:hideMark/>
          </w:tcPr>
          <w:p w14:paraId="0BC18AC2"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3CCED06E" w14:textId="77777777" w:rsidTr="006E6457">
        <w:trPr>
          <w:trHeight w:val="300"/>
        </w:trPr>
        <w:tc>
          <w:tcPr>
            <w:tcW w:w="3752" w:type="dxa"/>
            <w:shd w:val="clear" w:color="auto" w:fill="auto"/>
            <w:noWrap/>
            <w:vAlign w:val="center"/>
            <w:hideMark/>
          </w:tcPr>
          <w:p w14:paraId="3F7658B2" w14:textId="77777777" w:rsidR="007E6B54" w:rsidRPr="007E6B54" w:rsidRDefault="007E6B54" w:rsidP="007E6B54">
            <w:pPr>
              <w:spacing w:line="240" w:lineRule="auto"/>
              <w:jc w:val="left"/>
              <w:rPr>
                <w:b/>
                <w:bCs/>
                <w:color w:val="000000"/>
              </w:rPr>
            </w:pPr>
            <w:r w:rsidRPr="007E6B54">
              <w:rPr>
                <w:b/>
                <w:bCs/>
                <w:color w:val="000000"/>
              </w:rPr>
              <w:t>REQUIRED_IMAGE_FIELDS</w:t>
            </w:r>
          </w:p>
        </w:tc>
        <w:tc>
          <w:tcPr>
            <w:tcW w:w="2332" w:type="dxa"/>
            <w:shd w:val="clear" w:color="auto" w:fill="auto"/>
            <w:noWrap/>
            <w:vAlign w:val="center"/>
            <w:hideMark/>
          </w:tcPr>
          <w:p w14:paraId="3A356913" w14:textId="77777777" w:rsidR="007E6B54" w:rsidRPr="007E6B54" w:rsidRDefault="007E6B54" w:rsidP="007E6B54">
            <w:pPr>
              <w:spacing w:line="240" w:lineRule="auto"/>
              <w:jc w:val="left"/>
              <w:rPr>
                <w:color w:val="000000"/>
              </w:rPr>
            </w:pPr>
            <w:r w:rsidRPr="007E6B54">
              <w:rPr>
                <w:color w:val="000000"/>
              </w:rPr>
              <w:t> </w:t>
            </w:r>
          </w:p>
        </w:tc>
        <w:tc>
          <w:tcPr>
            <w:tcW w:w="2274" w:type="dxa"/>
            <w:shd w:val="clear" w:color="auto" w:fill="auto"/>
            <w:noWrap/>
            <w:vAlign w:val="center"/>
            <w:hideMark/>
          </w:tcPr>
          <w:p w14:paraId="2E0CD186" w14:textId="77777777" w:rsidR="007E6B54" w:rsidRPr="007E6B54" w:rsidRDefault="007E6B54" w:rsidP="007E6B54">
            <w:pPr>
              <w:spacing w:line="240" w:lineRule="auto"/>
              <w:ind w:firstLineChars="1000" w:firstLine="2200"/>
              <w:jc w:val="left"/>
              <w:rPr>
                <w:color w:val="000000"/>
              </w:rPr>
            </w:pPr>
            <w:r w:rsidRPr="007E6B54">
              <w:rPr>
                <w:color w:val="000000"/>
              </w:rPr>
              <w:t> </w:t>
            </w:r>
          </w:p>
        </w:tc>
      </w:tr>
      <w:tr w:rsidR="007E6B54" w:rsidRPr="007E6B54" w14:paraId="55AB86AB" w14:textId="77777777" w:rsidTr="006E6457">
        <w:trPr>
          <w:trHeight w:val="300"/>
        </w:trPr>
        <w:tc>
          <w:tcPr>
            <w:tcW w:w="3752" w:type="dxa"/>
            <w:shd w:val="clear" w:color="auto" w:fill="auto"/>
            <w:noWrap/>
            <w:vAlign w:val="center"/>
            <w:hideMark/>
          </w:tcPr>
          <w:p w14:paraId="651EE220" w14:textId="77777777" w:rsidR="007E6B54" w:rsidRPr="007E6B54" w:rsidRDefault="007E6B54" w:rsidP="007E6B54">
            <w:pPr>
              <w:spacing w:line="240" w:lineRule="auto"/>
              <w:jc w:val="left"/>
              <w:rPr>
                <w:color w:val="000000"/>
              </w:rPr>
            </w:pPr>
            <w:proofErr w:type="spellStart"/>
            <w:r w:rsidRPr="007E6B54">
              <w:rPr>
                <w:color w:val="000000"/>
              </w:rPr>
              <w:t>IMA_ImaNum</w:t>
            </w:r>
            <w:proofErr w:type="spellEnd"/>
            <w:r w:rsidRPr="007E6B54">
              <w:rPr>
                <w:color w:val="000000"/>
              </w:rPr>
              <w:t xml:space="preserve"> (0020,0013)</w:t>
            </w:r>
          </w:p>
        </w:tc>
        <w:tc>
          <w:tcPr>
            <w:tcW w:w="2332" w:type="dxa"/>
            <w:shd w:val="clear" w:color="auto" w:fill="auto"/>
            <w:noWrap/>
            <w:vAlign w:val="center"/>
            <w:hideMark/>
          </w:tcPr>
          <w:p w14:paraId="6CD5E17B" w14:textId="77777777" w:rsidR="007E6B54" w:rsidRPr="007E6B54" w:rsidRDefault="007E6B54" w:rsidP="007E6B54">
            <w:pPr>
              <w:spacing w:line="240" w:lineRule="auto"/>
              <w:jc w:val="left"/>
              <w:rPr>
                <w:color w:val="000000"/>
              </w:rPr>
            </w:pPr>
            <w:proofErr w:type="spellStart"/>
            <w:r w:rsidRPr="007E6B54">
              <w:rPr>
                <w:color w:val="000000"/>
              </w:rPr>
              <w:t>value</w:t>
            </w:r>
            <w:proofErr w:type="spellEnd"/>
          </w:p>
        </w:tc>
        <w:tc>
          <w:tcPr>
            <w:tcW w:w="2274" w:type="dxa"/>
            <w:shd w:val="clear" w:color="auto" w:fill="auto"/>
            <w:noWrap/>
            <w:vAlign w:val="center"/>
            <w:hideMark/>
          </w:tcPr>
          <w:p w14:paraId="64380F30"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0BE330FE" w14:textId="77777777" w:rsidTr="006E6457">
        <w:trPr>
          <w:trHeight w:val="300"/>
        </w:trPr>
        <w:tc>
          <w:tcPr>
            <w:tcW w:w="3752" w:type="dxa"/>
            <w:shd w:val="clear" w:color="auto" w:fill="auto"/>
            <w:noWrap/>
            <w:vAlign w:val="center"/>
            <w:hideMark/>
          </w:tcPr>
          <w:p w14:paraId="305A2CFB" w14:textId="77777777" w:rsidR="007E6B54" w:rsidRPr="007E6B54" w:rsidRDefault="007E6B54" w:rsidP="007E6B54">
            <w:pPr>
              <w:spacing w:line="240" w:lineRule="auto"/>
              <w:jc w:val="left"/>
              <w:rPr>
                <w:color w:val="000000"/>
              </w:rPr>
            </w:pPr>
            <w:proofErr w:type="spellStart"/>
            <w:r w:rsidRPr="007E6B54">
              <w:rPr>
                <w:color w:val="000000"/>
              </w:rPr>
              <w:t>IMA_SOPInsUID</w:t>
            </w:r>
            <w:proofErr w:type="spellEnd"/>
            <w:r w:rsidRPr="007E6B54">
              <w:rPr>
                <w:color w:val="000000"/>
              </w:rPr>
              <w:t xml:space="preserve"> (0008,0018)</w:t>
            </w:r>
          </w:p>
        </w:tc>
        <w:tc>
          <w:tcPr>
            <w:tcW w:w="2332" w:type="dxa"/>
            <w:shd w:val="clear" w:color="auto" w:fill="auto"/>
            <w:noWrap/>
            <w:vAlign w:val="center"/>
            <w:hideMark/>
          </w:tcPr>
          <w:p w14:paraId="0E7C7161" w14:textId="77777777" w:rsidR="007E6B54" w:rsidRPr="007E6B54" w:rsidRDefault="007E6B54" w:rsidP="007E6B54">
            <w:pPr>
              <w:spacing w:line="240" w:lineRule="auto"/>
              <w:jc w:val="left"/>
              <w:rPr>
                <w:color w:val="000000"/>
              </w:rPr>
            </w:pPr>
            <w:proofErr w:type="spellStart"/>
            <w:r w:rsidRPr="007E6B54">
              <w:rPr>
                <w:color w:val="000000"/>
              </w:rPr>
              <w:t>string</w:t>
            </w:r>
            <w:proofErr w:type="spellEnd"/>
          </w:p>
        </w:tc>
        <w:tc>
          <w:tcPr>
            <w:tcW w:w="2274" w:type="dxa"/>
            <w:shd w:val="clear" w:color="auto" w:fill="auto"/>
            <w:noWrap/>
            <w:vAlign w:val="center"/>
            <w:hideMark/>
          </w:tcPr>
          <w:p w14:paraId="571641B2"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29C4A06F" w14:textId="77777777" w:rsidTr="006E6457">
        <w:trPr>
          <w:trHeight w:val="300"/>
        </w:trPr>
        <w:tc>
          <w:tcPr>
            <w:tcW w:w="3752" w:type="dxa"/>
            <w:shd w:val="clear" w:color="auto" w:fill="auto"/>
            <w:noWrap/>
            <w:vAlign w:val="center"/>
            <w:hideMark/>
          </w:tcPr>
          <w:p w14:paraId="25DB4642" w14:textId="77777777" w:rsidR="007E6B54" w:rsidRPr="007E6B54" w:rsidRDefault="007E6B54" w:rsidP="007E6B54">
            <w:pPr>
              <w:spacing w:line="240" w:lineRule="auto"/>
              <w:jc w:val="left"/>
              <w:rPr>
                <w:color w:val="000000"/>
              </w:rPr>
            </w:pPr>
            <w:proofErr w:type="spellStart"/>
            <w:r w:rsidRPr="007E6B54">
              <w:rPr>
                <w:color w:val="000000"/>
              </w:rPr>
              <w:t>IMA_SamPerPix</w:t>
            </w:r>
            <w:proofErr w:type="spellEnd"/>
            <w:r w:rsidRPr="007E6B54">
              <w:rPr>
                <w:color w:val="000000"/>
              </w:rPr>
              <w:t xml:space="preserve"> (0028,0002)</w:t>
            </w:r>
          </w:p>
        </w:tc>
        <w:tc>
          <w:tcPr>
            <w:tcW w:w="2332" w:type="dxa"/>
            <w:shd w:val="clear" w:color="auto" w:fill="auto"/>
            <w:noWrap/>
            <w:vAlign w:val="center"/>
            <w:hideMark/>
          </w:tcPr>
          <w:p w14:paraId="68231E7A" w14:textId="77777777" w:rsidR="007E6B54" w:rsidRPr="007E6B54" w:rsidRDefault="007E6B54" w:rsidP="007E6B54">
            <w:pPr>
              <w:spacing w:line="240" w:lineRule="auto"/>
              <w:jc w:val="left"/>
              <w:rPr>
                <w:color w:val="000000"/>
              </w:rPr>
            </w:pPr>
            <w:proofErr w:type="spellStart"/>
            <w:r w:rsidRPr="007E6B54">
              <w:rPr>
                <w:color w:val="000000"/>
              </w:rPr>
              <w:t>value</w:t>
            </w:r>
            <w:proofErr w:type="spellEnd"/>
          </w:p>
        </w:tc>
        <w:tc>
          <w:tcPr>
            <w:tcW w:w="2274" w:type="dxa"/>
            <w:shd w:val="clear" w:color="auto" w:fill="auto"/>
            <w:noWrap/>
            <w:vAlign w:val="center"/>
            <w:hideMark/>
          </w:tcPr>
          <w:p w14:paraId="2655199F"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26066409" w14:textId="77777777" w:rsidTr="006E6457">
        <w:trPr>
          <w:trHeight w:val="300"/>
        </w:trPr>
        <w:tc>
          <w:tcPr>
            <w:tcW w:w="3752" w:type="dxa"/>
            <w:shd w:val="clear" w:color="auto" w:fill="auto"/>
            <w:noWrap/>
            <w:vAlign w:val="center"/>
            <w:hideMark/>
          </w:tcPr>
          <w:p w14:paraId="774B9A96" w14:textId="77777777" w:rsidR="007E6B54" w:rsidRPr="007E6B54" w:rsidRDefault="007E6B54" w:rsidP="007E6B54">
            <w:pPr>
              <w:spacing w:line="240" w:lineRule="auto"/>
              <w:jc w:val="left"/>
              <w:rPr>
                <w:color w:val="000000"/>
              </w:rPr>
            </w:pPr>
            <w:proofErr w:type="spellStart"/>
            <w:r w:rsidRPr="007E6B54">
              <w:rPr>
                <w:color w:val="000000"/>
              </w:rPr>
              <w:t>IMA_Row</w:t>
            </w:r>
            <w:proofErr w:type="spellEnd"/>
            <w:r w:rsidRPr="007E6B54">
              <w:rPr>
                <w:color w:val="000000"/>
              </w:rPr>
              <w:t xml:space="preserve"> (0028,0010)</w:t>
            </w:r>
          </w:p>
        </w:tc>
        <w:tc>
          <w:tcPr>
            <w:tcW w:w="2332" w:type="dxa"/>
            <w:shd w:val="clear" w:color="auto" w:fill="auto"/>
            <w:noWrap/>
            <w:vAlign w:val="center"/>
            <w:hideMark/>
          </w:tcPr>
          <w:p w14:paraId="2A766BA6" w14:textId="77777777" w:rsidR="007E6B54" w:rsidRPr="007E6B54" w:rsidRDefault="007E6B54" w:rsidP="007E6B54">
            <w:pPr>
              <w:spacing w:line="240" w:lineRule="auto"/>
              <w:jc w:val="left"/>
              <w:rPr>
                <w:color w:val="000000"/>
              </w:rPr>
            </w:pPr>
            <w:proofErr w:type="spellStart"/>
            <w:r w:rsidRPr="007E6B54">
              <w:rPr>
                <w:color w:val="000000"/>
              </w:rPr>
              <w:t>value</w:t>
            </w:r>
            <w:proofErr w:type="spellEnd"/>
          </w:p>
        </w:tc>
        <w:tc>
          <w:tcPr>
            <w:tcW w:w="2274" w:type="dxa"/>
            <w:shd w:val="clear" w:color="auto" w:fill="auto"/>
            <w:noWrap/>
            <w:vAlign w:val="center"/>
            <w:hideMark/>
          </w:tcPr>
          <w:p w14:paraId="1C0C7C39"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6772065F" w14:textId="77777777" w:rsidTr="006E6457">
        <w:trPr>
          <w:trHeight w:val="300"/>
        </w:trPr>
        <w:tc>
          <w:tcPr>
            <w:tcW w:w="3752" w:type="dxa"/>
            <w:shd w:val="clear" w:color="auto" w:fill="auto"/>
            <w:noWrap/>
            <w:vAlign w:val="center"/>
            <w:hideMark/>
          </w:tcPr>
          <w:p w14:paraId="5E387221" w14:textId="77777777" w:rsidR="007E6B54" w:rsidRPr="007E6B54" w:rsidRDefault="007E6B54" w:rsidP="007E6B54">
            <w:pPr>
              <w:spacing w:line="240" w:lineRule="auto"/>
              <w:jc w:val="left"/>
              <w:rPr>
                <w:color w:val="000000"/>
              </w:rPr>
            </w:pPr>
            <w:proofErr w:type="spellStart"/>
            <w:r w:rsidRPr="007E6B54">
              <w:rPr>
                <w:color w:val="000000"/>
              </w:rPr>
              <w:t>IMA_Col</w:t>
            </w:r>
            <w:proofErr w:type="spellEnd"/>
            <w:r w:rsidRPr="007E6B54">
              <w:rPr>
                <w:color w:val="000000"/>
              </w:rPr>
              <w:t xml:space="preserve"> (0028,0011)</w:t>
            </w:r>
          </w:p>
        </w:tc>
        <w:tc>
          <w:tcPr>
            <w:tcW w:w="2332" w:type="dxa"/>
            <w:shd w:val="clear" w:color="auto" w:fill="auto"/>
            <w:noWrap/>
            <w:vAlign w:val="center"/>
            <w:hideMark/>
          </w:tcPr>
          <w:p w14:paraId="367F330E" w14:textId="77777777" w:rsidR="007E6B54" w:rsidRPr="007E6B54" w:rsidRDefault="007E6B54" w:rsidP="007E6B54">
            <w:pPr>
              <w:spacing w:line="240" w:lineRule="auto"/>
              <w:jc w:val="left"/>
              <w:rPr>
                <w:color w:val="000000"/>
              </w:rPr>
            </w:pPr>
            <w:proofErr w:type="spellStart"/>
            <w:r w:rsidRPr="007E6B54">
              <w:rPr>
                <w:color w:val="000000"/>
              </w:rPr>
              <w:t>value</w:t>
            </w:r>
            <w:proofErr w:type="spellEnd"/>
          </w:p>
        </w:tc>
        <w:tc>
          <w:tcPr>
            <w:tcW w:w="2274" w:type="dxa"/>
            <w:shd w:val="clear" w:color="auto" w:fill="auto"/>
            <w:noWrap/>
            <w:vAlign w:val="center"/>
            <w:hideMark/>
          </w:tcPr>
          <w:p w14:paraId="48D67C79"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771FC43B" w14:textId="77777777" w:rsidTr="006E6457">
        <w:trPr>
          <w:trHeight w:val="300"/>
        </w:trPr>
        <w:tc>
          <w:tcPr>
            <w:tcW w:w="3752" w:type="dxa"/>
            <w:shd w:val="clear" w:color="auto" w:fill="auto"/>
            <w:noWrap/>
            <w:vAlign w:val="center"/>
            <w:hideMark/>
          </w:tcPr>
          <w:p w14:paraId="1C6B513E" w14:textId="77777777" w:rsidR="007E6B54" w:rsidRPr="007E6B54" w:rsidRDefault="007E6B54" w:rsidP="007E6B54">
            <w:pPr>
              <w:spacing w:line="240" w:lineRule="auto"/>
              <w:jc w:val="left"/>
              <w:rPr>
                <w:color w:val="000000"/>
              </w:rPr>
            </w:pPr>
            <w:proofErr w:type="spellStart"/>
            <w:r w:rsidRPr="007E6B54">
              <w:rPr>
                <w:color w:val="000000"/>
              </w:rPr>
              <w:t>IMA_BitAll</w:t>
            </w:r>
            <w:proofErr w:type="spellEnd"/>
            <w:r w:rsidRPr="007E6B54">
              <w:rPr>
                <w:color w:val="000000"/>
              </w:rPr>
              <w:t xml:space="preserve">  (0028,0100)</w:t>
            </w:r>
          </w:p>
        </w:tc>
        <w:tc>
          <w:tcPr>
            <w:tcW w:w="2332" w:type="dxa"/>
            <w:shd w:val="clear" w:color="auto" w:fill="auto"/>
            <w:noWrap/>
            <w:vAlign w:val="center"/>
            <w:hideMark/>
          </w:tcPr>
          <w:p w14:paraId="5C186C1F" w14:textId="77777777" w:rsidR="007E6B54" w:rsidRPr="007E6B54" w:rsidRDefault="007E6B54" w:rsidP="007E6B54">
            <w:pPr>
              <w:spacing w:line="240" w:lineRule="auto"/>
              <w:jc w:val="left"/>
              <w:rPr>
                <w:color w:val="000000"/>
              </w:rPr>
            </w:pPr>
            <w:proofErr w:type="spellStart"/>
            <w:r w:rsidRPr="007E6B54">
              <w:rPr>
                <w:color w:val="000000"/>
              </w:rPr>
              <w:t>value</w:t>
            </w:r>
            <w:proofErr w:type="spellEnd"/>
          </w:p>
        </w:tc>
        <w:tc>
          <w:tcPr>
            <w:tcW w:w="2274" w:type="dxa"/>
            <w:shd w:val="clear" w:color="auto" w:fill="auto"/>
            <w:noWrap/>
            <w:vAlign w:val="center"/>
            <w:hideMark/>
          </w:tcPr>
          <w:p w14:paraId="2FF8CEBC"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3CA32774" w14:textId="77777777" w:rsidTr="006E6457">
        <w:trPr>
          <w:trHeight w:val="300"/>
        </w:trPr>
        <w:tc>
          <w:tcPr>
            <w:tcW w:w="3752" w:type="dxa"/>
            <w:shd w:val="clear" w:color="auto" w:fill="auto"/>
            <w:noWrap/>
            <w:vAlign w:val="center"/>
            <w:hideMark/>
          </w:tcPr>
          <w:p w14:paraId="18B805A5" w14:textId="77777777" w:rsidR="007E6B54" w:rsidRPr="007E6B54" w:rsidRDefault="007E6B54" w:rsidP="007E6B54">
            <w:pPr>
              <w:spacing w:line="240" w:lineRule="auto"/>
              <w:jc w:val="left"/>
              <w:rPr>
                <w:color w:val="000000"/>
              </w:rPr>
            </w:pPr>
            <w:proofErr w:type="spellStart"/>
            <w:r w:rsidRPr="007E6B54">
              <w:rPr>
                <w:color w:val="000000"/>
              </w:rPr>
              <w:t>IMA_BitSto</w:t>
            </w:r>
            <w:proofErr w:type="spellEnd"/>
            <w:r w:rsidRPr="007E6B54">
              <w:rPr>
                <w:color w:val="000000"/>
              </w:rPr>
              <w:t xml:space="preserve"> (0028,0101)</w:t>
            </w:r>
          </w:p>
        </w:tc>
        <w:tc>
          <w:tcPr>
            <w:tcW w:w="2332" w:type="dxa"/>
            <w:shd w:val="clear" w:color="auto" w:fill="auto"/>
            <w:noWrap/>
            <w:vAlign w:val="center"/>
            <w:hideMark/>
          </w:tcPr>
          <w:p w14:paraId="66BD484E" w14:textId="77777777" w:rsidR="007E6B54" w:rsidRPr="007E6B54" w:rsidRDefault="007E6B54" w:rsidP="007E6B54">
            <w:pPr>
              <w:spacing w:line="240" w:lineRule="auto"/>
              <w:jc w:val="left"/>
              <w:rPr>
                <w:color w:val="000000"/>
              </w:rPr>
            </w:pPr>
            <w:proofErr w:type="spellStart"/>
            <w:r w:rsidRPr="007E6B54">
              <w:rPr>
                <w:color w:val="000000"/>
              </w:rPr>
              <w:t>value</w:t>
            </w:r>
            <w:proofErr w:type="spellEnd"/>
          </w:p>
        </w:tc>
        <w:tc>
          <w:tcPr>
            <w:tcW w:w="2274" w:type="dxa"/>
            <w:shd w:val="clear" w:color="auto" w:fill="auto"/>
            <w:noWrap/>
            <w:vAlign w:val="center"/>
            <w:hideMark/>
          </w:tcPr>
          <w:p w14:paraId="068BCF7A" w14:textId="77777777" w:rsidR="007E6B54" w:rsidRPr="007E6B54" w:rsidRDefault="007E6B54" w:rsidP="007E6B54">
            <w:pPr>
              <w:spacing w:line="240" w:lineRule="auto"/>
              <w:jc w:val="left"/>
              <w:rPr>
                <w:color w:val="000000"/>
              </w:rPr>
            </w:pPr>
            <w:r w:rsidRPr="007E6B54">
              <w:rPr>
                <w:color w:val="000000"/>
              </w:rPr>
              <w:t>Ano </w:t>
            </w:r>
          </w:p>
        </w:tc>
      </w:tr>
      <w:tr w:rsidR="007E6B54" w:rsidRPr="007E6B54" w14:paraId="1F4F2516" w14:textId="77777777" w:rsidTr="006E6457">
        <w:trPr>
          <w:trHeight w:val="315"/>
        </w:trPr>
        <w:tc>
          <w:tcPr>
            <w:tcW w:w="3752" w:type="dxa"/>
            <w:shd w:val="clear" w:color="auto" w:fill="auto"/>
            <w:noWrap/>
            <w:vAlign w:val="center"/>
            <w:hideMark/>
          </w:tcPr>
          <w:p w14:paraId="5A2D6674" w14:textId="77777777" w:rsidR="007E6B54" w:rsidRPr="007E6B54" w:rsidRDefault="007E6B54" w:rsidP="007E6B54">
            <w:pPr>
              <w:spacing w:line="240" w:lineRule="auto"/>
              <w:jc w:val="left"/>
              <w:rPr>
                <w:color w:val="000000"/>
              </w:rPr>
            </w:pPr>
            <w:proofErr w:type="spellStart"/>
            <w:r w:rsidRPr="007E6B54">
              <w:rPr>
                <w:color w:val="000000"/>
              </w:rPr>
              <w:t>IMA_PixRep</w:t>
            </w:r>
            <w:proofErr w:type="spellEnd"/>
            <w:r w:rsidRPr="007E6B54">
              <w:rPr>
                <w:color w:val="000000"/>
              </w:rPr>
              <w:t xml:space="preserve"> (0028,0103)</w:t>
            </w:r>
          </w:p>
        </w:tc>
        <w:tc>
          <w:tcPr>
            <w:tcW w:w="2332" w:type="dxa"/>
            <w:shd w:val="clear" w:color="auto" w:fill="auto"/>
            <w:noWrap/>
            <w:vAlign w:val="center"/>
            <w:hideMark/>
          </w:tcPr>
          <w:p w14:paraId="1AC05DC3" w14:textId="77777777" w:rsidR="007E6B54" w:rsidRPr="007E6B54" w:rsidRDefault="007E6B54" w:rsidP="007E6B54">
            <w:pPr>
              <w:spacing w:line="240" w:lineRule="auto"/>
              <w:jc w:val="left"/>
              <w:rPr>
                <w:color w:val="000000"/>
              </w:rPr>
            </w:pPr>
            <w:proofErr w:type="spellStart"/>
            <w:r w:rsidRPr="007E6B54">
              <w:rPr>
                <w:color w:val="000000"/>
              </w:rPr>
              <w:t>value</w:t>
            </w:r>
            <w:proofErr w:type="spellEnd"/>
          </w:p>
        </w:tc>
        <w:tc>
          <w:tcPr>
            <w:tcW w:w="2274" w:type="dxa"/>
            <w:shd w:val="clear" w:color="auto" w:fill="auto"/>
            <w:noWrap/>
            <w:vAlign w:val="center"/>
            <w:hideMark/>
          </w:tcPr>
          <w:p w14:paraId="60D9D1B6" w14:textId="77777777" w:rsidR="007E6B54" w:rsidRPr="007E6B54" w:rsidRDefault="007E6B54" w:rsidP="007E6B54">
            <w:pPr>
              <w:spacing w:line="240" w:lineRule="auto"/>
              <w:jc w:val="left"/>
              <w:rPr>
                <w:color w:val="000000"/>
              </w:rPr>
            </w:pPr>
            <w:r w:rsidRPr="007E6B54">
              <w:rPr>
                <w:color w:val="000000"/>
              </w:rPr>
              <w:t>Ano </w:t>
            </w:r>
          </w:p>
        </w:tc>
      </w:tr>
    </w:tbl>
    <w:p w14:paraId="79BB9B7E" w14:textId="784EF3C4" w:rsidR="003815F4" w:rsidRPr="00BC3BA9" w:rsidRDefault="003815F4" w:rsidP="0096600E">
      <w:pPr>
        <w:pStyle w:val="Odstavecseseznamem"/>
        <w:spacing w:after="0" w:line="240" w:lineRule="auto"/>
        <w:rPr>
          <w:rFonts w:ascii="Arial" w:hAnsi="Arial"/>
        </w:rPr>
      </w:pPr>
    </w:p>
    <w:p w14:paraId="7E6BE011" w14:textId="77777777" w:rsidR="0096600E" w:rsidRDefault="0096600E"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headerReference w:type="default" r:id="rId12"/>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0520F" w14:textId="77777777" w:rsidR="007E4C3A" w:rsidRDefault="007E4C3A" w:rsidP="00FF18EB">
      <w:pPr>
        <w:spacing w:line="240" w:lineRule="auto"/>
      </w:pPr>
      <w:r>
        <w:separator/>
      </w:r>
    </w:p>
    <w:p w14:paraId="63D8E4EF" w14:textId="77777777" w:rsidR="007E4C3A" w:rsidRDefault="007E4C3A"/>
  </w:endnote>
  <w:endnote w:type="continuationSeparator" w:id="0">
    <w:p w14:paraId="5B2FBD92" w14:textId="77777777" w:rsidR="007E4C3A" w:rsidRDefault="007E4C3A" w:rsidP="00FF18EB">
      <w:pPr>
        <w:spacing w:line="240" w:lineRule="auto"/>
      </w:pPr>
      <w:r>
        <w:continuationSeparator/>
      </w:r>
    </w:p>
    <w:p w14:paraId="51886081" w14:textId="77777777" w:rsidR="007E4C3A" w:rsidRDefault="007E4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02BC981F"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7E6B54" w:rsidRPr="007E6B54">
          <w:rPr>
            <w:rFonts w:ascii="Arial" w:hAnsi="Arial"/>
            <w:noProof/>
            <w:sz w:val="20"/>
            <w:lang w:val="cs-CZ"/>
          </w:rPr>
          <w:t>21</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B2034" w14:textId="77777777" w:rsidR="007E4C3A" w:rsidRDefault="007E4C3A" w:rsidP="00FF18EB">
      <w:pPr>
        <w:spacing w:line="240" w:lineRule="auto"/>
      </w:pPr>
      <w:r>
        <w:separator/>
      </w:r>
    </w:p>
    <w:p w14:paraId="79FF281B" w14:textId="77777777" w:rsidR="007E4C3A" w:rsidRDefault="007E4C3A"/>
  </w:footnote>
  <w:footnote w:type="continuationSeparator" w:id="0">
    <w:p w14:paraId="7672A78A" w14:textId="77777777" w:rsidR="007E4C3A" w:rsidRDefault="007E4C3A" w:rsidP="00FF18EB">
      <w:pPr>
        <w:spacing w:line="240" w:lineRule="auto"/>
      </w:pPr>
      <w:r>
        <w:continuationSeparator/>
      </w:r>
    </w:p>
    <w:p w14:paraId="279255F7" w14:textId="77777777" w:rsidR="007E4C3A" w:rsidRDefault="007E4C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72C4" w14:textId="2C41F672" w:rsidR="00726DFC" w:rsidRDefault="00726DFC">
    <w:pPr>
      <w:pStyle w:val="Zhlav"/>
    </w:pPr>
    <w:r>
      <w:t xml:space="preserve">                                                                                                                    KP/1832/2024/La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2744FF"/>
    <w:multiLevelType w:val="hybridMultilevel"/>
    <w:tmpl w:val="89CCDA62"/>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9727FC"/>
    <w:multiLevelType w:val="hybridMultilevel"/>
    <w:tmpl w:val="89CCDA62"/>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371A0FA7"/>
    <w:multiLevelType w:val="hybridMultilevel"/>
    <w:tmpl w:val="89CCDA62"/>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796A51"/>
    <w:multiLevelType w:val="hybridMultilevel"/>
    <w:tmpl w:val="89CCDA62"/>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16474E3"/>
    <w:multiLevelType w:val="hybridMultilevel"/>
    <w:tmpl w:val="89CCDA62"/>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64BD7E59"/>
    <w:multiLevelType w:val="hybridMultilevel"/>
    <w:tmpl w:val="89CCDA62"/>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5"/>
  </w:num>
  <w:num w:numId="4">
    <w:abstractNumId w:val="10"/>
  </w:num>
  <w:num w:numId="5">
    <w:abstractNumId w:val="1"/>
  </w:num>
  <w:num w:numId="6">
    <w:abstractNumId w:val="7"/>
  </w:num>
  <w:num w:numId="7">
    <w:abstractNumId w:val="16"/>
  </w:num>
  <w:num w:numId="8">
    <w:abstractNumId w:val="4"/>
  </w:num>
  <w:num w:numId="9">
    <w:abstractNumId w:val="13"/>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47E2"/>
    <w:rsid w:val="000177FB"/>
    <w:rsid w:val="000228F8"/>
    <w:rsid w:val="000242EC"/>
    <w:rsid w:val="00026FB0"/>
    <w:rsid w:val="00030B47"/>
    <w:rsid w:val="00032F0B"/>
    <w:rsid w:val="000333EF"/>
    <w:rsid w:val="000376D7"/>
    <w:rsid w:val="00045908"/>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20E"/>
    <w:rsid w:val="000D0498"/>
    <w:rsid w:val="000F4C59"/>
    <w:rsid w:val="00113B40"/>
    <w:rsid w:val="001254C1"/>
    <w:rsid w:val="001303CF"/>
    <w:rsid w:val="00130E87"/>
    <w:rsid w:val="00133D51"/>
    <w:rsid w:val="001341A7"/>
    <w:rsid w:val="00134BC1"/>
    <w:rsid w:val="0014014C"/>
    <w:rsid w:val="00142BD2"/>
    <w:rsid w:val="001470F0"/>
    <w:rsid w:val="0014717B"/>
    <w:rsid w:val="0015065A"/>
    <w:rsid w:val="00154F85"/>
    <w:rsid w:val="00160D16"/>
    <w:rsid w:val="001725F8"/>
    <w:rsid w:val="0018026C"/>
    <w:rsid w:val="00181B85"/>
    <w:rsid w:val="00182640"/>
    <w:rsid w:val="00183226"/>
    <w:rsid w:val="00183727"/>
    <w:rsid w:val="00185F96"/>
    <w:rsid w:val="001874D4"/>
    <w:rsid w:val="00196060"/>
    <w:rsid w:val="00196288"/>
    <w:rsid w:val="001966F7"/>
    <w:rsid w:val="001A2256"/>
    <w:rsid w:val="001A3D28"/>
    <w:rsid w:val="001B4519"/>
    <w:rsid w:val="001D1D81"/>
    <w:rsid w:val="001D38E0"/>
    <w:rsid w:val="001D3902"/>
    <w:rsid w:val="001D3F7C"/>
    <w:rsid w:val="001D4983"/>
    <w:rsid w:val="001D6C04"/>
    <w:rsid w:val="001D7781"/>
    <w:rsid w:val="001E485C"/>
    <w:rsid w:val="001F13BA"/>
    <w:rsid w:val="001F2069"/>
    <w:rsid w:val="001F6852"/>
    <w:rsid w:val="00202E4E"/>
    <w:rsid w:val="002039E1"/>
    <w:rsid w:val="00216379"/>
    <w:rsid w:val="00222AEA"/>
    <w:rsid w:val="00233A39"/>
    <w:rsid w:val="00236BD3"/>
    <w:rsid w:val="002373A7"/>
    <w:rsid w:val="00243FE4"/>
    <w:rsid w:val="002456A0"/>
    <w:rsid w:val="00250E90"/>
    <w:rsid w:val="00250F85"/>
    <w:rsid w:val="0025204E"/>
    <w:rsid w:val="0025616B"/>
    <w:rsid w:val="002575A6"/>
    <w:rsid w:val="002641CD"/>
    <w:rsid w:val="00271FDF"/>
    <w:rsid w:val="00277ACF"/>
    <w:rsid w:val="002812F7"/>
    <w:rsid w:val="002834BC"/>
    <w:rsid w:val="00283E98"/>
    <w:rsid w:val="00290EF9"/>
    <w:rsid w:val="002943FF"/>
    <w:rsid w:val="0029524D"/>
    <w:rsid w:val="00296488"/>
    <w:rsid w:val="00297406"/>
    <w:rsid w:val="00297EE2"/>
    <w:rsid w:val="002A29DA"/>
    <w:rsid w:val="002A4107"/>
    <w:rsid w:val="002B7F02"/>
    <w:rsid w:val="002C2981"/>
    <w:rsid w:val="002C7AE0"/>
    <w:rsid w:val="002E1388"/>
    <w:rsid w:val="002E230A"/>
    <w:rsid w:val="002E3B0B"/>
    <w:rsid w:val="002E48E0"/>
    <w:rsid w:val="002F4EDA"/>
    <w:rsid w:val="002F4F30"/>
    <w:rsid w:val="003073CD"/>
    <w:rsid w:val="003122E6"/>
    <w:rsid w:val="00312759"/>
    <w:rsid w:val="00317416"/>
    <w:rsid w:val="00327588"/>
    <w:rsid w:val="00330DC4"/>
    <w:rsid w:val="003360BF"/>
    <w:rsid w:val="00341AD8"/>
    <w:rsid w:val="003477DB"/>
    <w:rsid w:val="00351229"/>
    <w:rsid w:val="00355E79"/>
    <w:rsid w:val="0037175F"/>
    <w:rsid w:val="00374192"/>
    <w:rsid w:val="00375955"/>
    <w:rsid w:val="00377FDB"/>
    <w:rsid w:val="003815F4"/>
    <w:rsid w:val="00382D5D"/>
    <w:rsid w:val="003A1056"/>
    <w:rsid w:val="003D0A25"/>
    <w:rsid w:val="003D1822"/>
    <w:rsid w:val="003D23D7"/>
    <w:rsid w:val="003E071E"/>
    <w:rsid w:val="003E0DE8"/>
    <w:rsid w:val="003E1EBB"/>
    <w:rsid w:val="003E4543"/>
    <w:rsid w:val="003E5323"/>
    <w:rsid w:val="003F025A"/>
    <w:rsid w:val="003F1759"/>
    <w:rsid w:val="003F27C5"/>
    <w:rsid w:val="003F3E5F"/>
    <w:rsid w:val="003F584A"/>
    <w:rsid w:val="003F7B02"/>
    <w:rsid w:val="0040169F"/>
    <w:rsid w:val="00403192"/>
    <w:rsid w:val="00405FBD"/>
    <w:rsid w:val="00406BEA"/>
    <w:rsid w:val="004071A7"/>
    <w:rsid w:val="00415B16"/>
    <w:rsid w:val="00417243"/>
    <w:rsid w:val="00426F17"/>
    <w:rsid w:val="0042712C"/>
    <w:rsid w:val="00427E17"/>
    <w:rsid w:val="00431845"/>
    <w:rsid w:val="004453FF"/>
    <w:rsid w:val="0044678A"/>
    <w:rsid w:val="00457F76"/>
    <w:rsid w:val="004820A4"/>
    <w:rsid w:val="00487BCE"/>
    <w:rsid w:val="00494052"/>
    <w:rsid w:val="004975C3"/>
    <w:rsid w:val="0049792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5716"/>
    <w:rsid w:val="005371E9"/>
    <w:rsid w:val="00546C21"/>
    <w:rsid w:val="005515B0"/>
    <w:rsid w:val="00556504"/>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247C"/>
    <w:rsid w:val="006D4738"/>
    <w:rsid w:val="006E005D"/>
    <w:rsid w:val="006E2FF9"/>
    <w:rsid w:val="006E4EF6"/>
    <w:rsid w:val="006E54D0"/>
    <w:rsid w:val="006E7930"/>
    <w:rsid w:val="00705FC9"/>
    <w:rsid w:val="00706012"/>
    <w:rsid w:val="0070757B"/>
    <w:rsid w:val="00713B7F"/>
    <w:rsid w:val="0071478F"/>
    <w:rsid w:val="007157D9"/>
    <w:rsid w:val="00726DFC"/>
    <w:rsid w:val="00735D41"/>
    <w:rsid w:val="0073763C"/>
    <w:rsid w:val="00743435"/>
    <w:rsid w:val="00744E5D"/>
    <w:rsid w:val="0075205D"/>
    <w:rsid w:val="00775695"/>
    <w:rsid w:val="0078309A"/>
    <w:rsid w:val="00787C20"/>
    <w:rsid w:val="00794661"/>
    <w:rsid w:val="0079592F"/>
    <w:rsid w:val="007A084F"/>
    <w:rsid w:val="007A70F3"/>
    <w:rsid w:val="007C213B"/>
    <w:rsid w:val="007C2A6B"/>
    <w:rsid w:val="007C7279"/>
    <w:rsid w:val="007D3CF9"/>
    <w:rsid w:val="007D3EE5"/>
    <w:rsid w:val="007D7528"/>
    <w:rsid w:val="007E04AC"/>
    <w:rsid w:val="007E04EC"/>
    <w:rsid w:val="007E0700"/>
    <w:rsid w:val="007E4C3A"/>
    <w:rsid w:val="007E5FA1"/>
    <w:rsid w:val="007E6B54"/>
    <w:rsid w:val="007F342E"/>
    <w:rsid w:val="007F5AF6"/>
    <w:rsid w:val="00802C50"/>
    <w:rsid w:val="00802C99"/>
    <w:rsid w:val="00807207"/>
    <w:rsid w:val="00821D5C"/>
    <w:rsid w:val="00822D0F"/>
    <w:rsid w:val="008338EF"/>
    <w:rsid w:val="008342BB"/>
    <w:rsid w:val="00836164"/>
    <w:rsid w:val="00841443"/>
    <w:rsid w:val="00842E4D"/>
    <w:rsid w:val="00842E64"/>
    <w:rsid w:val="008510BD"/>
    <w:rsid w:val="0085307C"/>
    <w:rsid w:val="008645D8"/>
    <w:rsid w:val="00865A8C"/>
    <w:rsid w:val="00871625"/>
    <w:rsid w:val="008877B1"/>
    <w:rsid w:val="008903ED"/>
    <w:rsid w:val="008A4B00"/>
    <w:rsid w:val="008C0647"/>
    <w:rsid w:val="008C67A3"/>
    <w:rsid w:val="008D0213"/>
    <w:rsid w:val="008D17FE"/>
    <w:rsid w:val="008D45BA"/>
    <w:rsid w:val="008E314A"/>
    <w:rsid w:val="008E5700"/>
    <w:rsid w:val="008F5230"/>
    <w:rsid w:val="008F6BCC"/>
    <w:rsid w:val="00901F83"/>
    <w:rsid w:val="00916CA9"/>
    <w:rsid w:val="00916EE4"/>
    <w:rsid w:val="009206F6"/>
    <w:rsid w:val="0092292F"/>
    <w:rsid w:val="00924699"/>
    <w:rsid w:val="00931C39"/>
    <w:rsid w:val="00932EBD"/>
    <w:rsid w:val="009523CB"/>
    <w:rsid w:val="00954321"/>
    <w:rsid w:val="009547FF"/>
    <w:rsid w:val="00957978"/>
    <w:rsid w:val="009606A3"/>
    <w:rsid w:val="00961803"/>
    <w:rsid w:val="0096600E"/>
    <w:rsid w:val="009664E0"/>
    <w:rsid w:val="00966A9F"/>
    <w:rsid w:val="00971663"/>
    <w:rsid w:val="0097244D"/>
    <w:rsid w:val="00973DFD"/>
    <w:rsid w:val="009906B4"/>
    <w:rsid w:val="00990F1B"/>
    <w:rsid w:val="00992836"/>
    <w:rsid w:val="00997C0A"/>
    <w:rsid w:val="009A3D16"/>
    <w:rsid w:val="009A4F9F"/>
    <w:rsid w:val="009A7E08"/>
    <w:rsid w:val="009B1015"/>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36B03"/>
    <w:rsid w:val="00A4060F"/>
    <w:rsid w:val="00A51741"/>
    <w:rsid w:val="00A51E29"/>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3FED"/>
    <w:rsid w:val="00B0477F"/>
    <w:rsid w:val="00B127BF"/>
    <w:rsid w:val="00B17D06"/>
    <w:rsid w:val="00B2012E"/>
    <w:rsid w:val="00B33673"/>
    <w:rsid w:val="00B406E7"/>
    <w:rsid w:val="00B41494"/>
    <w:rsid w:val="00B436FD"/>
    <w:rsid w:val="00B733E1"/>
    <w:rsid w:val="00B736A9"/>
    <w:rsid w:val="00B76F43"/>
    <w:rsid w:val="00B800B2"/>
    <w:rsid w:val="00B82BC0"/>
    <w:rsid w:val="00B841E5"/>
    <w:rsid w:val="00B84532"/>
    <w:rsid w:val="00B85405"/>
    <w:rsid w:val="00B87DF3"/>
    <w:rsid w:val="00B91037"/>
    <w:rsid w:val="00B9193B"/>
    <w:rsid w:val="00B945A2"/>
    <w:rsid w:val="00B95871"/>
    <w:rsid w:val="00BA07E6"/>
    <w:rsid w:val="00BA5EEC"/>
    <w:rsid w:val="00BB16E5"/>
    <w:rsid w:val="00BB2CAF"/>
    <w:rsid w:val="00BC4516"/>
    <w:rsid w:val="00BD06AB"/>
    <w:rsid w:val="00BD0B30"/>
    <w:rsid w:val="00BE2371"/>
    <w:rsid w:val="00BF5838"/>
    <w:rsid w:val="00BF65B9"/>
    <w:rsid w:val="00BF6761"/>
    <w:rsid w:val="00BF750F"/>
    <w:rsid w:val="00C006A4"/>
    <w:rsid w:val="00C142B5"/>
    <w:rsid w:val="00C268BD"/>
    <w:rsid w:val="00C2727E"/>
    <w:rsid w:val="00C27F0F"/>
    <w:rsid w:val="00C342FE"/>
    <w:rsid w:val="00C40168"/>
    <w:rsid w:val="00C61AD5"/>
    <w:rsid w:val="00C61C6C"/>
    <w:rsid w:val="00C620DB"/>
    <w:rsid w:val="00C65D56"/>
    <w:rsid w:val="00C7138F"/>
    <w:rsid w:val="00C71D12"/>
    <w:rsid w:val="00C73746"/>
    <w:rsid w:val="00C90967"/>
    <w:rsid w:val="00C9479B"/>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43E0A"/>
    <w:rsid w:val="00D453A6"/>
    <w:rsid w:val="00D50BBE"/>
    <w:rsid w:val="00D52AAC"/>
    <w:rsid w:val="00D70368"/>
    <w:rsid w:val="00D7425C"/>
    <w:rsid w:val="00D813B7"/>
    <w:rsid w:val="00D818EC"/>
    <w:rsid w:val="00D82704"/>
    <w:rsid w:val="00D859C2"/>
    <w:rsid w:val="00D86891"/>
    <w:rsid w:val="00D927B5"/>
    <w:rsid w:val="00DA1353"/>
    <w:rsid w:val="00DA5A63"/>
    <w:rsid w:val="00DA7CB9"/>
    <w:rsid w:val="00DD3E47"/>
    <w:rsid w:val="00DE3A3F"/>
    <w:rsid w:val="00DE4489"/>
    <w:rsid w:val="00DF71F9"/>
    <w:rsid w:val="00E053D1"/>
    <w:rsid w:val="00E05BD2"/>
    <w:rsid w:val="00E13BA0"/>
    <w:rsid w:val="00E32B69"/>
    <w:rsid w:val="00E3667B"/>
    <w:rsid w:val="00E3686F"/>
    <w:rsid w:val="00E428CD"/>
    <w:rsid w:val="00E47637"/>
    <w:rsid w:val="00E53E14"/>
    <w:rsid w:val="00E54D56"/>
    <w:rsid w:val="00E569E2"/>
    <w:rsid w:val="00E571BC"/>
    <w:rsid w:val="00E57C99"/>
    <w:rsid w:val="00E57DE7"/>
    <w:rsid w:val="00E66D05"/>
    <w:rsid w:val="00E710A0"/>
    <w:rsid w:val="00E80D56"/>
    <w:rsid w:val="00E826DA"/>
    <w:rsid w:val="00E84314"/>
    <w:rsid w:val="00E9244D"/>
    <w:rsid w:val="00E928B3"/>
    <w:rsid w:val="00EA0F46"/>
    <w:rsid w:val="00EA4679"/>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55227"/>
    <w:rsid w:val="00F55444"/>
    <w:rsid w:val="00F63181"/>
    <w:rsid w:val="00F7334F"/>
    <w:rsid w:val="00F74782"/>
    <w:rsid w:val="00F8343D"/>
    <w:rsid w:val="00F83E0D"/>
    <w:rsid w:val="00F86F9D"/>
    <w:rsid w:val="00F91A23"/>
    <w:rsid w:val="00F958D2"/>
    <w:rsid w:val="00F96C73"/>
    <w:rsid w:val="00F97FE0"/>
    <w:rsid w:val="00FB373A"/>
    <w:rsid w:val="00FB43BE"/>
    <w:rsid w:val="00FC0959"/>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F17"/>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652127078">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irst.org/cvss/"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0DC2-1DF3-492F-8A89-F879842B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8697</Words>
  <Characters>51319</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2024-06-10T15:18:00Z</dcterms:created>
  <dcterms:modified xsi:type="dcterms:W3CDTF">2024-06-10T15:35:00Z</dcterms:modified>
</cp:coreProperties>
</file>