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6B4785" w14:textId="77777777" w:rsidR="00BB322D" w:rsidRDefault="00000000">
      <w:pPr>
        <w:pBdr>
          <w:top w:val="nil"/>
          <w:left w:val="nil"/>
          <w:bottom w:val="nil"/>
          <w:right w:val="nil"/>
          <w:between w:val="nil"/>
        </w:pBdr>
        <w:spacing w:after="120" w:line="240" w:lineRule="auto"/>
        <w:ind w:left="3" w:hanging="5"/>
        <w:jc w:val="center"/>
        <w:rPr>
          <w:rFonts w:eastAsia="Arial" w:cs="Arial"/>
          <w:b/>
          <w:color w:val="000000"/>
          <w:sz w:val="52"/>
          <w:szCs w:val="52"/>
        </w:rPr>
      </w:pPr>
      <w:bookmarkStart w:id="0" w:name="bookmark=id.gjdgxs" w:colFirst="0" w:colLast="0"/>
      <w:bookmarkEnd w:id="0"/>
      <w:r>
        <w:rPr>
          <w:rFonts w:eastAsia="Arial" w:cs="Arial"/>
          <w:b/>
          <w:smallCaps/>
          <w:color w:val="000000"/>
          <w:sz w:val="52"/>
          <w:szCs w:val="52"/>
        </w:rPr>
        <w:t>Smlouva o propagaci</w:t>
      </w:r>
    </w:p>
    <w:p w14:paraId="056B4786" w14:textId="77777777" w:rsidR="00BB322D" w:rsidRDefault="00000000">
      <w:pPr>
        <w:pBdr>
          <w:top w:val="nil"/>
          <w:left w:val="nil"/>
          <w:bottom w:val="nil"/>
          <w:right w:val="nil"/>
          <w:between w:val="nil"/>
        </w:pBdr>
        <w:spacing w:after="120" w:line="240" w:lineRule="auto"/>
        <w:ind w:left="0" w:hanging="2"/>
        <w:jc w:val="center"/>
        <w:rPr>
          <w:rFonts w:eastAsia="Arial" w:cs="Arial"/>
          <w:color w:val="000000"/>
          <w:sz w:val="20"/>
          <w:szCs w:val="20"/>
        </w:rPr>
      </w:pPr>
      <w:bookmarkStart w:id="1" w:name="_heading=h.30j0zll" w:colFirst="0" w:colLast="0"/>
      <w:bookmarkEnd w:id="1"/>
      <w:r>
        <w:rPr>
          <w:rFonts w:eastAsia="Arial" w:cs="Arial"/>
          <w:b/>
          <w:color w:val="000000"/>
          <w:sz w:val="20"/>
          <w:szCs w:val="20"/>
        </w:rPr>
        <w:t>č. .............................</w:t>
      </w:r>
    </w:p>
    <w:p w14:paraId="056B4787" w14:textId="77777777" w:rsidR="00BB322D" w:rsidRDefault="00000000">
      <w:pPr>
        <w:pBdr>
          <w:top w:val="nil"/>
          <w:left w:val="nil"/>
          <w:bottom w:val="nil"/>
          <w:right w:val="nil"/>
          <w:between w:val="nil"/>
        </w:pBdr>
        <w:spacing w:after="120" w:line="240" w:lineRule="auto"/>
        <w:ind w:left="0" w:hanging="2"/>
        <w:jc w:val="center"/>
        <w:rPr>
          <w:rFonts w:eastAsia="Arial" w:cs="Arial"/>
          <w:color w:val="000000"/>
          <w:sz w:val="20"/>
          <w:szCs w:val="20"/>
        </w:rPr>
      </w:pPr>
      <w:r>
        <w:rPr>
          <w:rFonts w:eastAsia="Arial" w:cs="Arial"/>
          <w:color w:val="000000"/>
          <w:sz w:val="20"/>
          <w:szCs w:val="20"/>
        </w:rPr>
        <w:t>uzavřená dle ustanovení § 1746 odst. 2 zákona č. 89/2012 Sb., občanského zákoníku</w:t>
      </w:r>
    </w:p>
    <w:p w14:paraId="056B4788" w14:textId="77777777" w:rsidR="00BB322D" w:rsidRDefault="00000000">
      <w:pPr>
        <w:pBdr>
          <w:top w:val="nil"/>
          <w:left w:val="nil"/>
          <w:bottom w:val="nil"/>
          <w:right w:val="nil"/>
          <w:between w:val="nil"/>
        </w:pBdr>
        <w:spacing w:after="120" w:line="240" w:lineRule="auto"/>
        <w:ind w:left="0" w:hanging="2"/>
        <w:jc w:val="center"/>
        <w:rPr>
          <w:rFonts w:eastAsia="Arial" w:cs="Arial"/>
          <w:color w:val="000000"/>
          <w:sz w:val="20"/>
          <w:szCs w:val="20"/>
        </w:rPr>
      </w:pPr>
      <w:r>
        <w:rPr>
          <w:rFonts w:eastAsia="Arial" w:cs="Arial"/>
          <w:color w:val="000000"/>
          <w:sz w:val="20"/>
          <w:szCs w:val="20"/>
        </w:rPr>
        <w:t>níže uvedeného dne, měsíce a roku</w:t>
      </w:r>
    </w:p>
    <w:p w14:paraId="056B4789" w14:textId="77777777" w:rsidR="00BB322D" w:rsidRDefault="00000000">
      <w:pPr>
        <w:pBdr>
          <w:top w:val="nil"/>
          <w:left w:val="nil"/>
          <w:bottom w:val="nil"/>
          <w:right w:val="nil"/>
          <w:between w:val="nil"/>
        </w:pBdr>
        <w:spacing w:line="240" w:lineRule="auto"/>
        <w:ind w:left="0" w:hanging="2"/>
        <w:jc w:val="center"/>
        <w:rPr>
          <w:rFonts w:eastAsia="Arial" w:cs="Arial"/>
          <w:color w:val="000000"/>
          <w:sz w:val="20"/>
          <w:szCs w:val="20"/>
        </w:rPr>
      </w:pPr>
      <w:r>
        <w:rPr>
          <w:rFonts w:eastAsia="Arial" w:cs="Arial"/>
          <w:color w:val="000000"/>
          <w:sz w:val="20"/>
          <w:szCs w:val="20"/>
        </w:rPr>
        <w:t>mezi</w:t>
      </w:r>
    </w:p>
    <w:p w14:paraId="056B478A" w14:textId="77777777" w:rsidR="00BB322D" w:rsidRDefault="00BB322D">
      <w:pPr>
        <w:pBdr>
          <w:top w:val="nil"/>
          <w:left w:val="nil"/>
          <w:bottom w:val="nil"/>
          <w:right w:val="nil"/>
          <w:between w:val="nil"/>
        </w:pBdr>
        <w:spacing w:after="80" w:line="240" w:lineRule="auto"/>
        <w:ind w:left="0" w:hanging="2"/>
        <w:rPr>
          <w:rFonts w:eastAsia="Arial" w:cs="Arial"/>
          <w:color w:val="000000"/>
          <w:sz w:val="20"/>
          <w:szCs w:val="20"/>
        </w:rPr>
      </w:pPr>
    </w:p>
    <w:p w14:paraId="056B478B" w14:textId="77777777" w:rsidR="00BB322D" w:rsidRDefault="00000000">
      <w:pPr>
        <w:pBdr>
          <w:top w:val="nil"/>
          <w:left w:val="nil"/>
          <w:bottom w:val="nil"/>
          <w:right w:val="nil"/>
          <w:between w:val="nil"/>
        </w:pBdr>
        <w:spacing w:after="80" w:line="240" w:lineRule="auto"/>
        <w:ind w:left="0" w:hanging="2"/>
        <w:rPr>
          <w:rFonts w:eastAsia="Arial" w:cs="Arial"/>
          <w:color w:val="000000"/>
          <w:sz w:val="20"/>
          <w:szCs w:val="20"/>
        </w:rPr>
      </w:pPr>
      <w:r>
        <w:rPr>
          <w:rFonts w:eastAsia="Arial" w:cs="Arial"/>
          <w:b/>
          <w:color w:val="000000"/>
          <w:sz w:val="20"/>
          <w:szCs w:val="20"/>
        </w:rPr>
        <w:t>Smetanova Litomyšl, o.p.s.</w:t>
      </w:r>
    </w:p>
    <w:p w14:paraId="056B478C" w14:textId="77777777" w:rsidR="00BB322D" w:rsidRDefault="00000000">
      <w:pPr>
        <w:pBdr>
          <w:top w:val="nil"/>
          <w:left w:val="nil"/>
          <w:bottom w:val="nil"/>
          <w:right w:val="nil"/>
          <w:between w:val="nil"/>
        </w:pBdr>
        <w:tabs>
          <w:tab w:val="left" w:pos="2410"/>
        </w:tabs>
        <w:spacing w:line="240" w:lineRule="auto"/>
        <w:ind w:left="0" w:hanging="2"/>
        <w:rPr>
          <w:rFonts w:eastAsia="Arial" w:cs="Arial"/>
          <w:color w:val="FF6600"/>
          <w:sz w:val="20"/>
          <w:szCs w:val="20"/>
        </w:rPr>
      </w:pPr>
      <w:r>
        <w:rPr>
          <w:rFonts w:eastAsia="Arial" w:cs="Arial"/>
          <w:color w:val="000000"/>
          <w:sz w:val="20"/>
          <w:szCs w:val="20"/>
        </w:rPr>
        <w:t>zastoupená:</w:t>
      </w:r>
      <w:r>
        <w:rPr>
          <w:rFonts w:eastAsia="Arial" w:cs="Arial"/>
          <w:color w:val="000000"/>
          <w:sz w:val="20"/>
          <w:szCs w:val="20"/>
        </w:rPr>
        <w:tab/>
        <w:t>Michalem Medkem, ředitelem festivalu</w:t>
      </w:r>
    </w:p>
    <w:p w14:paraId="056B478D" w14:textId="77777777" w:rsidR="00BB322D" w:rsidRDefault="00000000">
      <w:pPr>
        <w:keepNext/>
        <w:pBdr>
          <w:top w:val="nil"/>
          <w:left w:val="nil"/>
          <w:bottom w:val="nil"/>
          <w:right w:val="nil"/>
          <w:between w:val="nil"/>
        </w:pBdr>
        <w:tabs>
          <w:tab w:val="left" w:pos="1985"/>
          <w:tab w:val="left" w:pos="2410"/>
        </w:tabs>
        <w:spacing w:line="240" w:lineRule="auto"/>
        <w:ind w:left="0" w:hanging="2"/>
        <w:rPr>
          <w:rFonts w:eastAsia="Arial" w:cs="Arial"/>
          <w:color w:val="000000"/>
          <w:sz w:val="20"/>
          <w:szCs w:val="20"/>
        </w:rPr>
      </w:pPr>
      <w:r>
        <w:rPr>
          <w:rFonts w:eastAsia="Arial" w:cs="Arial"/>
          <w:color w:val="000000"/>
          <w:sz w:val="20"/>
          <w:szCs w:val="20"/>
        </w:rPr>
        <w:t>se sídlem:</w:t>
      </w:r>
      <w:r>
        <w:rPr>
          <w:rFonts w:eastAsia="Arial" w:cs="Arial"/>
          <w:color w:val="000000"/>
          <w:sz w:val="20"/>
          <w:szCs w:val="20"/>
        </w:rPr>
        <w:tab/>
      </w:r>
      <w:r>
        <w:rPr>
          <w:rFonts w:eastAsia="Arial" w:cs="Arial"/>
          <w:color w:val="000000"/>
          <w:sz w:val="20"/>
          <w:szCs w:val="20"/>
        </w:rPr>
        <w:tab/>
        <w:t>Jiráskova 133, 570 01 Litomyšl</w:t>
      </w:r>
    </w:p>
    <w:p w14:paraId="056B478E" w14:textId="77777777" w:rsidR="00BB322D" w:rsidRDefault="00000000">
      <w:pPr>
        <w:keepNext/>
        <w:pBdr>
          <w:top w:val="nil"/>
          <w:left w:val="nil"/>
          <w:bottom w:val="nil"/>
          <w:right w:val="nil"/>
          <w:between w:val="nil"/>
        </w:pBdr>
        <w:tabs>
          <w:tab w:val="left" w:pos="1985"/>
          <w:tab w:val="left" w:pos="2410"/>
        </w:tabs>
        <w:spacing w:line="240" w:lineRule="auto"/>
        <w:ind w:left="0" w:hanging="2"/>
        <w:rPr>
          <w:rFonts w:eastAsia="Arial" w:cs="Arial"/>
          <w:color w:val="000000"/>
          <w:sz w:val="20"/>
          <w:szCs w:val="20"/>
        </w:rPr>
      </w:pPr>
      <w:r>
        <w:rPr>
          <w:rFonts w:eastAsia="Arial" w:cs="Arial"/>
          <w:color w:val="000000"/>
          <w:sz w:val="20"/>
          <w:szCs w:val="20"/>
        </w:rPr>
        <w:t>IČO:</w:t>
      </w:r>
      <w:r>
        <w:rPr>
          <w:rFonts w:eastAsia="Arial" w:cs="Arial"/>
          <w:color w:val="000000"/>
          <w:sz w:val="20"/>
          <w:szCs w:val="20"/>
        </w:rPr>
        <w:tab/>
        <w:t>25918206</w:t>
      </w:r>
    </w:p>
    <w:p w14:paraId="056B478F" w14:textId="77777777" w:rsidR="00BB322D" w:rsidRDefault="00000000">
      <w:pPr>
        <w:pBdr>
          <w:top w:val="nil"/>
          <w:left w:val="nil"/>
          <w:bottom w:val="nil"/>
          <w:right w:val="nil"/>
          <w:between w:val="nil"/>
        </w:pBdr>
        <w:tabs>
          <w:tab w:val="left" w:pos="2410"/>
        </w:tabs>
        <w:spacing w:line="240" w:lineRule="auto"/>
        <w:ind w:left="0" w:hanging="2"/>
        <w:rPr>
          <w:rFonts w:eastAsia="Arial" w:cs="Arial"/>
          <w:color w:val="000000"/>
          <w:sz w:val="20"/>
          <w:szCs w:val="20"/>
        </w:rPr>
      </w:pPr>
      <w:r>
        <w:rPr>
          <w:rFonts w:eastAsia="Arial" w:cs="Arial"/>
          <w:color w:val="000000"/>
          <w:sz w:val="20"/>
          <w:szCs w:val="20"/>
        </w:rPr>
        <w:t>DIČ:</w:t>
      </w:r>
      <w:r>
        <w:rPr>
          <w:rFonts w:eastAsia="Arial" w:cs="Arial"/>
          <w:color w:val="000000"/>
          <w:sz w:val="20"/>
          <w:szCs w:val="20"/>
        </w:rPr>
        <w:tab/>
        <w:t>CZ25918206</w:t>
      </w:r>
    </w:p>
    <w:p w14:paraId="056B4790" w14:textId="77777777" w:rsidR="00BB322D" w:rsidRDefault="00000000">
      <w:pPr>
        <w:pBdr>
          <w:top w:val="nil"/>
          <w:left w:val="nil"/>
          <w:bottom w:val="nil"/>
          <w:right w:val="nil"/>
          <w:between w:val="nil"/>
        </w:pBdr>
        <w:tabs>
          <w:tab w:val="left" w:pos="2410"/>
        </w:tabs>
        <w:spacing w:line="240" w:lineRule="auto"/>
        <w:ind w:left="0" w:hanging="2"/>
        <w:rPr>
          <w:rFonts w:eastAsia="Arial" w:cs="Arial"/>
          <w:color w:val="000000"/>
          <w:sz w:val="20"/>
          <w:szCs w:val="20"/>
        </w:rPr>
      </w:pPr>
      <w:r>
        <w:rPr>
          <w:rFonts w:eastAsia="Arial" w:cs="Arial"/>
          <w:color w:val="000000"/>
          <w:sz w:val="20"/>
          <w:szCs w:val="20"/>
        </w:rPr>
        <w:t>zápis do OR:</w:t>
      </w:r>
      <w:r>
        <w:rPr>
          <w:rFonts w:eastAsia="Arial" w:cs="Arial"/>
          <w:color w:val="000000"/>
          <w:sz w:val="20"/>
          <w:szCs w:val="20"/>
        </w:rPr>
        <w:tab/>
        <w:t>Krajský soud v Hradci Králové, oddíl O, vložka 49</w:t>
      </w:r>
    </w:p>
    <w:p w14:paraId="056B4791" w14:textId="77777777" w:rsidR="00BB322D" w:rsidRDefault="00000000">
      <w:pPr>
        <w:pBdr>
          <w:top w:val="nil"/>
          <w:left w:val="nil"/>
          <w:bottom w:val="nil"/>
          <w:right w:val="nil"/>
          <w:between w:val="nil"/>
        </w:pBdr>
        <w:tabs>
          <w:tab w:val="left" w:pos="2410"/>
        </w:tabs>
        <w:spacing w:line="240" w:lineRule="auto"/>
        <w:ind w:left="0" w:hanging="2"/>
        <w:rPr>
          <w:rFonts w:eastAsia="Arial" w:cs="Arial"/>
          <w:color w:val="000000"/>
          <w:sz w:val="20"/>
          <w:szCs w:val="20"/>
        </w:rPr>
      </w:pPr>
      <w:r>
        <w:rPr>
          <w:rFonts w:eastAsia="Arial" w:cs="Arial"/>
          <w:color w:val="000000"/>
          <w:sz w:val="20"/>
          <w:szCs w:val="20"/>
        </w:rPr>
        <w:t>bankovní spojení:</w:t>
      </w:r>
      <w:r>
        <w:rPr>
          <w:rFonts w:eastAsia="Arial" w:cs="Arial"/>
          <w:color w:val="000000"/>
          <w:sz w:val="20"/>
          <w:szCs w:val="20"/>
        </w:rPr>
        <w:tab/>
        <w:t>Česká spořitelna, a.s.</w:t>
      </w:r>
      <w:r>
        <w:rPr>
          <w:rFonts w:eastAsia="Arial" w:cs="Arial"/>
          <w:color w:val="000000"/>
          <w:sz w:val="20"/>
          <w:szCs w:val="20"/>
        </w:rPr>
        <w:tab/>
      </w:r>
    </w:p>
    <w:p w14:paraId="056B4792" w14:textId="77777777" w:rsidR="00BB322D" w:rsidRDefault="00000000">
      <w:pPr>
        <w:pBdr>
          <w:top w:val="nil"/>
          <w:left w:val="nil"/>
          <w:bottom w:val="nil"/>
          <w:right w:val="nil"/>
          <w:between w:val="nil"/>
        </w:pBdr>
        <w:tabs>
          <w:tab w:val="left" w:pos="2410"/>
        </w:tabs>
        <w:spacing w:line="240" w:lineRule="auto"/>
        <w:ind w:left="0" w:hanging="2"/>
        <w:rPr>
          <w:rFonts w:eastAsia="Arial" w:cs="Arial"/>
          <w:color w:val="000000"/>
          <w:sz w:val="20"/>
          <w:szCs w:val="20"/>
        </w:rPr>
      </w:pPr>
      <w:r>
        <w:rPr>
          <w:rFonts w:eastAsia="Arial" w:cs="Arial"/>
          <w:color w:val="000000"/>
          <w:sz w:val="20"/>
          <w:szCs w:val="20"/>
        </w:rPr>
        <w:t>číslo účtu:</w:t>
      </w:r>
      <w:r>
        <w:rPr>
          <w:rFonts w:eastAsia="Arial" w:cs="Arial"/>
          <w:color w:val="000000"/>
          <w:sz w:val="20"/>
          <w:szCs w:val="20"/>
        </w:rPr>
        <w:tab/>
        <w:t>1280495339/0800</w:t>
      </w:r>
    </w:p>
    <w:p w14:paraId="056B4793" w14:textId="77777777" w:rsidR="00BB322D" w:rsidRDefault="00000000">
      <w:pPr>
        <w:pBdr>
          <w:top w:val="nil"/>
          <w:left w:val="nil"/>
          <w:bottom w:val="nil"/>
          <w:right w:val="nil"/>
          <w:between w:val="nil"/>
        </w:pBdr>
        <w:tabs>
          <w:tab w:val="left" w:pos="2410"/>
        </w:tabs>
        <w:spacing w:line="240" w:lineRule="auto"/>
        <w:ind w:left="0" w:hanging="2"/>
        <w:rPr>
          <w:rFonts w:eastAsia="Arial" w:cs="Arial"/>
          <w:color w:val="000000"/>
          <w:sz w:val="20"/>
          <w:szCs w:val="20"/>
        </w:rPr>
      </w:pPr>
      <w:r>
        <w:rPr>
          <w:rFonts w:eastAsia="Arial" w:cs="Arial"/>
          <w:color w:val="000000"/>
          <w:sz w:val="20"/>
          <w:szCs w:val="20"/>
        </w:rPr>
        <w:t>plátce DPH</w:t>
      </w:r>
      <w:r>
        <w:rPr>
          <w:rFonts w:eastAsia="Arial" w:cs="Arial"/>
          <w:color w:val="000000"/>
          <w:sz w:val="20"/>
          <w:szCs w:val="20"/>
        </w:rPr>
        <w:tab/>
        <w:t>ano/ne</w:t>
      </w:r>
    </w:p>
    <w:p w14:paraId="056B4794" w14:textId="77777777" w:rsidR="00BB322D" w:rsidRDefault="00000000">
      <w:pPr>
        <w:pBdr>
          <w:top w:val="nil"/>
          <w:left w:val="nil"/>
          <w:bottom w:val="nil"/>
          <w:right w:val="nil"/>
          <w:between w:val="nil"/>
        </w:pBdr>
        <w:tabs>
          <w:tab w:val="left" w:pos="2410"/>
        </w:tabs>
        <w:spacing w:before="120" w:line="240" w:lineRule="auto"/>
        <w:ind w:left="0" w:hanging="2"/>
        <w:rPr>
          <w:rFonts w:eastAsia="Arial" w:cs="Arial"/>
          <w:color w:val="000000"/>
          <w:sz w:val="20"/>
          <w:szCs w:val="20"/>
        </w:rPr>
      </w:pPr>
      <w:r>
        <w:rPr>
          <w:rFonts w:eastAsia="Arial" w:cs="Arial"/>
          <w:color w:val="000000"/>
          <w:sz w:val="20"/>
          <w:szCs w:val="20"/>
        </w:rPr>
        <w:tab/>
        <w:t>(dále jen „</w:t>
      </w:r>
      <w:r>
        <w:rPr>
          <w:rFonts w:eastAsia="Arial" w:cs="Arial"/>
          <w:b/>
          <w:color w:val="000000"/>
          <w:sz w:val="20"/>
          <w:szCs w:val="20"/>
        </w:rPr>
        <w:t>Partner</w:t>
      </w:r>
      <w:r>
        <w:rPr>
          <w:rFonts w:eastAsia="Arial" w:cs="Arial"/>
          <w:color w:val="000000"/>
          <w:sz w:val="20"/>
          <w:szCs w:val="20"/>
        </w:rPr>
        <w:t>“)</w:t>
      </w:r>
    </w:p>
    <w:p w14:paraId="056B4795" w14:textId="77777777" w:rsidR="00BB322D" w:rsidRDefault="00000000">
      <w:pPr>
        <w:pBdr>
          <w:top w:val="nil"/>
          <w:left w:val="nil"/>
          <w:bottom w:val="nil"/>
          <w:right w:val="nil"/>
          <w:between w:val="nil"/>
        </w:pBdr>
        <w:tabs>
          <w:tab w:val="left" w:pos="1985"/>
        </w:tabs>
        <w:spacing w:before="180" w:after="180" w:line="240" w:lineRule="auto"/>
        <w:ind w:left="0" w:hanging="2"/>
        <w:rPr>
          <w:rFonts w:eastAsia="Arial" w:cs="Arial"/>
          <w:color w:val="000000"/>
          <w:sz w:val="20"/>
          <w:szCs w:val="20"/>
        </w:rPr>
      </w:pPr>
      <w:r>
        <w:rPr>
          <w:rFonts w:eastAsia="Arial" w:cs="Arial"/>
          <w:color w:val="000000"/>
          <w:sz w:val="20"/>
          <w:szCs w:val="20"/>
        </w:rPr>
        <w:t>a</w:t>
      </w:r>
    </w:p>
    <w:p w14:paraId="056B4796" w14:textId="77777777" w:rsidR="00BB322D" w:rsidRDefault="00000000">
      <w:pPr>
        <w:pBdr>
          <w:top w:val="nil"/>
          <w:left w:val="nil"/>
          <w:bottom w:val="nil"/>
          <w:right w:val="nil"/>
          <w:between w:val="nil"/>
        </w:pBdr>
        <w:spacing w:after="80" w:line="240" w:lineRule="auto"/>
        <w:ind w:left="0" w:hanging="2"/>
        <w:rPr>
          <w:rFonts w:eastAsia="Arial" w:cs="Arial"/>
          <w:color w:val="000000"/>
          <w:sz w:val="20"/>
          <w:szCs w:val="20"/>
        </w:rPr>
      </w:pPr>
      <w:r>
        <w:rPr>
          <w:rFonts w:eastAsia="Arial" w:cs="Arial"/>
          <w:b/>
          <w:color w:val="000000"/>
          <w:sz w:val="20"/>
          <w:szCs w:val="20"/>
        </w:rPr>
        <w:t>T-Mobile Czech Republic a.s.</w:t>
      </w:r>
    </w:p>
    <w:p w14:paraId="056B4797" w14:textId="330CBA1D" w:rsidR="00BB322D" w:rsidRDefault="00000000">
      <w:pPr>
        <w:pBdr>
          <w:top w:val="nil"/>
          <w:left w:val="nil"/>
          <w:bottom w:val="nil"/>
          <w:right w:val="nil"/>
          <w:between w:val="nil"/>
        </w:pBdr>
        <w:tabs>
          <w:tab w:val="left" w:pos="2410"/>
        </w:tabs>
        <w:spacing w:line="240" w:lineRule="auto"/>
        <w:ind w:left="0" w:hanging="2"/>
        <w:jc w:val="both"/>
        <w:rPr>
          <w:rFonts w:eastAsia="Arial" w:cs="Arial"/>
          <w:color w:val="000000"/>
          <w:sz w:val="20"/>
          <w:szCs w:val="20"/>
        </w:rPr>
      </w:pPr>
      <w:r>
        <w:rPr>
          <w:rFonts w:eastAsia="Arial" w:cs="Arial"/>
          <w:color w:val="000000"/>
          <w:sz w:val="20"/>
          <w:szCs w:val="20"/>
        </w:rPr>
        <w:t>zastoupená:</w:t>
      </w:r>
      <w:r>
        <w:rPr>
          <w:rFonts w:eastAsia="Arial" w:cs="Arial"/>
          <w:color w:val="000000"/>
          <w:sz w:val="20"/>
          <w:szCs w:val="20"/>
        </w:rPr>
        <w:tab/>
      </w:r>
      <w:r w:rsidR="003D280C">
        <w:rPr>
          <w:rFonts w:eastAsia="Arial" w:cs="Arial"/>
          <w:color w:val="000000"/>
          <w:sz w:val="20"/>
          <w:szCs w:val="20"/>
        </w:rPr>
        <w:t>Xxx Xxxxx</w:t>
      </w:r>
      <w:r>
        <w:rPr>
          <w:rFonts w:eastAsia="Arial" w:cs="Arial"/>
          <w:color w:val="000000"/>
          <w:sz w:val="20"/>
          <w:szCs w:val="20"/>
        </w:rPr>
        <w:t>, ředitelem vnějších vztahů a udržitelnosti, na základě pověření</w:t>
      </w:r>
    </w:p>
    <w:p w14:paraId="056B4798" w14:textId="0A4CBB63" w:rsidR="00BB322D" w:rsidRDefault="00000000">
      <w:pPr>
        <w:pBdr>
          <w:top w:val="nil"/>
          <w:left w:val="nil"/>
          <w:bottom w:val="nil"/>
          <w:right w:val="nil"/>
          <w:between w:val="nil"/>
        </w:pBdr>
        <w:tabs>
          <w:tab w:val="left" w:pos="2410"/>
        </w:tabs>
        <w:spacing w:line="240" w:lineRule="auto"/>
        <w:ind w:left="0" w:hanging="2"/>
        <w:jc w:val="both"/>
        <w:rPr>
          <w:rFonts w:eastAsia="Arial" w:cs="Arial"/>
          <w:color w:val="000000"/>
          <w:sz w:val="20"/>
          <w:szCs w:val="20"/>
        </w:rPr>
      </w:pPr>
      <w:r>
        <w:rPr>
          <w:rFonts w:eastAsia="Arial" w:cs="Arial"/>
          <w:color w:val="000000"/>
          <w:sz w:val="20"/>
          <w:szCs w:val="20"/>
        </w:rPr>
        <w:t>se sídlem:</w:t>
      </w:r>
      <w:r>
        <w:rPr>
          <w:rFonts w:eastAsia="Arial" w:cs="Arial"/>
          <w:color w:val="000000"/>
          <w:sz w:val="20"/>
          <w:szCs w:val="20"/>
        </w:rPr>
        <w:tab/>
        <w:t>Tomíčkova 2144/1, 148 00 Praha 4</w:t>
      </w:r>
    </w:p>
    <w:p w14:paraId="056B4799" w14:textId="77777777" w:rsidR="00BB322D" w:rsidRDefault="00000000">
      <w:pPr>
        <w:pBdr>
          <w:top w:val="nil"/>
          <w:left w:val="nil"/>
          <w:bottom w:val="nil"/>
          <w:right w:val="nil"/>
          <w:between w:val="nil"/>
        </w:pBdr>
        <w:tabs>
          <w:tab w:val="left" w:pos="2410"/>
        </w:tabs>
        <w:spacing w:line="240" w:lineRule="auto"/>
        <w:ind w:left="0" w:hanging="2"/>
        <w:jc w:val="both"/>
        <w:rPr>
          <w:rFonts w:eastAsia="Arial" w:cs="Arial"/>
          <w:color w:val="000000"/>
          <w:sz w:val="20"/>
          <w:szCs w:val="20"/>
        </w:rPr>
      </w:pPr>
      <w:r>
        <w:rPr>
          <w:rFonts w:eastAsia="Arial" w:cs="Arial"/>
          <w:color w:val="000000"/>
          <w:sz w:val="20"/>
          <w:szCs w:val="20"/>
        </w:rPr>
        <w:t>IČO:</w:t>
      </w:r>
      <w:r>
        <w:rPr>
          <w:rFonts w:eastAsia="Arial" w:cs="Arial"/>
          <w:color w:val="000000"/>
          <w:sz w:val="20"/>
          <w:szCs w:val="20"/>
        </w:rPr>
        <w:tab/>
        <w:t>6494 9681</w:t>
      </w:r>
    </w:p>
    <w:p w14:paraId="056B479A" w14:textId="77777777" w:rsidR="00BB322D" w:rsidRDefault="00000000">
      <w:pPr>
        <w:pBdr>
          <w:top w:val="nil"/>
          <w:left w:val="nil"/>
          <w:bottom w:val="nil"/>
          <w:right w:val="nil"/>
          <w:between w:val="nil"/>
        </w:pBdr>
        <w:tabs>
          <w:tab w:val="left" w:pos="2410"/>
        </w:tabs>
        <w:spacing w:line="240" w:lineRule="auto"/>
        <w:ind w:left="0" w:hanging="2"/>
        <w:jc w:val="both"/>
        <w:rPr>
          <w:rFonts w:eastAsia="Arial" w:cs="Arial"/>
          <w:color w:val="000000"/>
          <w:sz w:val="20"/>
          <w:szCs w:val="20"/>
        </w:rPr>
      </w:pPr>
      <w:r>
        <w:rPr>
          <w:rFonts w:eastAsia="Arial" w:cs="Arial"/>
          <w:color w:val="000000"/>
          <w:sz w:val="20"/>
          <w:szCs w:val="20"/>
        </w:rPr>
        <w:t>DIČ:</w:t>
      </w:r>
      <w:r>
        <w:rPr>
          <w:rFonts w:eastAsia="Arial" w:cs="Arial"/>
          <w:color w:val="000000"/>
          <w:sz w:val="20"/>
          <w:szCs w:val="20"/>
        </w:rPr>
        <w:tab/>
        <w:t>CZ64949681</w:t>
      </w:r>
    </w:p>
    <w:p w14:paraId="056B479B" w14:textId="77777777" w:rsidR="00BB322D" w:rsidRDefault="00000000">
      <w:pPr>
        <w:pBdr>
          <w:top w:val="nil"/>
          <w:left w:val="nil"/>
          <w:bottom w:val="nil"/>
          <w:right w:val="nil"/>
          <w:between w:val="nil"/>
        </w:pBdr>
        <w:tabs>
          <w:tab w:val="left" w:pos="2410"/>
        </w:tabs>
        <w:spacing w:line="240" w:lineRule="auto"/>
        <w:ind w:left="0" w:hanging="2"/>
        <w:jc w:val="both"/>
        <w:rPr>
          <w:rFonts w:eastAsia="Arial" w:cs="Arial"/>
          <w:color w:val="000000"/>
          <w:sz w:val="20"/>
          <w:szCs w:val="20"/>
        </w:rPr>
      </w:pPr>
      <w:r>
        <w:rPr>
          <w:rFonts w:eastAsia="Arial" w:cs="Arial"/>
          <w:color w:val="000000"/>
          <w:sz w:val="20"/>
          <w:szCs w:val="20"/>
        </w:rPr>
        <w:t>zápis do OR:</w:t>
      </w:r>
      <w:r>
        <w:rPr>
          <w:rFonts w:eastAsia="Arial" w:cs="Arial"/>
          <w:color w:val="000000"/>
          <w:sz w:val="20"/>
          <w:szCs w:val="20"/>
        </w:rPr>
        <w:tab/>
        <w:t>Městský soud v Praze, oddíl B, vložka 3787</w:t>
      </w:r>
    </w:p>
    <w:p w14:paraId="056B479C" w14:textId="77777777" w:rsidR="00BB322D" w:rsidRDefault="00000000">
      <w:pPr>
        <w:pBdr>
          <w:top w:val="nil"/>
          <w:left w:val="nil"/>
          <w:bottom w:val="nil"/>
          <w:right w:val="nil"/>
          <w:between w:val="nil"/>
        </w:pBdr>
        <w:tabs>
          <w:tab w:val="left" w:pos="2410"/>
        </w:tabs>
        <w:spacing w:line="240" w:lineRule="auto"/>
        <w:ind w:left="0" w:hanging="2"/>
        <w:jc w:val="both"/>
        <w:rPr>
          <w:rFonts w:eastAsia="Arial" w:cs="Arial"/>
          <w:color w:val="000000"/>
          <w:sz w:val="20"/>
          <w:szCs w:val="20"/>
        </w:rPr>
      </w:pPr>
      <w:r>
        <w:rPr>
          <w:rFonts w:eastAsia="Arial" w:cs="Arial"/>
          <w:color w:val="000000"/>
          <w:sz w:val="20"/>
          <w:szCs w:val="20"/>
        </w:rPr>
        <w:t>bankovní spojení:</w:t>
      </w:r>
      <w:r>
        <w:rPr>
          <w:rFonts w:eastAsia="Arial" w:cs="Arial"/>
          <w:color w:val="000000"/>
          <w:sz w:val="20"/>
          <w:szCs w:val="20"/>
        </w:rPr>
        <w:tab/>
        <w:t>Komerční banka, a.s., pobočka Náměstí Míru</w:t>
      </w:r>
    </w:p>
    <w:p w14:paraId="056B479D" w14:textId="77777777" w:rsidR="00BB322D" w:rsidRDefault="00000000">
      <w:pPr>
        <w:keepNext/>
        <w:pBdr>
          <w:top w:val="nil"/>
          <w:left w:val="nil"/>
          <w:bottom w:val="nil"/>
          <w:right w:val="nil"/>
          <w:between w:val="nil"/>
        </w:pBdr>
        <w:tabs>
          <w:tab w:val="left" w:pos="2410"/>
        </w:tabs>
        <w:spacing w:line="240" w:lineRule="auto"/>
        <w:ind w:left="0" w:hanging="2"/>
        <w:jc w:val="both"/>
        <w:rPr>
          <w:rFonts w:eastAsia="Arial" w:cs="Arial"/>
          <w:color w:val="000000"/>
          <w:sz w:val="20"/>
          <w:szCs w:val="20"/>
        </w:rPr>
      </w:pPr>
      <w:r>
        <w:rPr>
          <w:rFonts w:eastAsia="Arial" w:cs="Arial"/>
          <w:color w:val="000000"/>
          <w:sz w:val="20"/>
          <w:szCs w:val="20"/>
        </w:rPr>
        <w:t>číslo účtu:</w:t>
      </w:r>
      <w:r>
        <w:rPr>
          <w:rFonts w:eastAsia="Arial" w:cs="Arial"/>
          <w:color w:val="000000"/>
          <w:sz w:val="20"/>
          <w:szCs w:val="20"/>
        </w:rPr>
        <w:tab/>
        <w:t>192235200217/0100</w:t>
      </w:r>
    </w:p>
    <w:p w14:paraId="056B479E" w14:textId="77777777" w:rsidR="00BB322D" w:rsidRDefault="00000000">
      <w:pPr>
        <w:pBdr>
          <w:top w:val="nil"/>
          <w:left w:val="nil"/>
          <w:bottom w:val="nil"/>
          <w:right w:val="nil"/>
          <w:between w:val="nil"/>
        </w:pBdr>
        <w:spacing w:line="240" w:lineRule="auto"/>
        <w:ind w:left="0" w:hanging="2"/>
        <w:rPr>
          <w:rFonts w:eastAsia="Arial" w:cs="Arial"/>
          <w:color w:val="000000"/>
        </w:rPr>
      </w:pPr>
      <w:r>
        <w:rPr>
          <w:rFonts w:eastAsia="Arial" w:cs="Arial"/>
          <w:color w:val="000000"/>
          <w:sz w:val="20"/>
          <w:szCs w:val="20"/>
        </w:rPr>
        <w:t>plátce DPH:</w:t>
      </w:r>
      <w:r>
        <w:rPr>
          <w:rFonts w:eastAsia="Arial" w:cs="Arial"/>
          <w:color w:val="000000"/>
          <w:sz w:val="20"/>
          <w:szCs w:val="20"/>
        </w:rPr>
        <w:tab/>
        <w:t>ano</w:t>
      </w:r>
    </w:p>
    <w:p w14:paraId="056B479F" w14:textId="77777777" w:rsidR="00BB322D" w:rsidRDefault="00000000">
      <w:pPr>
        <w:pBdr>
          <w:top w:val="nil"/>
          <w:left w:val="nil"/>
          <w:bottom w:val="nil"/>
          <w:right w:val="nil"/>
          <w:between w:val="nil"/>
        </w:pBdr>
        <w:tabs>
          <w:tab w:val="left" w:pos="2410"/>
        </w:tabs>
        <w:spacing w:before="120" w:line="240" w:lineRule="auto"/>
        <w:ind w:left="0" w:hanging="2"/>
        <w:jc w:val="both"/>
        <w:rPr>
          <w:rFonts w:eastAsia="Arial" w:cs="Arial"/>
          <w:color w:val="000000"/>
          <w:sz w:val="20"/>
          <w:szCs w:val="20"/>
        </w:rPr>
      </w:pPr>
      <w:r>
        <w:rPr>
          <w:rFonts w:eastAsia="Arial" w:cs="Arial"/>
          <w:color w:val="000000"/>
          <w:sz w:val="20"/>
          <w:szCs w:val="20"/>
        </w:rPr>
        <w:tab/>
        <w:t>(dále jen „</w:t>
      </w:r>
      <w:r>
        <w:rPr>
          <w:rFonts w:eastAsia="Arial" w:cs="Arial"/>
          <w:b/>
          <w:color w:val="000000"/>
          <w:sz w:val="20"/>
          <w:szCs w:val="20"/>
        </w:rPr>
        <w:t>TMCZ</w:t>
      </w:r>
      <w:r>
        <w:rPr>
          <w:rFonts w:eastAsia="Arial" w:cs="Arial"/>
          <w:color w:val="000000"/>
          <w:sz w:val="20"/>
          <w:szCs w:val="20"/>
        </w:rPr>
        <w:t>“)</w:t>
      </w:r>
    </w:p>
    <w:p w14:paraId="056B47A0" w14:textId="77777777" w:rsidR="00BB322D" w:rsidRDefault="00BB322D">
      <w:pPr>
        <w:pBdr>
          <w:top w:val="nil"/>
          <w:left w:val="nil"/>
          <w:bottom w:val="nil"/>
          <w:right w:val="nil"/>
          <w:between w:val="nil"/>
        </w:pBdr>
        <w:spacing w:line="240" w:lineRule="auto"/>
        <w:ind w:left="0" w:hanging="2"/>
        <w:jc w:val="both"/>
        <w:rPr>
          <w:rFonts w:eastAsia="Arial" w:cs="Arial"/>
          <w:color w:val="000000"/>
          <w:sz w:val="20"/>
          <w:szCs w:val="20"/>
        </w:rPr>
      </w:pPr>
    </w:p>
    <w:p w14:paraId="056B47A1" w14:textId="77777777" w:rsidR="00BB322D" w:rsidRDefault="00BB322D">
      <w:pPr>
        <w:pBdr>
          <w:top w:val="nil"/>
          <w:left w:val="nil"/>
          <w:bottom w:val="nil"/>
          <w:right w:val="nil"/>
          <w:between w:val="nil"/>
        </w:pBdr>
        <w:spacing w:line="240" w:lineRule="auto"/>
        <w:ind w:left="0" w:hanging="2"/>
        <w:jc w:val="both"/>
        <w:rPr>
          <w:rFonts w:eastAsia="Arial" w:cs="Arial"/>
          <w:color w:val="000000"/>
          <w:sz w:val="20"/>
          <w:szCs w:val="20"/>
        </w:rPr>
      </w:pPr>
    </w:p>
    <w:p w14:paraId="056B47A2" w14:textId="77777777" w:rsidR="00BB322D" w:rsidRDefault="00000000">
      <w:pPr>
        <w:keepNext/>
        <w:pBdr>
          <w:top w:val="nil"/>
          <w:left w:val="nil"/>
          <w:bottom w:val="nil"/>
          <w:right w:val="nil"/>
          <w:between w:val="nil"/>
        </w:pBdr>
        <w:spacing w:line="240" w:lineRule="auto"/>
        <w:ind w:left="0" w:hanging="2"/>
        <w:jc w:val="center"/>
        <w:rPr>
          <w:rFonts w:eastAsia="Arial" w:cs="Arial"/>
          <w:color w:val="000000"/>
          <w:sz w:val="20"/>
          <w:szCs w:val="20"/>
        </w:rPr>
      </w:pPr>
      <w:r>
        <w:rPr>
          <w:rFonts w:eastAsia="Arial" w:cs="Arial"/>
          <w:b/>
          <w:color w:val="000000"/>
          <w:sz w:val="20"/>
          <w:szCs w:val="20"/>
        </w:rPr>
        <w:t>I.</w:t>
      </w:r>
    </w:p>
    <w:p w14:paraId="056B47A3" w14:textId="77777777" w:rsidR="00BB322D" w:rsidRDefault="00000000">
      <w:pPr>
        <w:keepNext/>
        <w:pBdr>
          <w:top w:val="nil"/>
          <w:left w:val="nil"/>
          <w:bottom w:val="nil"/>
          <w:right w:val="nil"/>
          <w:between w:val="nil"/>
        </w:pBdr>
        <w:spacing w:after="120" w:line="240" w:lineRule="auto"/>
        <w:ind w:left="0" w:hanging="2"/>
        <w:jc w:val="center"/>
        <w:rPr>
          <w:rFonts w:eastAsia="Arial" w:cs="Arial"/>
          <w:b/>
          <w:color w:val="000000"/>
          <w:sz w:val="24"/>
          <w:szCs w:val="24"/>
        </w:rPr>
      </w:pPr>
      <w:r>
        <w:rPr>
          <w:rFonts w:eastAsia="Arial" w:cs="Arial"/>
          <w:b/>
          <w:smallCaps/>
          <w:color w:val="000000"/>
          <w:sz w:val="24"/>
          <w:szCs w:val="24"/>
        </w:rPr>
        <w:t>Úvodní ustanovení</w:t>
      </w:r>
    </w:p>
    <w:p w14:paraId="056B47A4" w14:textId="77777777" w:rsidR="00BB322D" w:rsidRDefault="00000000">
      <w:pPr>
        <w:numPr>
          <w:ilvl w:val="0"/>
          <w:numId w:val="1"/>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TMCZ je zřizovatelem a provozovatelem veřejné mobilní sítě elektronických komunikací a veřejné pevné sítě elektronických komunikací na území České republiky.</w:t>
      </w:r>
    </w:p>
    <w:p w14:paraId="056B47A5" w14:textId="77777777" w:rsidR="00BB322D" w:rsidRDefault="00000000">
      <w:pPr>
        <w:numPr>
          <w:ilvl w:val="0"/>
          <w:numId w:val="1"/>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TMCZ projevil zájem, aby byly propagovány jím poskytované služby a produkty v rámci 66. ročníku Národního festivalu Smetanova Litomyšl, který se bude konat od 8. června do 7. července 2024 v Litomyšli (dále jen „Akce“).</w:t>
      </w:r>
    </w:p>
    <w:p w14:paraId="056B47A6" w14:textId="77777777" w:rsidR="00BB322D" w:rsidRDefault="00BB322D">
      <w:pPr>
        <w:pBdr>
          <w:top w:val="nil"/>
          <w:left w:val="nil"/>
          <w:bottom w:val="nil"/>
          <w:right w:val="nil"/>
          <w:between w:val="nil"/>
        </w:pBdr>
        <w:spacing w:line="240" w:lineRule="auto"/>
        <w:ind w:left="0" w:hanging="2"/>
        <w:jc w:val="both"/>
        <w:rPr>
          <w:rFonts w:eastAsia="Arial" w:cs="Arial"/>
          <w:color w:val="000000"/>
          <w:sz w:val="20"/>
          <w:szCs w:val="20"/>
        </w:rPr>
      </w:pPr>
    </w:p>
    <w:p w14:paraId="056B47A7" w14:textId="77777777" w:rsidR="00BB322D" w:rsidRDefault="00000000">
      <w:pPr>
        <w:keepNext/>
        <w:pBdr>
          <w:top w:val="nil"/>
          <w:left w:val="nil"/>
          <w:bottom w:val="nil"/>
          <w:right w:val="nil"/>
          <w:between w:val="nil"/>
        </w:pBdr>
        <w:spacing w:line="240" w:lineRule="auto"/>
        <w:ind w:left="0" w:hanging="2"/>
        <w:jc w:val="center"/>
        <w:rPr>
          <w:rFonts w:eastAsia="Arial" w:cs="Arial"/>
          <w:color w:val="000000"/>
          <w:sz w:val="20"/>
          <w:szCs w:val="20"/>
        </w:rPr>
      </w:pPr>
      <w:r>
        <w:rPr>
          <w:rFonts w:eastAsia="Arial" w:cs="Arial"/>
          <w:b/>
          <w:color w:val="000000"/>
          <w:sz w:val="20"/>
          <w:szCs w:val="20"/>
        </w:rPr>
        <w:t>II.</w:t>
      </w:r>
    </w:p>
    <w:p w14:paraId="056B47A8" w14:textId="77777777" w:rsidR="00BB322D" w:rsidRDefault="00000000">
      <w:pPr>
        <w:keepNext/>
        <w:pBdr>
          <w:top w:val="nil"/>
          <w:left w:val="nil"/>
          <w:bottom w:val="nil"/>
          <w:right w:val="nil"/>
          <w:between w:val="nil"/>
        </w:pBdr>
        <w:spacing w:after="120" w:line="240" w:lineRule="auto"/>
        <w:ind w:left="0" w:hanging="2"/>
        <w:jc w:val="center"/>
        <w:rPr>
          <w:rFonts w:eastAsia="Arial" w:cs="Arial"/>
          <w:b/>
          <w:color w:val="000000"/>
          <w:sz w:val="24"/>
          <w:szCs w:val="24"/>
        </w:rPr>
      </w:pPr>
      <w:r>
        <w:rPr>
          <w:rFonts w:eastAsia="Arial" w:cs="Arial"/>
          <w:b/>
          <w:smallCaps/>
          <w:color w:val="000000"/>
          <w:sz w:val="24"/>
          <w:szCs w:val="24"/>
        </w:rPr>
        <w:t>Předmět a účel smlouvy</w:t>
      </w:r>
    </w:p>
    <w:p w14:paraId="056B47A9" w14:textId="77777777" w:rsidR="00BB322D" w:rsidRDefault="00000000">
      <w:pPr>
        <w:numPr>
          <w:ilvl w:val="0"/>
          <w:numId w:val="8"/>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Předmětem této smlouvy je úprava vzájemných práv a povinností smluvních stran při zajištění kvalitní a účinné propagace TMCZ, jím poskytovaných služeb a produktů Partnerem v rámci Akce.</w:t>
      </w:r>
    </w:p>
    <w:p w14:paraId="056B47AA" w14:textId="77777777" w:rsidR="00BB322D" w:rsidRDefault="00BB322D">
      <w:pPr>
        <w:pBdr>
          <w:top w:val="nil"/>
          <w:left w:val="nil"/>
          <w:bottom w:val="nil"/>
          <w:right w:val="nil"/>
          <w:between w:val="nil"/>
        </w:pBdr>
        <w:spacing w:line="240" w:lineRule="auto"/>
        <w:ind w:left="0" w:hanging="2"/>
        <w:jc w:val="both"/>
        <w:rPr>
          <w:rFonts w:eastAsia="Arial" w:cs="Arial"/>
          <w:color w:val="000000"/>
          <w:sz w:val="20"/>
          <w:szCs w:val="20"/>
        </w:rPr>
      </w:pPr>
    </w:p>
    <w:p w14:paraId="056B47AB" w14:textId="77777777" w:rsidR="00BB322D" w:rsidRDefault="00000000">
      <w:pPr>
        <w:keepNext/>
        <w:pBdr>
          <w:top w:val="nil"/>
          <w:left w:val="nil"/>
          <w:bottom w:val="nil"/>
          <w:right w:val="nil"/>
          <w:between w:val="nil"/>
        </w:pBdr>
        <w:spacing w:line="240" w:lineRule="auto"/>
        <w:ind w:left="0" w:hanging="2"/>
        <w:jc w:val="center"/>
        <w:rPr>
          <w:rFonts w:eastAsia="Arial" w:cs="Arial"/>
          <w:color w:val="000000"/>
          <w:sz w:val="20"/>
          <w:szCs w:val="20"/>
        </w:rPr>
      </w:pPr>
      <w:r>
        <w:rPr>
          <w:rFonts w:eastAsia="Arial" w:cs="Arial"/>
          <w:b/>
          <w:color w:val="000000"/>
          <w:sz w:val="20"/>
          <w:szCs w:val="20"/>
        </w:rPr>
        <w:t>III.</w:t>
      </w:r>
    </w:p>
    <w:p w14:paraId="056B47AC" w14:textId="77777777" w:rsidR="00BB322D" w:rsidRDefault="00000000">
      <w:pPr>
        <w:keepNext/>
        <w:pBdr>
          <w:top w:val="nil"/>
          <w:left w:val="nil"/>
          <w:bottom w:val="nil"/>
          <w:right w:val="nil"/>
          <w:between w:val="nil"/>
        </w:pBdr>
        <w:spacing w:after="120" w:line="240" w:lineRule="auto"/>
        <w:ind w:left="0" w:hanging="2"/>
        <w:jc w:val="center"/>
        <w:rPr>
          <w:rFonts w:eastAsia="Arial" w:cs="Arial"/>
          <w:b/>
          <w:color w:val="000000"/>
          <w:sz w:val="24"/>
          <w:szCs w:val="24"/>
        </w:rPr>
      </w:pPr>
      <w:r>
        <w:rPr>
          <w:rFonts w:eastAsia="Arial" w:cs="Arial"/>
          <w:b/>
          <w:smallCaps/>
          <w:color w:val="000000"/>
          <w:sz w:val="24"/>
          <w:szCs w:val="24"/>
        </w:rPr>
        <w:t>Práva a povinnosti smluvních stran</w:t>
      </w:r>
    </w:p>
    <w:p w14:paraId="056B47AD"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Závazky Partnera vůči TMCZ:</w:t>
      </w:r>
    </w:p>
    <w:p w14:paraId="056B47AE" w14:textId="77777777" w:rsidR="00BB322D" w:rsidRDefault="00000000">
      <w:pPr>
        <w:numPr>
          <w:ilvl w:val="0"/>
          <w:numId w:val="12"/>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uvedení T-Mobile s titulem „Zlatý podporovatel“ a s tím i loga (dále jen „</w:t>
      </w:r>
      <w:r>
        <w:rPr>
          <w:rFonts w:eastAsia="Arial" w:cs="Arial"/>
          <w:b/>
          <w:color w:val="000000"/>
          <w:sz w:val="20"/>
          <w:szCs w:val="20"/>
        </w:rPr>
        <w:t>Logo</w:t>
      </w:r>
      <w:r>
        <w:rPr>
          <w:rFonts w:eastAsia="Arial" w:cs="Arial"/>
          <w:color w:val="000000"/>
          <w:sz w:val="20"/>
          <w:szCs w:val="20"/>
        </w:rPr>
        <w:t>“)</w:t>
      </w:r>
    </w:p>
    <w:p w14:paraId="056B47AF" w14:textId="77777777" w:rsidR="00BB322D" w:rsidRDefault="00000000">
      <w:pPr>
        <w:numPr>
          <w:ilvl w:val="0"/>
          <w:numId w:val="3"/>
        </w:numPr>
        <w:pBdr>
          <w:top w:val="nil"/>
          <w:left w:val="nil"/>
          <w:bottom w:val="nil"/>
          <w:right w:val="nil"/>
          <w:between w:val="nil"/>
        </w:pBdr>
        <w:spacing w:after="60" w:line="240" w:lineRule="auto"/>
        <w:ind w:left="0" w:hanging="2"/>
        <w:jc w:val="both"/>
        <w:rPr>
          <w:rFonts w:eastAsia="Arial" w:cs="Arial"/>
          <w:color w:val="000000"/>
          <w:sz w:val="20"/>
          <w:szCs w:val="20"/>
        </w:rPr>
      </w:pPr>
      <w:r>
        <w:rPr>
          <w:rFonts w:eastAsia="Arial" w:cs="Arial"/>
          <w:color w:val="000000"/>
          <w:sz w:val="20"/>
          <w:szCs w:val="20"/>
        </w:rPr>
        <w:t xml:space="preserve">v reprezentativním katalogu vydaným Organizátorem v sekci Zlatí podporovatelé - velikost loga vychází z hierarchie stanovené partnerskou pyramidou;  </w:t>
      </w:r>
    </w:p>
    <w:p w14:paraId="056B47B0" w14:textId="77777777" w:rsidR="00BB322D" w:rsidRDefault="00000000">
      <w:pPr>
        <w:numPr>
          <w:ilvl w:val="0"/>
          <w:numId w:val="3"/>
        </w:numPr>
        <w:pBdr>
          <w:top w:val="nil"/>
          <w:left w:val="nil"/>
          <w:bottom w:val="nil"/>
          <w:right w:val="nil"/>
          <w:between w:val="nil"/>
        </w:pBdr>
        <w:spacing w:after="60" w:line="240" w:lineRule="auto"/>
        <w:ind w:left="0" w:hanging="2"/>
        <w:jc w:val="both"/>
        <w:rPr>
          <w:rFonts w:eastAsia="Arial" w:cs="Arial"/>
          <w:color w:val="000000"/>
          <w:sz w:val="20"/>
          <w:szCs w:val="20"/>
        </w:rPr>
      </w:pPr>
      <w:r>
        <w:rPr>
          <w:rFonts w:eastAsia="Arial" w:cs="Arial"/>
          <w:color w:val="000000"/>
          <w:sz w:val="20"/>
          <w:szCs w:val="20"/>
        </w:rPr>
        <w:t>s proklikem v přehledu partnerů na webu smetanovalitomysl.cz, a to nejpozději ode dne podpisu smlouvy nejméně do dne skončení Festivalu - velikost loga vychází z hierarchie stanovené partnerskou pyramidou;</w:t>
      </w:r>
    </w:p>
    <w:p w14:paraId="056B47B1" w14:textId="77777777" w:rsidR="00BB322D" w:rsidRDefault="00000000">
      <w:pPr>
        <w:numPr>
          <w:ilvl w:val="0"/>
          <w:numId w:val="3"/>
        </w:numPr>
        <w:pBdr>
          <w:top w:val="nil"/>
          <w:left w:val="nil"/>
          <w:bottom w:val="nil"/>
          <w:right w:val="nil"/>
          <w:between w:val="nil"/>
        </w:pBdr>
        <w:spacing w:line="240" w:lineRule="auto"/>
        <w:ind w:left="0" w:hanging="2"/>
        <w:rPr>
          <w:rFonts w:eastAsia="Arial" w:cs="Arial"/>
          <w:color w:val="000000"/>
          <w:sz w:val="20"/>
          <w:szCs w:val="20"/>
        </w:rPr>
      </w:pPr>
      <w:r>
        <w:rPr>
          <w:rFonts w:eastAsia="Arial" w:cs="Arial"/>
          <w:color w:val="000000"/>
          <w:sz w:val="20"/>
          <w:szCs w:val="20"/>
        </w:rPr>
        <w:lastRenderedPageBreak/>
        <w:t xml:space="preserve">na přehledu partnerů v areálu hlavní scény po celou dobu konání festivalu;  </w:t>
      </w:r>
    </w:p>
    <w:p w14:paraId="056B47B2" w14:textId="77777777" w:rsidR="00BB322D" w:rsidRDefault="00000000">
      <w:pPr>
        <w:numPr>
          <w:ilvl w:val="0"/>
          <w:numId w:val="3"/>
        </w:numPr>
        <w:pBdr>
          <w:top w:val="nil"/>
          <w:left w:val="nil"/>
          <w:bottom w:val="nil"/>
          <w:right w:val="nil"/>
          <w:between w:val="nil"/>
        </w:pBdr>
        <w:spacing w:line="240" w:lineRule="auto"/>
        <w:ind w:left="0" w:hanging="2"/>
        <w:rPr>
          <w:rFonts w:eastAsia="Arial" w:cs="Arial"/>
          <w:color w:val="000000"/>
          <w:sz w:val="20"/>
          <w:szCs w:val="20"/>
        </w:rPr>
      </w:pPr>
      <w:r>
        <w:rPr>
          <w:rFonts w:eastAsia="Arial" w:cs="Arial"/>
          <w:color w:val="000000"/>
          <w:sz w:val="20"/>
          <w:szCs w:val="20"/>
        </w:rPr>
        <w:t xml:space="preserve">na přehledu partnerů ve VIP centru po celou dobu konání festivalu;  </w:t>
      </w:r>
    </w:p>
    <w:p w14:paraId="056B47B3" w14:textId="77777777" w:rsidR="00BB322D" w:rsidRDefault="00000000">
      <w:pPr>
        <w:numPr>
          <w:ilvl w:val="0"/>
          <w:numId w:val="3"/>
        </w:numPr>
        <w:pBdr>
          <w:top w:val="nil"/>
          <w:left w:val="nil"/>
          <w:bottom w:val="nil"/>
          <w:right w:val="nil"/>
          <w:between w:val="nil"/>
        </w:pBdr>
        <w:spacing w:line="240" w:lineRule="auto"/>
        <w:ind w:left="0" w:hanging="2"/>
        <w:rPr>
          <w:rFonts w:eastAsia="Arial" w:cs="Arial"/>
          <w:color w:val="000000"/>
          <w:sz w:val="20"/>
          <w:szCs w:val="20"/>
        </w:rPr>
      </w:pPr>
      <w:r>
        <w:rPr>
          <w:rFonts w:eastAsia="Arial" w:cs="Arial"/>
          <w:color w:val="000000"/>
          <w:sz w:val="20"/>
          <w:szCs w:val="20"/>
        </w:rPr>
        <w:t xml:space="preserve">na LED obrazovce v rámci přehledu partnerů ve Festivalové zahradě po celou dobu konání festivalu.  </w:t>
      </w:r>
    </w:p>
    <w:p w14:paraId="056B47B4" w14:textId="77777777" w:rsidR="00BB322D" w:rsidRDefault="00BB322D">
      <w:pPr>
        <w:pBdr>
          <w:top w:val="nil"/>
          <w:left w:val="nil"/>
          <w:bottom w:val="nil"/>
          <w:right w:val="nil"/>
          <w:between w:val="nil"/>
        </w:pBdr>
        <w:spacing w:after="60" w:line="240" w:lineRule="auto"/>
        <w:ind w:left="0" w:hanging="2"/>
        <w:jc w:val="both"/>
        <w:rPr>
          <w:rFonts w:eastAsia="Arial" w:cs="Arial"/>
          <w:color w:val="000000"/>
          <w:sz w:val="20"/>
          <w:szCs w:val="20"/>
        </w:rPr>
      </w:pPr>
    </w:p>
    <w:p w14:paraId="056B47B5" w14:textId="77777777" w:rsidR="00BB322D" w:rsidRDefault="00000000">
      <w:pPr>
        <w:numPr>
          <w:ilvl w:val="0"/>
          <w:numId w:val="12"/>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Zajištění VIP vstupenek na Zahajovací koncert a další vybrané pořady festivalu v hodnotě</w:t>
      </w:r>
      <w:r>
        <w:rPr>
          <w:rFonts w:eastAsia="Arial" w:cs="Arial"/>
          <w:color w:val="000000"/>
          <w:sz w:val="20"/>
          <w:szCs w:val="20"/>
          <w:highlight w:val="white"/>
        </w:rPr>
        <w:t xml:space="preserve"> </w:t>
      </w:r>
      <w:r>
        <w:rPr>
          <w:rFonts w:eastAsia="Arial" w:cs="Arial"/>
          <w:highlight w:val="white"/>
        </w:rPr>
        <w:t>370.600</w:t>
      </w:r>
      <w:r>
        <w:rPr>
          <w:rFonts w:eastAsia="Arial" w:cs="Arial"/>
          <w:color w:val="000000"/>
          <w:sz w:val="20"/>
          <w:szCs w:val="20"/>
          <w:highlight w:val="white"/>
        </w:rPr>
        <w:t xml:space="preserve"> </w:t>
      </w:r>
      <w:r>
        <w:rPr>
          <w:rFonts w:eastAsia="Arial" w:cs="Arial"/>
          <w:color w:val="000000"/>
          <w:sz w:val="20"/>
          <w:szCs w:val="20"/>
        </w:rPr>
        <w:t>Kč včetně DPH. Konkrétní počty a vybrané pořady jsou popsáno v příloze č. 1 této smlouvy.</w:t>
      </w:r>
    </w:p>
    <w:p w14:paraId="056B47B6" w14:textId="77777777" w:rsidR="00BB322D" w:rsidRDefault="00000000">
      <w:pPr>
        <w:numPr>
          <w:ilvl w:val="0"/>
          <w:numId w:val="12"/>
        </w:numPr>
        <w:pBdr>
          <w:top w:val="nil"/>
          <w:left w:val="nil"/>
          <w:bottom w:val="nil"/>
          <w:right w:val="nil"/>
          <w:between w:val="nil"/>
        </w:pBdr>
        <w:tabs>
          <w:tab w:val="left" w:pos="851"/>
        </w:tabs>
        <w:spacing w:after="60" w:line="240" w:lineRule="auto"/>
        <w:ind w:left="0" w:hanging="2"/>
        <w:jc w:val="both"/>
        <w:rPr>
          <w:rFonts w:eastAsia="Arial" w:cs="Arial"/>
          <w:color w:val="000000"/>
          <w:sz w:val="20"/>
          <w:szCs w:val="20"/>
        </w:rPr>
      </w:pPr>
      <w:r>
        <w:rPr>
          <w:rFonts w:eastAsia="Arial" w:cs="Arial"/>
          <w:color w:val="000000"/>
          <w:sz w:val="20"/>
          <w:szCs w:val="20"/>
        </w:rPr>
        <w:t>Zajištění doprovodného programu dle výběru pro hosty T-Mobile během festivalu v hodnot</w:t>
      </w:r>
      <w:r>
        <w:rPr>
          <w:rFonts w:eastAsia="Arial" w:cs="Arial"/>
          <w:color w:val="000000"/>
          <w:sz w:val="20"/>
          <w:szCs w:val="20"/>
          <w:highlight w:val="white"/>
        </w:rPr>
        <w:t xml:space="preserve">ě </w:t>
      </w:r>
      <w:r>
        <w:rPr>
          <w:rFonts w:eastAsia="Arial" w:cs="Arial"/>
          <w:highlight w:val="white"/>
        </w:rPr>
        <w:t>40. 000</w:t>
      </w:r>
      <w:r>
        <w:rPr>
          <w:rFonts w:eastAsia="Arial" w:cs="Arial"/>
          <w:color w:val="000000"/>
          <w:sz w:val="20"/>
          <w:szCs w:val="20"/>
        </w:rPr>
        <w:t xml:space="preserve"> Kč včetně DPH.</w:t>
      </w:r>
    </w:p>
    <w:p w14:paraId="056B47B7" w14:textId="77777777" w:rsidR="00BB322D" w:rsidRDefault="00000000">
      <w:pPr>
        <w:numPr>
          <w:ilvl w:val="0"/>
          <w:numId w:val="12"/>
        </w:numPr>
        <w:pBdr>
          <w:top w:val="nil"/>
          <w:left w:val="nil"/>
          <w:bottom w:val="nil"/>
          <w:right w:val="nil"/>
          <w:between w:val="nil"/>
        </w:pBdr>
        <w:tabs>
          <w:tab w:val="left" w:pos="851"/>
        </w:tabs>
        <w:spacing w:after="60" w:line="240" w:lineRule="auto"/>
        <w:ind w:left="0" w:hanging="2"/>
        <w:jc w:val="both"/>
        <w:rPr>
          <w:rFonts w:eastAsia="Arial" w:cs="Arial"/>
          <w:color w:val="000000"/>
          <w:sz w:val="20"/>
          <w:szCs w:val="20"/>
        </w:rPr>
      </w:pPr>
      <w:r>
        <w:rPr>
          <w:rFonts w:eastAsia="Arial" w:cs="Arial"/>
          <w:color w:val="000000"/>
          <w:sz w:val="20"/>
          <w:szCs w:val="20"/>
        </w:rPr>
        <w:t xml:space="preserve">Umožnit zakoupení přednostních vstupenek vč, VIP servisu na vybrané pořady festivalu v hodnotě </w:t>
      </w:r>
      <w:r>
        <w:rPr>
          <w:rFonts w:eastAsia="Arial" w:cs="Arial"/>
          <w:highlight w:val="white"/>
        </w:rPr>
        <w:t>101.000</w:t>
      </w:r>
      <w:r>
        <w:rPr>
          <w:rFonts w:eastAsia="Arial" w:cs="Arial"/>
          <w:color w:val="000000"/>
          <w:sz w:val="20"/>
          <w:szCs w:val="20"/>
          <w:highlight w:val="white"/>
        </w:rPr>
        <w:t xml:space="preserve"> </w:t>
      </w:r>
      <w:r>
        <w:rPr>
          <w:rFonts w:eastAsia="Arial" w:cs="Arial"/>
          <w:color w:val="000000"/>
          <w:sz w:val="20"/>
          <w:szCs w:val="20"/>
        </w:rPr>
        <w:t xml:space="preserve">Kč včetně DPH. </w:t>
      </w:r>
    </w:p>
    <w:p w14:paraId="056B47B8"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bookmarkStart w:id="2" w:name="_heading=h.1fob9te" w:colFirst="0" w:colLast="0"/>
      <w:bookmarkEnd w:id="2"/>
      <w:r>
        <w:rPr>
          <w:rFonts w:eastAsia="Arial" w:cs="Arial"/>
          <w:color w:val="000000"/>
          <w:sz w:val="20"/>
          <w:szCs w:val="20"/>
        </w:rPr>
        <w:t xml:space="preserve">Není-li ve smlouvě stanoveno jinak, zajišťuje výrobu reklamních nosičů pro výše uvedená plnění Partner. </w:t>
      </w:r>
    </w:p>
    <w:p w14:paraId="056B47B9"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Při každém použití Loga, obchodní firmy či jiného materiálu týkajícího se činnosti TMCZ se Partner zavazuje použít ke splnění předmětu této smlouvy podkladů předaných mu společností TMCZ. Logo je Partner oprávněn použít pouze v barvách a ve velikosti odpovídající danému poměru, přičemž Partner bere na vědomí, že je oprávněn toto použít jen k účelu a způsobem určeným touto smlouvou, resp. příslušnými právními předpisy. Partner musí dbát na to, aby Logo nebylo nikdy užíváno znevažujícím způsobem, ani způsobem, který by poškozoval dobrou pověst TMCZ nebo jeho výrobků či služeb.</w:t>
      </w:r>
    </w:p>
    <w:p w14:paraId="056B47BA"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Pro vyloučení pochybností smluvní strany shodně konstatují, že Logo bude užito Partnerem pro identifikaci TMCZ v průběhu spolupráce, pro sponzorské a merchandisingové aktivity.</w:t>
      </w:r>
    </w:p>
    <w:p w14:paraId="056B47BB"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Partner se zavazuje, že nebude používat Logo jako součást názvu své společnosti, obchodního názvu, názvu domény nebo podobného označení svého podnikání a nebude označovat vlastní produkty Logem. </w:t>
      </w:r>
    </w:p>
    <w:p w14:paraId="056B47BC"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Dále se Partner zavazuje a bere na vědomí, že:</w:t>
      </w:r>
    </w:p>
    <w:p w14:paraId="056B47BD"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bude používat Logo pouze v souladu s „Brand design Guidelines“, které mu byly ze strany TMCZ předány s tím, že každé další zamýšlené užití Loga je povinen předložit TMCZ ke schválení,</w:t>
      </w:r>
    </w:p>
    <w:p w14:paraId="056B47BE"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 xml:space="preserve">bude používat Logo pouze v souladu s „Brand design Guidelines“, které jsou dostupné na </w:t>
      </w:r>
      <w:hyperlink r:id="rId8">
        <w:r>
          <w:rPr>
            <w:rFonts w:eastAsia="Arial" w:cs="Arial"/>
            <w:color w:val="0000FF"/>
            <w:sz w:val="20"/>
            <w:szCs w:val="20"/>
            <w:u w:val="single"/>
          </w:rPr>
          <w:t>Login - Brand &amp; Design Deutsche Telekom</w:t>
        </w:r>
      </w:hyperlink>
      <w:r>
        <w:rPr>
          <w:rFonts w:eastAsia="Arial" w:cs="Arial"/>
          <w:color w:val="000000"/>
          <w:sz w:val="20"/>
          <w:szCs w:val="20"/>
        </w:rPr>
        <w:t>, s tím, že je nutné, aby Partner na uvedených provedl svoji registraci s uvedením jména odpovědného zástupce TMCZ za plnění této smlouvy (viz níže);</w:t>
      </w:r>
    </w:p>
    <w:p w14:paraId="056B47BF"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každé další zamýšlené užití Loga je povinen předložit TMCZ ke schválení,</w:t>
      </w:r>
    </w:p>
    <w:p w14:paraId="056B47C0"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TMCZ nepřebírá žádnou odpovědnost a neposkytuje žádnou záruku, že použití Loga neporuší práva třetích stran,</w:t>
      </w:r>
    </w:p>
    <w:p w14:paraId="056B47C1"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odškodní TMCZ (a Deutsche Telekom AG [DT] jako vlastníka označení) před jakýchkoli oprávněných nároků třetích stran, které byly způsobeny neoprávněným používáním Loga Partnerem,</w:t>
      </w:r>
    </w:p>
    <w:p w14:paraId="056B47C2"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udržování a ochrana Loga náleží pouze vlastníkovi licence k Logu (DT),</w:t>
      </w:r>
    </w:p>
    <w:p w14:paraId="056B47C3"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TMCZ je oprávněn vymáhat veškeré nároky z porušení podmínek udělení sublicence vůči Partnerovi jako nabyvateli sublicence,</w:t>
      </w:r>
    </w:p>
    <w:p w14:paraId="056B47C4"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TMCZ je oprávněn kdykoli s okamžitou účinností ukončit tuto smlouvu z důvodu, pokud Partner poruší kteroukoli ze svých povinností nebo se dopustí jednání či opomenutí, které by opravňovalo vlastníka licence (DT) ukončit licenční smlouvu uzavřenou mezi ním a TMCZ,</w:t>
      </w:r>
    </w:p>
    <w:p w14:paraId="056B47C5"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jakékoli použití Loga Partnerem se kvalifikuje jako použití loga ze strany TMCZ,</w:t>
      </w:r>
    </w:p>
    <w:p w14:paraId="056B47C6"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neprodleně podnikne všechny kroky, učiní všechna prohlášení a poskytne veškeré informace nezbytné k převodu a postoupení práv, která byla vytvořena užíváním Loga Partnerem a/nebo práv vytvořených Partnerem, která poškozují Logo,</w:t>
      </w:r>
    </w:p>
    <w:p w14:paraId="056B47C7" w14:textId="77777777" w:rsidR="00BB322D" w:rsidRDefault="00000000">
      <w:pPr>
        <w:numPr>
          <w:ilvl w:val="0"/>
          <w:numId w:val="7"/>
        </w:num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r>
        <w:rPr>
          <w:rFonts w:eastAsia="Arial" w:cs="Arial"/>
          <w:color w:val="000000"/>
          <w:sz w:val="20"/>
          <w:szCs w:val="20"/>
        </w:rPr>
        <w:t>tato sublicenční smlouva automaticky zaniká, pokud je licenční smlouva mezi vlastníkem licence k Logu a TMCZ ukončena.</w:t>
      </w:r>
    </w:p>
    <w:p w14:paraId="056B47C8" w14:textId="77777777" w:rsidR="00BB322D" w:rsidRDefault="00BB322D">
      <w:pPr>
        <w:pBdr>
          <w:top w:val="nil"/>
          <w:left w:val="nil"/>
          <w:bottom w:val="nil"/>
          <w:right w:val="nil"/>
          <w:between w:val="nil"/>
        </w:pBdr>
        <w:tabs>
          <w:tab w:val="left" w:pos="851"/>
        </w:tabs>
        <w:spacing w:after="120" w:line="240" w:lineRule="auto"/>
        <w:ind w:left="0" w:hanging="2"/>
        <w:jc w:val="both"/>
        <w:rPr>
          <w:rFonts w:eastAsia="Arial" w:cs="Arial"/>
          <w:color w:val="000000"/>
          <w:sz w:val="20"/>
          <w:szCs w:val="20"/>
        </w:rPr>
      </w:pPr>
    </w:p>
    <w:p w14:paraId="056B47C9"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Smluvní strany se výslovně dohodly, že před užitím Loga prostřednictvím Partnera, budou jednotlivé položky zaslány TMCZ k závěrečnému schválení.</w:t>
      </w:r>
    </w:p>
    <w:p w14:paraId="056B47CA"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TMCZ je oprávněna kdykoli požadovat od Partnera poskytnutí informace ohledně užívaní Loga a Partner bude vést o každém způsobu jeho použití záznamy.</w:t>
      </w:r>
    </w:p>
    <w:p w14:paraId="056B47CB"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Partner je povinen po dobu trvání této smlouvy udržovat veškeré reklamní nosiče v řádném stavu a tak, aby nebylo znevažováno dobré jméno TMCZ a jeho prestiž. Pokud během trvání platnosti této smlouvy dojde ke </w:t>
      </w:r>
      <w:r>
        <w:rPr>
          <w:rFonts w:eastAsia="Arial" w:cs="Arial"/>
          <w:color w:val="000000"/>
          <w:sz w:val="20"/>
          <w:szCs w:val="20"/>
        </w:rPr>
        <w:lastRenderedPageBreak/>
        <w:t>znehodnocení či opotřebení reklamních nosičů, zavazuje se Partner na výzvu TMCZ reklamní nosiče na vlastní náklady vyměnit.</w:t>
      </w:r>
    </w:p>
    <w:p w14:paraId="056B47CC"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Smluvní strany se dohodly, že Partner po dobu účinnosti této smlouvy bez předchozího písemného souhlasu TMCZ neuzavře obdobnou smlouvu se subjektem, který je provozovatelem sítě elektronických komunikací nebo služeb elektronických komunikací v České republice.</w:t>
      </w:r>
    </w:p>
    <w:p w14:paraId="056B47CD"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Partner se dále zavazuje v souvislosti s plněním dle této smlouvy chovat eticky a dodržovat morální a profesionální principy chování zakotvené ve Všeobecných nákupních podmínkách Deutsche Telekom Group platné pro T-Mobile Czech Republic a.s. (dále jako „Všeobecné nákupní podmínky“) a Etickém kodexu dodavatele  (dále jen „Etický kodex“). Partner má povinnost seznámit se se Všeobecnými nákupními podmínkami a Etickým kodexem, které jsou v aktuálním znění dostupné na </w:t>
      </w:r>
      <w:hyperlink r:id="rId9">
        <w:r>
          <w:rPr>
            <w:rFonts w:eastAsia="Arial" w:cs="Arial"/>
            <w:color w:val="0563C1"/>
            <w:sz w:val="20"/>
            <w:szCs w:val="20"/>
            <w:u w:val="single"/>
          </w:rPr>
          <w:t>https://www.t-mobile.cz/oddeleni-nakupu</w:t>
        </w:r>
      </w:hyperlink>
      <w:r>
        <w:rPr>
          <w:rFonts w:eastAsia="Arial" w:cs="Arial"/>
          <w:color w:val="000000"/>
          <w:sz w:val="20"/>
          <w:szCs w:val="20"/>
        </w:rPr>
        <w:t>, zavazuje se jej dodržovat při plnění povinností vyplývajících z této smlouvy a vzniklých na jejím základě a zavazuje se zajistit, že principy chování vyjádřené v těchto dokumentech budou stejnou měrou dodržovány všemi jeho zaměstnanci či osobami v obdobném postavení, členy jeho statutárních nebo dozorčích orgánů a osobami jednajících jeho jménem.</w:t>
      </w:r>
    </w:p>
    <w:p w14:paraId="056B47CE" w14:textId="77777777" w:rsidR="00BB322D" w:rsidRDefault="00000000">
      <w:pPr>
        <w:numPr>
          <w:ilvl w:val="0"/>
          <w:numId w:val="9"/>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TMCZ se zavazuje poskytnout Partnerovi veškerou potřebnou součinnost pro řádné a včasné plnění jeho závazků dle této smlouvy.</w:t>
      </w:r>
    </w:p>
    <w:p w14:paraId="056B47CF" w14:textId="77777777" w:rsidR="00BB322D" w:rsidRDefault="00000000">
      <w:pPr>
        <w:keepNext/>
        <w:pBdr>
          <w:top w:val="nil"/>
          <w:left w:val="nil"/>
          <w:bottom w:val="nil"/>
          <w:right w:val="nil"/>
          <w:between w:val="nil"/>
        </w:pBdr>
        <w:spacing w:line="240" w:lineRule="auto"/>
        <w:ind w:left="0" w:hanging="2"/>
        <w:jc w:val="center"/>
        <w:rPr>
          <w:rFonts w:eastAsia="Arial" w:cs="Arial"/>
          <w:color w:val="000000"/>
          <w:sz w:val="20"/>
          <w:szCs w:val="20"/>
        </w:rPr>
      </w:pPr>
      <w:r>
        <w:rPr>
          <w:rFonts w:eastAsia="Arial" w:cs="Arial"/>
          <w:b/>
          <w:color w:val="000000"/>
          <w:sz w:val="20"/>
          <w:szCs w:val="20"/>
        </w:rPr>
        <w:t>IV.</w:t>
      </w:r>
    </w:p>
    <w:p w14:paraId="056B47D0" w14:textId="77777777" w:rsidR="00BB322D" w:rsidRDefault="00000000">
      <w:pPr>
        <w:keepNext/>
        <w:pBdr>
          <w:top w:val="nil"/>
          <w:left w:val="nil"/>
          <w:bottom w:val="nil"/>
          <w:right w:val="nil"/>
          <w:between w:val="nil"/>
        </w:pBdr>
        <w:spacing w:after="120" w:line="240" w:lineRule="auto"/>
        <w:ind w:left="0" w:hanging="2"/>
        <w:jc w:val="center"/>
        <w:rPr>
          <w:rFonts w:eastAsia="Arial" w:cs="Arial"/>
          <w:color w:val="000000"/>
          <w:sz w:val="24"/>
          <w:szCs w:val="24"/>
        </w:rPr>
      </w:pPr>
      <w:r>
        <w:rPr>
          <w:rFonts w:eastAsia="Arial" w:cs="Arial"/>
          <w:b/>
          <w:smallCaps/>
          <w:color w:val="000000"/>
          <w:sz w:val="24"/>
          <w:szCs w:val="24"/>
        </w:rPr>
        <w:t>Smluvní cena a platební podmínky</w:t>
      </w:r>
    </w:p>
    <w:p w14:paraId="056B47D1" w14:textId="5580D6B1"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bookmarkStart w:id="3" w:name="_heading=h.3znysh7" w:colFirst="0" w:colLast="0"/>
      <w:bookmarkEnd w:id="3"/>
      <w:r>
        <w:rPr>
          <w:rFonts w:eastAsia="Arial" w:cs="Arial"/>
          <w:color w:val="000000"/>
          <w:sz w:val="20"/>
          <w:szCs w:val="20"/>
        </w:rPr>
        <w:t>Smluvní cena za plnění závazků Partnera vůči TMCZ dle ustanovení této smlouvy činí 500.000,- Kč bez DPH (slovy: pět set tisíc korun českých). Tuto cenu, ke které přistoupí příslušná sazba DPH, zaplatí TMCZ na základě daňového dokladu (dále jen “faktura“) vystaveného Partnerem do 15 dnů ode dne uskutečnění zdanitelného plnění, kterým se rozumí podpis smlouvy a uvedení loga na webu. Splatnost takové faktury se sjednává na 60 dnů ode dne jejího doručení TMCZ. Úhrada se považuje za splněnou okamžikem odepsání prostředků z bankovního účtu TMCZ. Faktura musí obsahovat náležitosti dle ustanovení příslušných obecně závazných předpisů, platných na území České republiky, číslo této smlouvy a jméno odpovědného zástupce TMCZ za plnění této smlouvy (</w:t>
      </w:r>
      <w:r w:rsidR="003D280C">
        <w:rPr>
          <w:rFonts w:eastAsia="Arial" w:cs="Arial"/>
          <w:color w:val="000000"/>
          <w:sz w:val="20"/>
          <w:szCs w:val="20"/>
        </w:rPr>
        <w:t>Xxx Xxxxx</w:t>
      </w:r>
      <w:r>
        <w:rPr>
          <w:rFonts w:eastAsia="Arial" w:cs="Arial"/>
          <w:color w:val="000000"/>
          <w:sz w:val="20"/>
          <w:szCs w:val="20"/>
        </w:rPr>
        <w:t xml:space="preserve">, </w:t>
      </w:r>
      <w:hyperlink r:id="rId10">
        <w:r w:rsidR="003D280C">
          <w:rPr>
            <w:rFonts w:eastAsia="Arial" w:cs="Arial"/>
            <w:color w:val="0563C1"/>
            <w:sz w:val="20"/>
            <w:szCs w:val="20"/>
            <w:u w:val="single"/>
          </w:rPr>
          <w:t>xxxxxxxxxxxx</w:t>
        </w:r>
      </w:hyperlink>
      <w:r>
        <w:rPr>
          <w:rFonts w:eastAsia="Arial" w:cs="Arial"/>
          <w:color w:val="000000"/>
          <w:sz w:val="20"/>
          <w:szCs w:val="20"/>
        </w:rPr>
        <w:t xml:space="preserve">). Na faktuře bude samostatně uvedena hodnota plnění uvedených v čl III. bod 1 písm. b), c) a d). </w:t>
      </w:r>
    </w:p>
    <w:p w14:paraId="056B47D2"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Partner je povinen zasílat faktury na základě této smlouvy elektronicky. TMCZ vyslovuje tímto svůj souhlas s tím, aby mu Partner faktury v elektronické podobě zasílal. </w:t>
      </w:r>
    </w:p>
    <w:p w14:paraId="056B47D3"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bookmarkStart w:id="4" w:name="_heading=h.2et92p0" w:colFirst="0" w:colLast="0"/>
      <w:bookmarkEnd w:id="4"/>
      <w:r>
        <w:rPr>
          <w:rFonts w:eastAsia="Arial" w:cs="Arial"/>
          <w:color w:val="000000"/>
          <w:sz w:val="20"/>
          <w:szCs w:val="20"/>
        </w:rPr>
        <w:t xml:space="preserve">Partner se zavazuje zajistit, že každá faktura bude TMCZ doručena buď (i) na e-mailovou adresu </w:t>
      </w:r>
      <w:hyperlink r:id="rId11">
        <w:r>
          <w:rPr>
            <w:rFonts w:eastAsia="Arial" w:cs="Arial"/>
            <w:color w:val="0563C1"/>
            <w:sz w:val="20"/>
            <w:szCs w:val="20"/>
            <w:u w:val="single"/>
          </w:rPr>
          <w:t>epodatelna@t-mobile.cz</w:t>
        </w:r>
      </w:hyperlink>
      <w:r>
        <w:rPr>
          <w:rFonts w:eastAsia="Arial" w:cs="Arial"/>
          <w:color w:val="000000"/>
          <w:sz w:val="20"/>
          <w:szCs w:val="20"/>
        </w:rPr>
        <w:t xml:space="preserve"> (každý e-mail může obsahovat jen jednu fakturu) nebo (ii) do datové schránky TMCZ s ID ygwch5i, přičemž v předmětu e-mailu (resp. v poli „Věc“ v záhlaví zprávy doručované do datové schránky) musí za účelem identifikace vždy uvést označení „ELPAFA“. Partner je rovněž povinen zajistit, že každá faktura bude TMCZ zaslána v čitelné podobě ve formátu pdf (rozlišení musí být alespoň 300DPI a barevná hloubka musí být pouze 1bit). Smluvními stranami případně dohodnuté přílohy faktury (např. akceptační protokoly či jiné dokumenty), jsou považovány za nezbytnou náležitost faktury a budou k faktuře připojeny v naskenované podobě (v jednom pdf souboru s fakturou). </w:t>
      </w:r>
    </w:p>
    <w:p w14:paraId="056B47D4"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Pokud bude faktura vystavena neoprávněně či nebude obsahovat některé náležitosti uvedené v odstavci 1. tohoto článku, bude TMCZ oprávněn vrátit bez dalšího fakturu (nebo její kopii) Partnerovi k opravě či doplnění nebo oznámit Partnerovi, že tuto fakturu neakceptuje. V uvedeném oznámení TMCZ identifikuje fakturu, které se oznámení týká, uvede důvody neakceptace a požádá o vystavení správné faktury. Nová lhůta splatnosti začne běžet ode dne doručení bezvadné faktury TMCZ.</w:t>
      </w:r>
    </w:p>
    <w:p w14:paraId="056B47D5"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bookmarkStart w:id="5" w:name="_heading=h.tyjcwt" w:colFirst="0" w:colLast="0"/>
      <w:bookmarkEnd w:id="5"/>
      <w:r>
        <w:rPr>
          <w:rFonts w:eastAsia="Arial" w:cs="Arial"/>
          <w:color w:val="000000"/>
          <w:sz w:val="20"/>
          <w:szCs w:val="20"/>
        </w:rPr>
        <w:t>Smluvní strany se výslovně dohodly, že výše uvedené oznámení o neakceptaci dokladu odešle TMCZ vždy na e-mailovou adresu Partnera jan.prusa@smetanovalitomysl.cz, přičemž k uvedenému oznámení nemusí být odmítaná faktura přiložena. Partner se zavazuje udržovat uvedenou e-mailovou adresu funkční tak, aby byla výše uvedená oznámení TMCZ bezproblémově přijímána. Změnu adresy, na kterou mají být oznámení zasílána, musí smluvní strany dohodnout písemnou formou.</w:t>
      </w:r>
    </w:p>
    <w:p w14:paraId="056B47D6"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Nárok na úhradu smluvní ceny dle tohoto článku je vázán na předložení hodnověrné dokumentace a dokladů o provedeném plnění Partnera vůči TMCZ, potvrzujících řádné a včasné splnění předmětu smlouvy.</w:t>
      </w:r>
    </w:p>
    <w:p w14:paraId="056B47D7" w14:textId="77777777" w:rsidR="00BB322D" w:rsidRDefault="00000000">
      <w:p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Dokumentace bude zejména obsahovat: </w:t>
      </w:r>
    </w:p>
    <w:p w14:paraId="056B47D8" w14:textId="77777777" w:rsidR="00BB322D" w:rsidRDefault="00000000">
      <w:pPr>
        <w:numPr>
          <w:ilvl w:val="0"/>
          <w:numId w:val="4"/>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slovní popis Akce,</w:t>
      </w:r>
    </w:p>
    <w:p w14:paraId="056B47D9" w14:textId="77777777" w:rsidR="00BB322D" w:rsidRDefault="00000000">
      <w:pPr>
        <w:numPr>
          <w:ilvl w:val="0"/>
          <w:numId w:val="4"/>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fotografickou nebo video dokumentaci v elektronické podobě uloženou na CD nebo DVD, na které budou mimo jiné zachycena zřetelně viditelná Loga a umístění reklamních nosičů, přičemž z dokumentace musí být zřejmé, kdy byla pořízena (například dle data zaznamenaného předmětným zařízením) a místo, kde propagace probíhala,</w:t>
      </w:r>
    </w:p>
    <w:p w14:paraId="056B47DA" w14:textId="77777777" w:rsidR="00BB322D" w:rsidRDefault="00000000">
      <w:pPr>
        <w:numPr>
          <w:ilvl w:val="0"/>
          <w:numId w:val="4"/>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lastRenderedPageBreak/>
        <w:t>kopie nebo vzorové výtisky tištěných materiálů distribuovaných v souvislosti s Akcí (zejména program, pozvánky, inzeráty, vstupenky, plakáty, periodika a další tiskové výstupy),</w:t>
      </w:r>
    </w:p>
    <w:p w14:paraId="056B47DB" w14:textId="77777777" w:rsidR="00BB322D" w:rsidRDefault="00000000">
      <w:p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a to v členění dle jednotlivých závazků uvedených v čl. III odst. 1 této smlouvy.</w:t>
      </w:r>
    </w:p>
    <w:p w14:paraId="056B47DC" w14:textId="77777777" w:rsidR="00BB322D" w:rsidRDefault="00000000">
      <w:pPr>
        <w:pBdr>
          <w:top w:val="nil"/>
          <w:left w:val="nil"/>
          <w:bottom w:val="nil"/>
          <w:right w:val="nil"/>
          <w:between w:val="nil"/>
        </w:pBdr>
        <w:spacing w:after="120" w:line="240" w:lineRule="auto"/>
        <w:ind w:left="0" w:hanging="2"/>
        <w:jc w:val="both"/>
        <w:rPr>
          <w:rFonts w:eastAsia="Arial" w:cs="Arial"/>
          <w:color w:val="000000"/>
          <w:sz w:val="20"/>
          <w:szCs w:val="20"/>
        </w:rPr>
      </w:pPr>
      <w:bookmarkStart w:id="6" w:name="_heading=h.3dy6vkm" w:colFirst="0" w:colLast="0"/>
      <w:bookmarkEnd w:id="6"/>
      <w:r>
        <w:rPr>
          <w:rFonts w:eastAsia="Arial" w:cs="Arial"/>
          <w:color w:val="000000"/>
          <w:sz w:val="20"/>
          <w:szCs w:val="20"/>
        </w:rPr>
        <w:t>Kompletní dokumentaci Partner dodá TMCZ do 31. 8. 2024. V případě, že Partner nedodá v tomto odstavci sjednanou Dokumentaci a/nebo bude-li plnění Partnera v rozporu s touto smlouvou, je Partner na výzvu TMCZ povinen vrátit poměrnou část plnění TMCZ.</w:t>
      </w:r>
    </w:p>
    <w:p w14:paraId="056B47DD"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Pro případ prodlení s úhradou plateb dle této smlouvy si smluvní strany sjednávají úrok z prodlení ve výši </w:t>
      </w:r>
      <w:r>
        <w:rPr>
          <w:rFonts w:eastAsia="Arial" w:cs="Arial"/>
          <w:color w:val="000000"/>
          <w:sz w:val="20"/>
          <w:szCs w:val="20"/>
        </w:rPr>
        <w:br/>
        <w:t>0,05 % z dlužné částky za každý započatý den prodlení.</w:t>
      </w:r>
    </w:p>
    <w:p w14:paraId="056B47DE"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bookmarkStart w:id="7" w:name="_heading=h.1t3h5sf" w:colFirst="0" w:colLast="0"/>
      <w:bookmarkEnd w:id="7"/>
      <w:r>
        <w:rPr>
          <w:rFonts w:eastAsia="Arial" w:cs="Arial"/>
          <w:color w:val="000000"/>
          <w:sz w:val="20"/>
          <w:szCs w:val="20"/>
        </w:rPr>
        <w:t>V případě porušení kteréhokoli závazku stanoveného touto smlouvou v článku III. odst. 1. je Partner povinen, bude-li to možné a účelné, poskytnout TMCZ náhradní plnění v co nejkratší době, přičemž forma náhradního plnění podléhá písemnému souhlasu TMCZ. V případě, že nebude možné či účelné takové náhradní plnění poskytnout (nebo jej TMCZ písemně neschválí), náleží TMCZ smluvní pokuta ve výši 25.000,- Kč za každé takové porušení. Tímto ustanovením není dotčeno právo TMCZ na náhradu újmy v plné výši.</w:t>
      </w:r>
    </w:p>
    <w:p w14:paraId="056B47DF"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bookmarkStart w:id="8" w:name="_heading=h.4d34og8" w:colFirst="0" w:colLast="0"/>
      <w:bookmarkEnd w:id="8"/>
      <w:r>
        <w:rPr>
          <w:rFonts w:eastAsia="Arial" w:cs="Arial"/>
          <w:color w:val="000000"/>
          <w:sz w:val="20"/>
          <w:szCs w:val="20"/>
        </w:rPr>
        <w:t>V případě porušení závazku stanoveného v čl. III. odst. 3. až 9. je Partner povinen zaplatit TMCZ smluvní pokutu ve výši 50.000,- Kč za každé takové porušení. Nárok na náhradu újmy v plné výši z téhož titulu není tímto ustanovením dotčen.</w:t>
      </w:r>
    </w:p>
    <w:p w14:paraId="056B47E0"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V případě porušení závazku stanoveného v čl. III. odst. 10. nebo čl. V. je Partner povinen zaplatit TMCZ smluvní pokutu ve výši 500.000,- Kč  za každé takové porušení. Nárok na náhradu újmy v plné výši z téhož titulu není tímto ustanovením dotčen.</w:t>
      </w:r>
    </w:p>
    <w:p w14:paraId="056B47E1" w14:textId="77777777" w:rsidR="00BB322D" w:rsidRDefault="00000000">
      <w:pPr>
        <w:numPr>
          <w:ilvl w:val="0"/>
          <w:numId w:val="10"/>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Smluvní strany se dohodly, že nastane-li v souvislosti s Partnerem jakákoliv skutečnost, v jejímž důsledku se může vůči TMCZ uplatnit ručení za daň odváděnou Partnerem ve smyslu zákona o DPH, (i) je TMCZ oprávněn nezaplatit Partnerovi vyúčtovanou DPH a odvést ji přímo správci daně a (ii) TMCZ je rovněž oprávněn odstoupit od této smlouvy.</w:t>
      </w:r>
    </w:p>
    <w:p w14:paraId="056B47E2" w14:textId="77777777" w:rsidR="00BB322D" w:rsidRDefault="00BB322D">
      <w:pPr>
        <w:pBdr>
          <w:top w:val="nil"/>
          <w:left w:val="nil"/>
          <w:bottom w:val="nil"/>
          <w:right w:val="nil"/>
          <w:between w:val="nil"/>
        </w:pBdr>
        <w:spacing w:line="240" w:lineRule="auto"/>
        <w:ind w:left="0" w:hanging="2"/>
        <w:rPr>
          <w:rFonts w:eastAsia="Arial" w:cs="Arial"/>
          <w:color w:val="000000"/>
          <w:sz w:val="20"/>
          <w:szCs w:val="20"/>
        </w:rPr>
      </w:pPr>
    </w:p>
    <w:p w14:paraId="056B47E3" w14:textId="77777777" w:rsidR="00BB322D" w:rsidRDefault="00000000">
      <w:pPr>
        <w:keepNext/>
        <w:pBdr>
          <w:top w:val="nil"/>
          <w:left w:val="nil"/>
          <w:bottom w:val="nil"/>
          <w:right w:val="nil"/>
          <w:between w:val="nil"/>
        </w:pBdr>
        <w:spacing w:line="240" w:lineRule="auto"/>
        <w:ind w:left="0" w:hanging="2"/>
        <w:jc w:val="center"/>
        <w:rPr>
          <w:rFonts w:eastAsia="Arial" w:cs="Arial"/>
          <w:color w:val="000000"/>
          <w:sz w:val="20"/>
          <w:szCs w:val="20"/>
        </w:rPr>
      </w:pPr>
      <w:r>
        <w:rPr>
          <w:rFonts w:eastAsia="Arial" w:cs="Arial"/>
          <w:b/>
          <w:color w:val="000000"/>
          <w:sz w:val="20"/>
          <w:szCs w:val="20"/>
        </w:rPr>
        <w:t>V.</w:t>
      </w:r>
    </w:p>
    <w:p w14:paraId="056B47E4" w14:textId="77777777" w:rsidR="00BB322D" w:rsidRDefault="00000000">
      <w:pPr>
        <w:keepNext/>
        <w:pBdr>
          <w:top w:val="nil"/>
          <w:left w:val="nil"/>
          <w:bottom w:val="nil"/>
          <w:right w:val="nil"/>
          <w:between w:val="nil"/>
        </w:pBdr>
        <w:spacing w:after="120" w:line="240" w:lineRule="auto"/>
        <w:ind w:left="0" w:hanging="2"/>
        <w:jc w:val="center"/>
        <w:rPr>
          <w:rFonts w:eastAsia="Arial" w:cs="Arial"/>
          <w:b/>
          <w:color w:val="000000"/>
          <w:sz w:val="24"/>
          <w:szCs w:val="24"/>
        </w:rPr>
      </w:pPr>
      <w:r>
        <w:rPr>
          <w:rFonts w:eastAsia="Arial" w:cs="Arial"/>
          <w:b/>
          <w:smallCaps/>
          <w:color w:val="000000"/>
          <w:sz w:val="24"/>
          <w:szCs w:val="24"/>
        </w:rPr>
        <w:t>Důvěrné informace</w:t>
      </w:r>
    </w:p>
    <w:p w14:paraId="056B47E5" w14:textId="77777777" w:rsidR="00BB322D" w:rsidRDefault="00000000">
      <w:pPr>
        <w:numPr>
          <w:ilvl w:val="0"/>
          <w:numId w:val="11"/>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Smluvní strany se dohodly, že o obsahu této smlouvy, jakož i o veškerých informacích, které smluvní strany získají v souvislosti s plněním této smlouvy, pokud tyto informace nejsou v obchodních kruzích běžně dostupné a o kterých mohly předpokládat při vynaložení úsilí, které na nich lze spravedlivě požadovat, že na utajení těchto informací má vzhledem k jejich povaze druhá smluvní strana oprávněný zájem (dále jen „Důvěrné informace“), jsou povinné zachovávat mlčenlivost a zajistit, aby nedošlo k jejich úniku. Smluvní strany se zavazují zachovávat důvěrnost poskytnutých informací minimálně na stejné úrovni, jako chrání své Důvěrné informace obdobného charakteru, nejméně však v míře obvyklé s přihlédnutím ke všem okolnostem. Smluvní strany se dále zavazují, že veškeré Důvěrné informace, které od sebe navzájem získají, budou použity výhradně pro plnění účelu, ke kterému budou sdělující stranou určeny.</w:t>
      </w:r>
    </w:p>
    <w:p w14:paraId="056B47E6" w14:textId="77777777" w:rsidR="00BB322D" w:rsidRDefault="00000000">
      <w:pPr>
        <w:numPr>
          <w:ilvl w:val="0"/>
          <w:numId w:val="11"/>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Jelikož tato smlouva podléhá zákonu č. 340/2015 Sb., ve znění pozdějších předpisů, nabývá platnosti uzavřením a účinnosti uveřejněním v registru smluv. Partner proto tuto smlouvu zveřejní v registru smluv, a to v plném znění, s výjimkou ustanovení chráněných obchodním tajemstvím a ochranou osobních údajů, tak jak požaduje TMCZ</w:t>
      </w:r>
      <w:r>
        <w:rPr>
          <w:rFonts w:ascii="Open Sans" w:eastAsia="Open Sans" w:hAnsi="Open Sans" w:cs="Open Sans"/>
          <w:color w:val="000000"/>
          <w:sz w:val="20"/>
          <w:szCs w:val="20"/>
        </w:rPr>
        <w:t xml:space="preserve">. </w:t>
      </w:r>
    </w:p>
    <w:p w14:paraId="056B47E7" w14:textId="77777777" w:rsidR="00BB322D" w:rsidRDefault="00BB322D">
      <w:pPr>
        <w:pBdr>
          <w:top w:val="nil"/>
          <w:left w:val="nil"/>
          <w:bottom w:val="nil"/>
          <w:right w:val="nil"/>
          <w:between w:val="nil"/>
        </w:pBdr>
        <w:spacing w:line="240" w:lineRule="auto"/>
        <w:ind w:left="0" w:hanging="2"/>
        <w:jc w:val="both"/>
        <w:rPr>
          <w:rFonts w:eastAsia="Arial" w:cs="Arial"/>
          <w:color w:val="000000"/>
          <w:sz w:val="20"/>
          <w:szCs w:val="20"/>
        </w:rPr>
      </w:pPr>
    </w:p>
    <w:p w14:paraId="056B47E8" w14:textId="77777777" w:rsidR="00BB322D" w:rsidRDefault="00000000">
      <w:pPr>
        <w:keepNext/>
        <w:pBdr>
          <w:top w:val="nil"/>
          <w:left w:val="nil"/>
          <w:bottom w:val="nil"/>
          <w:right w:val="nil"/>
          <w:between w:val="nil"/>
        </w:pBdr>
        <w:spacing w:line="240" w:lineRule="auto"/>
        <w:ind w:left="0" w:hanging="2"/>
        <w:jc w:val="center"/>
        <w:rPr>
          <w:rFonts w:eastAsia="Arial" w:cs="Arial"/>
          <w:color w:val="000000"/>
          <w:sz w:val="20"/>
          <w:szCs w:val="20"/>
        </w:rPr>
      </w:pPr>
      <w:r>
        <w:rPr>
          <w:rFonts w:eastAsia="Arial" w:cs="Arial"/>
          <w:b/>
          <w:color w:val="000000"/>
          <w:sz w:val="20"/>
          <w:szCs w:val="20"/>
        </w:rPr>
        <w:t>VI.</w:t>
      </w:r>
    </w:p>
    <w:p w14:paraId="056B47E9" w14:textId="77777777" w:rsidR="00BB322D" w:rsidRDefault="00000000">
      <w:pPr>
        <w:keepNext/>
        <w:pBdr>
          <w:top w:val="nil"/>
          <w:left w:val="nil"/>
          <w:bottom w:val="nil"/>
          <w:right w:val="nil"/>
          <w:between w:val="nil"/>
        </w:pBdr>
        <w:spacing w:after="120" w:line="240" w:lineRule="auto"/>
        <w:ind w:left="0" w:hanging="2"/>
        <w:jc w:val="center"/>
        <w:rPr>
          <w:rFonts w:eastAsia="Arial" w:cs="Arial"/>
          <w:b/>
          <w:color w:val="000000"/>
          <w:sz w:val="24"/>
          <w:szCs w:val="24"/>
        </w:rPr>
      </w:pPr>
      <w:r>
        <w:rPr>
          <w:rFonts w:eastAsia="Arial" w:cs="Arial"/>
          <w:b/>
          <w:smallCaps/>
          <w:color w:val="000000"/>
          <w:sz w:val="24"/>
          <w:szCs w:val="24"/>
        </w:rPr>
        <w:t>Vyšší moc</w:t>
      </w:r>
    </w:p>
    <w:p w14:paraId="056B47EA" w14:textId="77777777" w:rsidR="00BB322D" w:rsidRDefault="00000000">
      <w:pPr>
        <w:numPr>
          <w:ilvl w:val="0"/>
          <w:numId w:val="2"/>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Vyšší mocí se rozumí takové dočasné nebo trvalé překážky, které nastaly po vzniku povinnosti nezávisle na vůli stran, mají mimořádnou povahu, jsou neodvratitelné, nepředvídatelné, nepřekonatelné a brání objektivně splnění povinností dle této smlouvy (např. válečný stav, občanské nepokoje, požár, záplavy, karanténní opatření, nouzový či krizový stav). Překážky související s případy ohrožení veřejného zdraví, zejména se šířením přenosných onemocnění, se považují za vyšší moc pouze tehdy, když splnění příslušné povinnosti znemožňuje právní akt orgánu veřejné moci (včetně karanténních opatření). Plnění se nepovažuje za nemožné, jestliže je jej možno provést za použití jiného technologického postupu, než bylo původně předpokládáno, za ztížených podmínek, s většími náklady, prostřednictvím třetí osoby nebo až po sjednaném čase. Za nemožnost plnění se nepovažuje změna osobních nebo majetkových poměrů některé ze stran nebo změna hospodářské situace. Za vyšší moc se rovněž nepovažuje okolnost, o které mohla a měla povinná smluvní strana při uzavírání této smlouvy předpokládat, že patrně nastane.</w:t>
      </w:r>
    </w:p>
    <w:p w14:paraId="056B47EB" w14:textId="77777777" w:rsidR="00BB322D" w:rsidRDefault="00000000">
      <w:pPr>
        <w:numPr>
          <w:ilvl w:val="0"/>
          <w:numId w:val="2"/>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Jestliže překážky odpovídající vyšší moci nastanou, je povinná strana povinna neprodleně informovat druhou stranu o povaze, počátku a konci události vyšší moci, která brání splnění povinností dle této smlouvy. </w:t>
      </w:r>
    </w:p>
    <w:p w14:paraId="056B47EC" w14:textId="77777777" w:rsidR="00BB322D" w:rsidRDefault="00000000">
      <w:pPr>
        <w:numPr>
          <w:ilvl w:val="0"/>
          <w:numId w:val="2"/>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lastRenderedPageBreak/>
        <w:t xml:space="preserve">V případě fixního plnění je strana, které má být plnění poskytováno, oprávněna vypovědět tuto smlouvu či poskytnutí příslušného plnění bez výpovědní doby s okamžitou účinností. </w:t>
      </w:r>
    </w:p>
    <w:p w14:paraId="056B47ED" w14:textId="77777777" w:rsidR="00BB322D" w:rsidRDefault="00000000">
      <w:pPr>
        <w:numPr>
          <w:ilvl w:val="0"/>
          <w:numId w:val="2"/>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Smluvní strana se zprostí povinnosti k náhradě škody, prokáže-li, že jí ve splnění povinnosti ze smlouvy dočasně nebo trvale zabránila okolnost vyšší moci ve smyslu odst. 1 výše. Povinnost k náhradě škody však není vyloučena, pokud okolnosti vyšší moci nastaly až v době, kdy povinná strana již byla v prodlení s plněním povinnosti dle této smlouvy, nebo pokud povinná strana nesplnila svoji povinnost neprodleně informovat druhou stranu o povaze a počátku události vyšší moci.</w:t>
      </w:r>
    </w:p>
    <w:p w14:paraId="056B47EE" w14:textId="77777777" w:rsidR="00BB322D" w:rsidRDefault="00000000">
      <w:pPr>
        <w:numPr>
          <w:ilvl w:val="0"/>
          <w:numId w:val="2"/>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V případě, že jedna ze smluvních stran („první smluvní strana“) je v prodlení se splněním svých povinností, nebo jinak porušuje své povinnosti, dle této smlouvy z důvodu trvání okolností vyšší moci po dobu delší než 45 dnů, může druhá smluvní strana písemným oznámením zaslaným první smluvní straně odstoupit od této smlouvy, a to s účinností ode dne doručení oznámení o odstoupení.</w:t>
      </w:r>
    </w:p>
    <w:p w14:paraId="056B47EF" w14:textId="77777777" w:rsidR="00BB322D" w:rsidRDefault="00BB322D">
      <w:pPr>
        <w:pBdr>
          <w:top w:val="nil"/>
          <w:left w:val="nil"/>
          <w:bottom w:val="nil"/>
          <w:right w:val="nil"/>
          <w:between w:val="nil"/>
        </w:pBdr>
        <w:spacing w:line="240" w:lineRule="auto"/>
        <w:ind w:left="0" w:hanging="2"/>
        <w:jc w:val="both"/>
        <w:rPr>
          <w:rFonts w:eastAsia="Arial" w:cs="Arial"/>
          <w:color w:val="000000"/>
          <w:sz w:val="20"/>
          <w:szCs w:val="20"/>
        </w:rPr>
      </w:pPr>
    </w:p>
    <w:p w14:paraId="056B47F0" w14:textId="77777777" w:rsidR="00BB322D" w:rsidRDefault="00000000">
      <w:pPr>
        <w:keepNext/>
        <w:pBdr>
          <w:top w:val="nil"/>
          <w:left w:val="nil"/>
          <w:bottom w:val="nil"/>
          <w:right w:val="nil"/>
          <w:between w:val="nil"/>
        </w:pBdr>
        <w:spacing w:line="240" w:lineRule="auto"/>
        <w:ind w:left="0" w:hanging="2"/>
        <w:jc w:val="center"/>
        <w:rPr>
          <w:rFonts w:eastAsia="Arial" w:cs="Arial"/>
          <w:color w:val="000000"/>
          <w:sz w:val="20"/>
          <w:szCs w:val="20"/>
          <w:highlight w:val="white"/>
        </w:rPr>
      </w:pPr>
      <w:r>
        <w:rPr>
          <w:rFonts w:eastAsia="Arial" w:cs="Arial"/>
          <w:b/>
          <w:color w:val="000000"/>
          <w:sz w:val="20"/>
          <w:szCs w:val="20"/>
          <w:highlight w:val="white"/>
        </w:rPr>
        <w:t>VII.</w:t>
      </w:r>
    </w:p>
    <w:p w14:paraId="056B47F1" w14:textId="77777777" w:rsidR="00BB322D" w:rsidRDefault="00000000">
      <w:pPr>
        <w:keepNext/>
        <w:pBdr>
          <w:top w:val="nil"/>
          <w:left w:val="nil"/>
          <w:bottom w:val="nil"/>
          <w:right w:val="nil"/>
          <w:between w:val="nil"/>
        </w:pBdr>
        <w:spacing w:after="120" w:line="240" w:lineRule="auto"/>
        <w:ind w:left="0" w:hanging="2"/>
        <w:jc w:val="center"/>
        <w:rPr>
          <w:rFonts w:eastAsia="Arial" w:cs="Arial"/>
          <w:b/>
          <w:color w:val="000000"/>
          <w:sz w:val="24"/>
          <w:szCs w:val="24"/>
          <w:highlight w:val="white"/>
        </w:rPr>
      </w:pPr>
      <w:r>
        <w:rPr>
          <w:rFonts w:eastAsia="Arial" w:cs="Arial"/>
          <w:b/>
          <w:smallCaps/>
          <w:color w:val="000000"/>
          <w:sz w:val="24"/>
          <w:szCs w:val="24"/>
          <w:highlight w:val="white"/>
        </w:rPr>
        <w:t>Ujednání k zamezení korupčního jednání</w:t>
      </w:r>
    </w:p>
    <w:p w14:paraId="056B47F2" w14:textId="77777777" w:rsidR="00BB322D" w:rsidRDefault="00000000">
      <w:pPr>
        <w:numPr>
          <w:ilvl w:val="0"/>
          <w:numId w:val="5"/>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Partner prohlašuje, že při plnění této smlouvy neuskuteční jakékoliv korupční či podobné jednání, které by mělo, v rozporu s platnými právními předpisy, jakož i s Foreign Corrupt Practices Act či UK Bribery Act (jejichž znění TMCZ Partnerovi na vyžádání poskytne) či běžně uznávanými zásadami etického chování, vést k získání jakékoliv neoprávněné výhody pro Partnera či jinou osobu. </w:t>
      </w:r>
    </w:p>
    <w:p w14:paraId="056B47F3" w14:textId="4AB92F5F" w:rsidR="00BB322D" w:rsidRDefault="00000000">
      <w:pPr>
        <w:numPr>
          <w:ilvl w:val="0"/>
          <w:numId w:val="5"/>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Partner prohlašuje, že on sám, nebo jeho statutární orgány či osoby s rozhodovací pravomocí nemají postavení veřejného činitele a že veřejné činitele pro účely této smlouvy nezaměstnává ani jinak nevyužívá, </w:t>
      </w:r>
      <w:r>
        <w:rPr>
          <w:rFonts w:eastAsia="Arial" w:cs="Arial"/>
        </w:rPr>
        <w:t xml:space="preserve">vyjma členů správní rady, kteří se však nebudou účastnit jakéhokoli rozhodování ve věcech týkajících se výběrových řízení na služby, kterých by byl TMCZ účastníkem. </w:t>
      </w:r>
      <w:r>
        <w:rPr>
          <w:rFonts w:eastAsia="Arial" w:cs="Arial"/>
          <w:color w:val="000000"/>
          <w:sz w:val="20"/>
          <w:szCs w:val="20"/>
        </w:rPr>
        <w:t>Za veřejného činitele se přitom pro potřeby této smlouvy považuje každá osoba, kterou platná právní úprava označuje za „úřední osobu“ (včetně osob označovaných za úřední osoby pro potřeby trestných činů souvisejících s podplácením a úplatkářstvím) a rovněž funkcionáři nebo kandidáti politických stran (či politické strany jako takové), prokazatelně známí kandidáti na výkon funkce ve státní správě či samosprávě, zaměstnanci či jiné osoby, které oficiálně jednají jménem státních orgánů nebo státních podniků, jakož i poradci úředních osob a osoby blízké úředním osobám, pokud je takový vztah k úřední osobě prokazatelně veřejně znám.</w:t>
      </w:r>
    </w:p>
    <w:p w14:paraId="056B47F4" w14:textId="77777777" w:rsidR="00BB322D" w:rsidRDefault="00000000">
      <w:pPr>
        <w:numPr>
          <w:ilvl w:val="0"/>
          <w:numId w:val="5"/>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Partner se rovněž zavazuje zajistit, že jakékoliv třetí osoby, nebo jejich statutární orgány či osoby s rozhodovací pravomocí, které se budou na straně Partnera podílet na poskytování plnění dle této smlouvy, nebudou mít postavení veřejného činitele, ani nebudou pro účely této smlouvy veřejné činitele zaměstnávat či jinak využívat. Ustanovení tohoto článku VII. smlouvy se v plném rozsahu použijí i na takové třetí osoby.</w:t>
      </w:r>
    </w:p>
    <w:p w14:paraId="056B47F5" w14:textId="77777777" w:rsidR="00BB322D" w:rsidRDefault="00000000">
      <w:pPr>
        <w:numPr>
          <w:ilvl w:val="0"/>
          <w:numId w:val="5"/>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Získá-li Partner v souvislosti s touto smlouvou jakékoliv důvodné podezření, že dochází, či může prokazatelně dojít k porušení výše uvedených ustanovení, zavazuje se o této skutečnosti bez zbytečného odkladu informovat TMCZ a následně (až do vyjádření TMCZ) činit při plnění povinností jen ty úkony, které nesnesou odkladu (tj. úkony jejichž neplnění by mohlo TMCZ způsobit škodu) a neporušují pravidla specifikovaná v odst. 1., 2 a odst. 3. tohoto článku VII. smlouvy. Získá-li TMCZ v souvislosti s touto smlouvou důvodné podezření, že dochází, či může prokazatelně dojít k porušení výše uvedených ustanovení, zavazuje se Partner, že na výzvu TMCZ předloží TMCZ podklady, které podezření vyvracejí a/nebo umožní prověření důvodnosti takového podezření ze strany TMCZ.</w:t>
      </w:r>
    </w:p>
    <w:p w14:paraId="056B47F6" w14:textId="77777777" w:rsidR="00BB322D" w:rsidRDefault="00000000">
      <w:pPr>
        <w:numPr>
          <w:ilvl w:val="0"/>
          <w:numId w:val="5"/>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Smluvní strany se výslovně dohodly, že poruší-li Partner kteroukoliv povinnost dle tohoto článku VII. Smlouvy, anebo ukáže-li se jakékoliv jeho prohlášení dle tohoto článku VII. smlouvy nepravdivým, je TMCZ oprávněn odstoupit od této smlouvy, a to k okamžiku doručení písemného oznámení o odstoupení Partnerovi. </w:t>
      </w:r>
    </w:p>
    <w:p w14:paraId="056B47F7" w14:textId="77777777" w:rsidR="00BB322D" w:rsidRDefault="00BB322D">
      <w:pPr>
        <w:pBdr>
          <w:top w:val="nil"/>
          <w:left w:val="nil"/>
          <w:bottom w:val="nil"/>
          <w:right w:val="nil"/>
          <w:between w:val="nil"/>
        </w:pBdr>
        <w:spacing w:line="240" w:lineRule="auto"/>
        <w:ind w:left="0" w:hanging="2"/>
        <w:jc w:val="both"/>
        <w:rPr>
          <w:rFonts w:eastAsia="Arial" w:cs="Arial"/>
          <w:color w:val="000000"/>
          <w:sz w:val="20"/>
          <w:szCs w:val="20"/>
        </w:rPr>
      </w:pPr>
    </w:p>
    <w:p w14:paraId="056B47F8" w14:textId="77777777" w:rsidR="00BB322D" w:rsidRDefault="00000000">
      <w:pPr>
        <w:keepNext/>
        <w:pBdr>
          <w:top w:val="nil"/>
          <w:left w:val="nil"/>
          <w:bottom w:val="nil"/>
          <w:right w:val="nil"/>
          <w:between w:val="nil"/>
        </w:pBdr>
        <w:spacing w:line="240" w:lineRule="auto"/>
        <w:ind w:left="0" w:hanging="2"/>
        <w:jc w:val="center"/>
        <w:rPr>
          <w:rFonts w:eastAsia="Arial" w:cs="Arial"/>
          <w:color w:val="000000"/>
          <w:sz w:val="20"/>
          <w:szCs w:val="20"/>
        </w:rPr>
      </w:pPr>
      <w:r>
        <w:rPr>
          <w:rFonts w:eastAsia="Arial" w:cs="Arial"/>
          <w:b/>
          <w:color w:val="000000"/>
          <w:sz w:val="20"/>
          <w:szCs w:val="20"/>
        </w:rPr>
        <w:t>VIII.</w:t>
      </w:r>
    </w:p>
    <w:p w14:paraId="056B47F9" w14:textId="77777777" w:rsidR="00BB322D" w:rsidRDefault="00000000">
      <w:pPr>
        <w:keepNext/>
        <w:pBdr>
          <w:top w:val="nil"/>
          <w:left w:val="nil"/>
          <w:bottom w:val="nil"/>
          <w:right w:val="nil"/>
          <w:between w:val="nil"/>
        </w:pBdr>
        <w:spacing w:after="120" w:line="240" w:lineRule="auto"/>
        <w:ind w:left="0" w:hanging="2"/>
        <w:jc w:val="center"/>
        <w:rPr>
          <w:rFonts w:eastAsia="Arial" w:cs="Arial"/>
          <w:b/>
          <w:color w:val="000000"/>
          <w:sz w:val="24"/>
          <w:szCs w:val="24"/>
        </w:rPr>
      </w:pPr>
      <w:r>
        <w:rPr>
          <w:rFonts w:eastAsia="Arial" w:cs="Arial"/>
          <w:b/>
          <w:smallCaps/>
          <w:color w:val="000000"/>
          <w:sz w:val="24"/>
          <w:szCs w:val="24"/>
        </w:rPr>
        <w:t>Závěrečná ustanovení</w:t>
      </w:r>
    </w:p>
    <w:p w14:paraId="056B47FA" w14:textId="77777777" w:rsidR="00BB322D" w:rsidRDefault="00000000">
      <w:pPr>
        <w:numPr>
          <w:ilvl w:val="0"/>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Tato smlouva nabývá platnosti a účinnosti dnem zveřejnění v registru smluv. </w:t>
      </w:r>
    </w:p>
    <w:p w14:paraId="056B47FB" w14:textId="77777777" w:rsidR="00BB322D" w:rsidRDefault="00000000">
      <w:pPr>
        <w:numPr>
          <w:ilvl w:val="0"/>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V otázkách touto smlouvou výslovně neupravených se práva a povinnosti smluvních stran řídí příslušnými ustanoveními obecně závazných právních předpisů platných na území České republiky, zejména zákona č. 89/2012 Sb., občanského zákoníku, v platném znění. </w:t>
      </w:r>
    </w:p>
    <w:p w14:paraId="056B47FC" w14:textId="77777777" w:rsidR="00BB322D" w:rsidRDefault="00000000">
      <w:pPr>
        <w:numPr>
          <w:ilvl w:val="0"/>
          <w:numId w:val="6"/>
        </w:numPr>
        <w:pBdr>
          <w:top w:val="nil"/>
          <w:left w:val="nil"/>
          <w:bottom w:val="nil"/>
          <w:right w:val="nil"/>
          <w:between w:val="nil"/>
        </w:pBdr>
        <w:spacing w:after="120" w:line="240" w:lineRule="auto"/>
        <w:ind w:left="0" w:hanging="2"/>
        <w:jc w:val="both"/>
        <w:rPr>
          <w:rFonts w:eastAsia="Arial" w:cs="Arial"/>
          <w:color w:val="000000"/>
          <w:sz w:val="20"/>
          <w:szCs w:val="20"/>
        </w:rPr>
      </w:pPr>
      <w:bookmarkStart w:id="9" w:name="_heading=h.2s8eyo1" w:colFirst="0" w:colLast="0"/>
      <w:bookmarkEnd w:id="9"/>
      <w:r>
        <w:rPr>
          <w:rFonts w:eastAsia="Arial" w:cs="Arial"/>
          <w:color w:val="000000"/>
          <w:sz w:val="20"/>
          <w:szCs w:val="20"/>
        </w:rPr>
        <w:t>Práva a povinnosti vyplývající z této smlouvy nejsou smluvní strany oprávněny převádět na jiné třetí osoby bez předchozího písemného souhlasu druhé smluvní strany</w:t>
      </w:r>
      <w:r>
        <w:rPr>
          <w:rFonts w:eastAsia="Arial" w:cs="Arial"/>
          <w:i/>
          <w:color w:val="000000"/>
          <w:sz w:val="20"/>
          <w:szCs w:val="20"/>
        </w:rPr>
        <w:t>.</w:t>
      </w:r>
    </w:p>
    <w:p w14:paraId="056B47FD" w14:textId="77777777" w:rsidR="00BB322D" w:rsidRDefault="00000000">
      <w:pPr>
        <w:numPr>
          <w:ilvl w:val="0"/>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Smluvní strany ujednaly tyto možnosti ukončení této Smlouvy: </w:t>
      </w:r>
    </w:p>
    <w:p w14:paraId="056B47FE" w14:textId="77777777" w:rsidR="00BB322D" w:rsidRDefault="00000000">
      <w:pPr>
        <w:numPr>
          <w:ilvl w:val="1"/>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písemnou dohodou smluvních stran, a to k jakémukoli termínu;</w:t>
      </w:r>
    </w:p>
    <w:p w14:paraId="056B47FF" w14:textId="77777777" w:rsidR="00BB322D" w:rsidRDefault="00000000">
      <w:pPr>
        <w:numPr>
          <w:ilvl w:val="1"/>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písemným odstoupením jedné smluvní strany od Smlouvy v případě, že </w:t>
      </w:r>
    </w:p>
    <w:p w14:paraId="056B4800" w14:textId="77777777" w:rsidR="00BB322D" w:rsidRDefault="00000000">
      <w:pPr>
        <w:numPr>
          <w:ilvl w:val="2"/>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lastRenderedPageBreak/>
        <w:t xml:space="preserve">druhá smluvní strana podstatně či opakovaně poruší povinnost stanovenou touto smlouvou a toto porušení neodstraní ani po písemném vyzvání druhé smluvní strany, a to do 5 pracovních dnů od doručení, ledaže k porušení povinnosti došlo v důsledku vyšší moci dle čl. VI této smlouvy; </w:t>
      </w:r>
    </w:p>
    <w:p w14:paraId="056B4801" w14:textId="77777777" w:rsidR="00BB322D" w:rsidRDefault="00000000">
      <w:pPr>
        <w:numPr>
          <w:ilvl w:val="2"/>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drhá smluvní strana vstoupí do likvidace, konkursu či jiného obdobného řízení – viz. insolvenční zákon.</w:t>
      </w:r>
    </w:p>
    <w:p w14:paraId="056B4802" w14:textId="77777777" w:rsidR="00BB322D" w:rsidRDefault="00000000">
      <w:p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V případě odstoupení je Partner povinen vrátit zpět TMCZ uhrazenou platbu, a to poměrnou částí odečtu provedeného plnění vůči plnění neprovedenému v daném roce, a to do 30ti dnů od doručení příslušného odstoupení dané smluvní straně.</w:t>
      </w:r>
    </w:p>
    <w:p w14:paraId="056B4803" w14:textId="77777777" w:rsidR="00BB322D" w:rsidRDefault="00000000">
      <w:pPr>
        <w:numPr>
          <w:ilvl w:val="0"/>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Veškeré spory, které se smluvním stranám nepodaří vyřešit smírnou cestou, budou řešeny věcně příslušným soudem České republiky. Nestanoví-li zákon výlučnou místní příslušnost soudu, dohodly se smluvní strany, že pro všechny spory vyplývající z této smlouvy a týkající se obchodních věcí bude místně příslušným obecný soud TMCZ.</w:t>
      </w:r>
    </w:p>
    <w:p w14:paraId="056B4804" w14:textId="77777777" w:rsidR="00BB322D" w:rsidRDefault="00000000">
      <w:pPr>
        <w:numPr>
          <w:ilvl w:val="0"/>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Smluvní strany se dohodly, že tato smlouva se uzavírá v písemné formě a bude podepsána prostřednictvím elektronického podpisu jednajících osob (např. DocuSign Express Signature / Qualified Electronic Signature nebo podobná technologie elektronického podpisu) v souladu s nařízením Evropského parlamentu a Rady (EU) č. 910/2014 ze dne 23. července 2014 o elektronické identifikaci a službách vytvářejících důvěru pro elektronické transakce na vnitřním trhu a o zrušení směrnice 1999/93/ES a příslušnými národními právními předpisy v oblasti elektronického podpisu, a to v jednom nebo více stejnopisech, z nichž každý bude považován za originál. Změny této smlouvy lze provést pouze na základě písemné dohody smluvních stran, která bude podepsána stejně jako tato smlouva prostřednictvím elektronického podpisu jednajících osob, pokud se strany nedohodnou jinak. Od tohoto požadavku lze upustit pouze písemnou dohodou, která bude rovněž podepsána pomocí elektronického podpisu jednajících osob. K této smlouvě neexistují a nebudou ani v budoucnu uzavřeny žádné ústní doplňky. Jakékoli úkony týkající se skončení trvání této smlouvy (např. výpověď, odstoupení) lze uskutečnit pouze na základě písemného úkonu příslušné smluvní strany, který bude podepsán také prostřednictvím elektronického podpisu jednajících osob stejně jako tato smlouva, pokud se dotyčná strana nerozhodne jinak.</w:t>
      </w:r>
    </w:p>
    <w:p w14:paraId="056B4805" w14:textId="77777777" w:rsidR="00BB322D" w:rsidRDefault="00000000">
      <w:pPr>
        <w:numPr>
          <w:ilvl w:val="0"/>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 xml:space="preserve">Pokud je v souvislosti s touto smlouvou doručováno doporučeným psaním, pak není-li prokázán jiný den doručení, považuje se doporučené psaní za doručené pátým dnem ode dne, kdy bylo podáno na poštu jako doporučené psaní. Pokud je v souvislosti s touto smlouvou doručováno elektronickou poštou nebo faxem, pak platí, že strana, které je písemnost adresována, je povinna do 2 pracovních dnů potvrdit odesílající straně doručení písemnosti na číslo faxu nebo e-mailovou adresu uvedenou v odst. 7. tohoto článku. Pokud odesílající strana neobdrží ve výše uvedené lhůtě potvrzení o doručení písemnosti, zašle písemnost opakovaně, a to faxem i elektronickou poštou. Toto opakované zaslání se považuje za doručené bez ohledu na to, zda adresát opakované doručení potvrdil či nikoliv. </w:t>
      </w:r>
    </w:p>
    <w:p w14:paraId="056B4806" w14:textId="77777777" w:rsidR="00BB322D" w:rsidRDefault="00000000">
      <w:pPr>
        <w:pBdr>
          <w:top w:val="nil"/>
          <w:left w:val="nil"/>
          <w:bottom w:val="nil"/>
          <w:right w:val="nil"/>
          <w:between w:val="nil"/>
        </w:pBdr>
        <w:spacing w:after="120" w:line="240" w:lineRule="auto"/>
        <w:ind w:left="0" w:hanging="2"/>
        <w:jc w:val="both"/>
        <w:rPr>
          <w:rFonts w:eastAsia="Arial" w:cs="Arial"/>
        </w:rPr>
      </w:pPr>
      <w:r>
        <w:br w:type="page"/>
      </w:r>
    </w:p>
    <w:p w14:paraId="056B4807" w14:textId="77777777" w:rsidR="00BB322D" w:rsidRDefault="00000000">
      <w:pPr>
        <w:numPr>
          <w:ilvl w:val="0"/>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lastRenderedPageBreak/>
        <w:t>Kontaktními osobami jsou:</w:t>
      </w:r>
    </w:p>
    <w:p w14:paraId="056B4808" w14:textId="77777777" w:rsidR="00BB322D" w:rsidRDefault="00000000">
      <w:pPr>
        <w:pBdr>
          <w:top w:val="nil"/>
          <w:left w:val="nil"/>
          <w:bottom w:val="nil"/>
          <w:right w:val="nil"/>
          <w:between w:val="nil"/>
        </w:pBdr>
        <w:spacing w:after="60" w:line="240" w:lineRule="auto"/>
        <w:ind w:left="0" w:hanging="2"/>
        <w:jc w:val="both"/>
        <w:rPr>
          <w:rFonts w:eastAsia="Arial" w:cs="Arial"/>
          <w:color w:val="000000"/>
          <w:sz w:val="20"/>
          <w:szCs w:val="20"/>
        </w:rPr>
      </w:pPr>
      <w:r>
        <w:rPr>
          <w:rFonts w:eastAsia="Arial" w:cs="Arial"/>
          <w:b/>
          <w:color w:val="000000"/>
          <w:sz w:val="20"/>
          <w:szCs w:val="20"/>
        </w:rPr>
        <w:t>TMCZ</w:t>
      </w:r>
      <w:r>
        <w:rPr>
          <w:rFonts w:eastAsia="Arial" w:cs="Arial"/>
          <w:color w:val="000000"/>
          <w:sz w:val="20"/>
          <w:szCs w:val="20"/>
        </w:rPr>
        <w:t>:</w:t>
      </w:r>
    </w:p>
    <w:p w14:paraId="056B4809" w14:textId="77777777" w:rsidR="00BB322D" w:rsidRDefault="00000000">
      <w:pPr>
        <w:pBdr>
          <w:top w:val="nil"/>
          <w:left w:val="nil"/>
          <w:bottom w:val="nil"/>
          <w:right w:val="nil"/>
          <w:between w:val="nil"/>
        </w:pBdr>
        <w:spacing w:after="60" w:line="240" w:lineRule="auto"/>
        <w:ind w:left="0" w:hanging="2"/>
        <w:jc w:val="both"/>
        <w:rPr>
          <w:rFonts w:eastAsia="Arial" w:cs="Arial"/>
          <w:color w:val="000000"/>
          <w:sz w:val="20"/>
          <w:szCs w:val="20"/>
        </w:rPr>
      </w:pPr>
      <w:r>
        <w:rPr>
          <w:rFonts w:eastAsia="Arial" w:cs="Arial"/>
          <w:color w:val="000000"/>
          <w:sz w:val="20"/>
          <w:szCs w:val="20"/>
        </w:rPr>
        <w:t>ve věcech smluvních:</w:t>
      </w:r>
    </w:p>
    <w:p w14:paraId="056B480A" w14:textId="298E3458" w:rsidR="00BB322D" w:rsidRDefault="003A0DA9">
      <w:pPr>
        <w:pBdr>
          <w:top w:val="nil"/>
          <w:left w:val="nil"/>
          <w:bottom w:val="nil"/>
          <w:right w:val="nil"/>
          <w:between w:val="nil"/>
        </w:pBdr>
        <w:spacing w:line="240" w:lineRule="auto"/>
        <w:ind w:left="0" w:hanging="2"/>
        <w:rPr>
          <w:rFonts w:eastAsia="Arial" w:cs="Arial"/>
          <w:color w:val="000000"/>
          <w:sz w:val="24"/>
          <w:szCs w:val="24"/>
        </w:rPr>
      </w:pPr>
      <w:r>
        <w:rPr>
          <w:rFonts w:eastAsia="Arial" w:cs="Arial"/>
          <w:color w:val="000000"/>
          <w:sz w:val="20"/>
          <w:szCs w:val="20"/>
        </w:rPr>
        <w:t>Xxx Xxxxx</w:t>
      </w:r>
      <w:r w:rsidR="00000000">
        <w:rPr>
          <w:rFonts w:eastAsia="Arial" w:cs="Arial"/>
          <w:color w:val="000000"/>
          <w:sz w:val="20"/>
          <w:szCs w:val="20"/>
        </w:rPr>
        <w:t xml:space="preserve">, tel. </w:t>
      </w:r>
      <w:r>
        <w:rPr>
          <w:rFonts w:eastAsia="Arial" w:cs="Arial"/>
          <w:color w:val="000000"/>
          <w:sz w:val="20"/>
          <w:szCs w:val="20"/>
        </w:rPr>
        <w:t>xxxxxxxxxxx</w:t>
      </w:r>
      <w:r w:rsidR="00000000">
        <w:rPr>
          <w:rFonts w:eastAsia="Arial" w:cs="Arial"/>
          <w:color w:val="000000"/>
          <w:sz w:val="20"/>
          <w:szCs w:val="20"/>
        </w:rPr>
        <w:t xml:space="preserve">, e-mail: </w:t>
      </w:r>
      <w:r>
        <w:rPr>
          <w:rFonts w:eastAsia="Arial" w:cs="Arial"/>
          <w:color w:val="000000"/>
          <w:sz w:val="20"/>
          <w:szCs w:val="20"/>
        </w:rPr>
        <w:t>xxxxxxxxxxxx</w:t>
      </w:r>
    </w:p>
    <w:p w14:paraId="056B480B" w14:textId="77777777" w:rsidR="00BB322D" w:rsidRDefault="00000000">
      <w:pPr>
        <w:pBdr>
          <w:top w:val="nil"/>
          <w:left w:val="nil"/>
          <w:bottom w:val="nil"/>
          <w:right w:val="nil"/>
          <w:between w:val="nil"/>
        </w:pBdr>
        <w:spacing w:after="60" w:line="240" w:lineRule="auto"/>
        <w:ind w:left="0" w:hanging="2"/>
        <w:jc w:val="both"/>
        <w:rPr>
          <w:rFonts w:eastAsia="Arial" w:cs="Arial"/>
          <w:color w:val="000000"/>
          <w:sz w:val="20"/>
          <w:szCs w:val="20"/>
        </w:rPr>
      </w:pPr>
      <w:r>
        <w:rPr>
          <w:rFonts w:eastAsia="Arial" w:cs="Arial"/>
          <w:color w:val="000000"/>
          <w:sz w:val="20"/>
          <w:szCs w:val="20"/>
        </w:rPr>
        <w:t>ve věcech technických:</w:t>
      </w:r>
    </w:p>
    <w:p w14:paraId="056B480C" w14:textId="748CC230" w:rsidR="00BB322D" w:rsidRDefault="003A0DA9">
      <w:p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Xxx Xxxxx</w:t>
      </w:r>
      <w:r w:rsidR="00000000">
        <w:rPr>
          <w:rFonts w:eastAsia="Arial" w:cs="Arial"/>
          <w:color w:val="000000"/>
          <w:sz w:val="20"/>
          <w:szCs w:val="20"/>
        </w:rPr>
        <w:t xml:space="preserve">, tel. </w:t>
      </w:r>
      <w:r>
        <w:rPr>
          <w:rFonts w:eastAsia="Arial" w:cs="Arial"/>
          <w:color w:val="000000"/>
          <w:sz w:val="20"/>
          <w:szCs w:val="20"/>
        </w:rPr>
        <w:t>xxxxxxxxxx</w:t>
      </w:r>
      <w:r w:rsidR="00000000">
        <w:rPr>
          <w:rFonts w:eastAsia="Arial" w:cs="Arial"/>
          <w:color w:val="000000"/>
          <w:sz w:val="20"/>
          <w:szCs w:val="20"/>
        </w:rPr>
        <w:t xml:space="preserve">, e-mail: </w:t>
      </w:r>
      <w:r>
        <w:rPr>
          <w:rFonts w:eastAsia="Arial" w:cs="Arial"/>
          <w:color w:val="000000"/>
          <w:sz w:val="20"/>
          <w:szCs w:val="20"/>
        </w:rPr>
        <w:t>xxxxxxxxxxxx</w:t>
      </w:r>
    </w:p>
    <w:p w14:paraId="056B480D" w14:textId="77777777" w:rsidR="00BB322D" w:rsidRDefault="00000000">
      <w:pPr>
        <w:pBdr>
          <w:top w:val="nil"/>
          <w:left w:val="nil"/>
          <w:bottom w:val="nil"/>
          <w:right w:val="nil"/>
          <w:between w:val="nil"/>
        </w:pBdr>
        <w:spacing w:after="60" w:line="240" w:lineRule="auto"/>
        <w:ind w:left="0" w:hanging="2"/>
        <w:jc w:val="both"/>
        <w:rPr>
          <w:rFonts w:eastAsia="Arial" w:cs="Arial"/>
          <w:color w:val="000000"/>
          <w:sz w:val="20"/>
          <w:szCs w:val="20"/>
        </w:rPr>
      </w:pPr>
      <w:r>
        <w:rPr>
          <w:rFonts w:eastAsia="Arial" w:cs="Arial"/>
          <w:b/>
          <w:color w:val="000000"/>
          <w:sz w:val="20"/>
          <w:szCs w:val="20"/>
        </w:rPr>
        <w:t>Partner</w:t>
      </w:r>
      <w:r>
        <w:rPr>
          <w:rFonts w:eastAsia="Arial" w:cs="Arial"/>
          <w:color w:val="000000"/>
          <w:sz w:val="20"/>
          <w:szCs w:val="20"/>
        </w:rPr>
        <w:t>:</w:t>
      </w:r>
    </w:p>
    <w:p w14:paraId="056B480E" w14:textId="77777777" w:rsidR="00BB322D" w:rsidRDefault="00000000">
      <w:pPr>
        <w:pBdr>
          <w:top w:val="nil"/>
          <w:left w:val="nil"/>
          <w:bottom w:val="nil"/>
          <w:right w:val="nil"/>
          <w:between w:val="nil"/>
        </w:pBdr>
        <w:spacing w:after="60" w:line="240" w:lineRule="auto"/>
        <w:ind w:left="0" w:hanging="2"/>
        <w:jc w:val="both"/>
        <w:rPr>
          <w:rFonts w:eastAsia="Arial" w:cs="Arial"/>
          <w:color w:val="000000"/>
          <w:sz w:val="20"/>
          <w:szCs w:val="20"/>
        </w:rPr>
      </w:pPr>
      <w:r>
        <w:rPr>
          <w:rFonts w:eastAsia="Arial" w:cs="Arial"/>
          <w:color w:val="000000"/>
          <w:sz w:val="20"/>
          <w:szCs w:val="20"/>
        </w:rPr>
        <w:t>ve věcech smluvních a technických:</w:t>
      </w:r>
    </w:p>
    <w:p w14:paraId="056B480F" w14:textId="527D072A" w:rsidR="00BB322D" w:rsidRDefault="003A0DA9">
      <w:pPr>
        <w:pBdr>
          <w:top w:val="nil"/>
          <w:left w:val="nil"/>
          <w:bottom w:val="nil"/>
          <w:right w:val="nil"/>
          <w:between w:val="nil"/>
        </w:pBdr>
        <w:spacing w:line="240" w:lineRule="auto"/>
        <w:ind w:left="0" w:hanging="2"/>
        <w:rPr>
          <w:rFonts w:eastAsia="Arial" w:cs="Arial"/>
          <w:color w:val="000000"/>
          <w:sz w:val="20"/>
          <w:szCs w:val="20"/>
        </w:rPr>
      </w:pPr>
      <w:r>
        <w:rPr>
          <w:rFonts w:eastAsia="Arial" w:cs="Arial"/>
          <w:color w:val="000000"/>
          <w:sz w:val="20"/>
          <w:szCs w:val="20"/>
        </w:rPr>
        <w:t>Xxx Xxxxx</w:t>
      </w:r>
      <w:r w:rsidR="00000000">
        <w:rPr>
          <w:rFonts w:eastAsia="Arial" w:cs="Arial"/>
          <w:color w:val="000000"/>
          <w:sz w:val="20"/>
          <w:szCs w:val="20"/>
        </w:rPr>
        <w:t xml:space="preserve">, </w:t>
      </w:r>
      <w:hyperlink r:id="rId12">
        <w:r>
          <w:rPr>
            <w:rFonts w:eastAsia="Arial" w:cs="Arial"/>
            <w:color w:val="000000"/>
            <w:sz w:val="20"/>
            <w:szCs w:val="20"/>
          </w:rPr>
          <w:t>xxxxxxxxxx</w:t>
        </w:r>
      </w:hyperlink>
      <w:r w:rsidR="00000000">
        <w:rPr>
          <w:rFonts w:eastAsia="Arial" w:cs="Arial"/>
          <w:color w:val="000000"/>
          <w:sz w:val="20"/>
          <w:szCs w:val="20"/>
        </w:rPr>
        <w:t xml:space="preserve">, </w:t>
      </w:r>
      <w:r>
        <w:rPr>
          <w:rFonts w:eastAsia="Arial" w:cs="Arial"/>
          <w:color w:val="000000"/>
          <w:sz w:val="20"/>
          <w:szCs w:val="20"/>
        </w:rPr>
        <w:t>xxxxxxxxxxxxx</w:t>
      </w:r>
    </w:p>
    <w:p w14:paraId="056B4810" w14:textId="77777777" w:rsidR="00BB322D" w:rsidRDefault="00000000">
      <w:pPr>
        <w:pBdr>
          <w:top w:val="nil"/>
          <w:left w:val="nil"/>
          <w:bottom w:val="nil"/>
          <w:right w:val="nil"/>
          <w:between w:val="nil"/>
        </w:pBdr>
        <w:spacing w:line="240" w:lineRule="auto"/>
        <w:ind w:left="0" w:hanging="2"/>
        <w:rPr>
          <w:rFonts w:eastAsia="Arial" w:cs="Arial"/>
          <w:color w:val="000000"/>
          <w:sz w:val="20"/>
          <w:szCs w:val="20"/>
        </w:rPr>
      </w:pPr>
      <w:r>
        <w:rPr>
          <w:rFonts w:eastAsia="Arial" w:cs="Arial"/>
          <w:color w:val="000000"/>
          <w:sz w:val="20"/>
          <w:szCs w:val="20"/>
        </w:rPr>
        <w:t xml:space="preserve">ve věcech produkce a péče o TMCZ: </w:t>
      </w:r>
    </w:p>
    <w:p w14:paraId="056B4811" w14:textId="169E494C" w:rsidR="00BB322D" w:rsidRDefault="003A0DA9">
      <w:pPr>
        <w:pBdr>
          <w:top w:val="nil"/>
          <w:left w:val="nil"/>
          <w:bottom w:val="nil"/>
          <w:right w:val="nil"/>
          <w:between w:val="nil"/>
        </w:pBdr>
        <w:spacing w:line="240" w:lineRule="auto"/>
        <w:ind w:left="0" w:hanging="2"/>
        <w:rPr>
          <w:rFonts w:eastAsia="Arial" w:cs="Arial"/>
          <w:color w:val="000000"/>
          <w:sz w:val="20"/>
          <w:szCs w:val="20"/>
        </w:rPr>
      </w:pPr>
      <w:r>
        <w:rPr>
          <w:rFonts w:eastAsia="Arial" w:cs="Arial"/>
          <w:color w:val="000000"/>
          <w:sz w:val="20"/>
          <w:szCs w:val="20"/>
        </w:rPr>
        <w:t>Xxx Xxxxx</w:t>
      </w:r>
      <w:r w:rsidR="00000000">
        <w:rPr>
          <w:rFonts w:eastAsia="Arial" w:cs="Arial"/>
          <w:color w:val="000000"/>
          <w:sz w:val="20"/>
          <w:szCs w:val="20"/>
        </w:rPr>
        <w:t xml:space="preserve">, </w:t>
      </w:r>
      <w:hyperlink r:id="rId13">
        <w:r>
          <w:rPr>
            <w:rFonts w:eastAsia="Arial" w:cs="Arial"/>
            <w:color w:val="000000"/>
            <w:sz w:val="20"/>
            <w:szCs w:val="20"/>
          </w:rPr>
          <w:t>xxxxxxxxxxxxxxxx</w:t>
        </w:r>
      </w:hyperlink>
      <w:r w:rsidR="00000000">
        <w:rPr>
          <w:rFonts w:eastAsia="Arial" w:cs="Arial"/>
          <w:color w:val="000000"/>
          <w:sz w:val="20"/>
          <w:szCs w:val="20"/>
        </w:rPr>
        <w:t xml:space="preserve">, </w:t>
      </w:r>
      <w:r>
        <w:rPr>
          <w:rFonts w:eastAsia="Arial" w:cs="Arial"/>
          <w:color w:val="000000"/>
          <w:sz w:val="20"/>
          <w:szCs w:val="20"/>
        </w:rPr>
        <w:t>xxxxxxxxxxxxx</w:t>
      </w:r>
    </w:p>
    <w:p w14:paraId="056B4812" w14:textId="77777777" w:rsidR="00BB322D" w:rsidRDefault="00BB322D">
      <w:pPr>
        <w:pBdr>
          <w:top w:val="nil"/>
          <w:left w:val="nil"/>
          <w:bottom w:val="nil"/>
          <w:right w:val="nil"/>
          <w:between w:val="nil"/>
        </w:pBdr>
        <w:spacing w:after="60" w:line="240" w:lineRule="auto"/>
        <w:ind w:left="0" w:hanging="2"/>
        <w:jc w:val="both"/>
        <w:rPr>
          <w:rFonts w:eastAsia="Arial" w:cs="Arial"/>
          <w:color w:val="000000"/>
          <w:sz w:val="20"/>
          <w:szCs w:val="20"/>
        </w:rPr>
      </w:pPr>
    </w:p>
    <w:p w14:paraId="056B4813" w14:textId="77777777" w:rsidR="00BB322D" w:rsidRDefault="00000000">
      <w:pPr>
        <w:numPr>
          <w:ilvl w:val="0"/>
          <w:numId w:val="6"/>
        </w:numPr>
        <w:pBdr>
          <w:top w:val="nil"/>
          <w:left w:val="nil"/>
          <w:bottom w:val="nil"/>
          <w:right w:val="nil"/>
          <w:between w:val="nil"/>
        </w:pBdr>
        <w:spacing w:after="120" w:line="240" w:lineRule="auto"/>
        <w:ind w:left="0" w:hanging="2"/>
        <w:jc w:val="both"/>
        <w:rPr>
          <w:rFonts w:eastAsia="Arial" w:cs="Arial"/>
          <w:color w:val="000000"/>
          <w:sz w:val="20"/>
          <w:szCs w:val="20"/>
        </w:rPr>
      </w:pPr>
      <w:r>
        <w:rPr>
          <w:rFonts w:eastAsia="Arial" w:cs="Arial"/>
          <w:color w:val="000000"/>
          <w:sz w:val="20"/>
          <w:szCs w:val="20"/>
        </w:rPr>
        <w:t>Smluvní strany prohlašují, že tato smlouva vyjadřuje jejich úplné a výlučné vzájemné ujednání týkající se daného předmětu této smlouvy. Okamžikem nabytí účinnosti této smlouvy pozbývají platnosti veškerá ústní a písemná ujednání mezi smluvními stranami, týkající se předmětu této smlouvy, s výjimkou dohod a smluv, na které výslovně odkazuje.</w:t>
      </w:r>
    </w:p>
    <w:p w14:paraId="056B4814" w14:textId="77777777" w:rsidR="00BB322D" w:rsidRDefault="00BB322D">
      <w:pPr>
        <w:pBdr>
          <w:top w:val="nil"/>
          <w:left w:val="nil"/>
          <w:bottom w:val="nil"/>
          <w:right w:val="nil"/>
          <w:between w:val="nil"/>
        </w:pBdr>
        <w:spacing w:after="120" w:line="240" w:lineRule="auto"/>
        <w:ind w:left="0" w:hanging="2"/>
        <w:jc w:val="both"/>
        <w:rPr>
          <w:rFonts w:eastAsia="Arial" w:cs="Arial"/>
          <w:color w:val="000000"/>
          <w:sz w:val="20"/>
          <w:szCs w:val="20"/>
        </w:rPr>
      </w:pPr>
    </w:p>
    <w:p w14:paraId="056B4815" w14:textId="77777777" w:rsidR="00BB322D" w:rsidRDefault="00000000">
      <w:pPr>
        <w:keepNext/>
        <w:pBdr>
          <w:top w:val="nil"/>
          <w:left w:val="nil"/>
          <w:bottom w:val="nil"/>
          <w:right w:val="nil"/>
          <w:between w:val="nil"/>
        </w:pBdr>
        <w:tabs>
          <w:tab w:val="left" w:pos="5529"/>
        </w:tabs>
        <w:spacing w:line="240" w:lineRule="auto"/>
        <w:ind w:left="0" w:hanging="2"/>
        <w:jc w:val="both"/>
        <w:rPr>
          <w:rFonts w:eastAsia="Arial" w:cs="Arial"/>
          <w:color w:val="000000"/>
          <w:sz w:val="20"/>
          <w:szCs w:val="20"/>
        </w:rPr>
      </w:pPr>
      <w:r>
        <w:rPr>
          <w:rFonts w:eastAsia="Arial" w:cs="Arial"/>
          <w:color w:val="000000"/>
          <w:sz w:val="20"/>
          <w:szCs w:val="20"/>
        </w:rPr>
        <w:t>v Litomyšli dne __________2024</w:t>
      </w:r>
      <w:r>
        <w:rPr>
          <w:rFonts w:eastAsia="Arial" w:cs="Arial"/>
          <w:color w:val="000000"/>
          <w:sz w:val="20"/>
          <w:szCs w:val="20"/>
        </w:rPr>
        <w:tab/>
        <w:t>v Praze dne __________2024</w:t>
      </w:r>
    </w:p>
    <w:p w14:paraId="056B4816" w14:textId="77777777" w:rsidR="00BB322D" w:rsidRDefault="00BB322D">
      <w:pPr>
        <w:keepNext/>
        <w:pBdr>
          <w:top w:val="nil"/>
          <w:left w:val="nil"/>
          <w:bottom w:val="nil"/>
          <w:right w:val="nil"/>
          <w:between w:val="nil"/>
        </w:pBdr>
        <w:tabs>
          <w:tab w:val="left" w:pos="5529"/>
        </w:tabs>
        <w:spacing w:line="240" w:lineRule="auto"/>
        <w:ind w:left="0" w:hanging="2"/>
        <w:jc w:val="both"/>
        <w:rPr>
          <w:rFonts w:eastAsia="Arial" w:cs="Arial"/>
          <w:color w:val="000000"/>
          <w:sz w:val="20"/>
          <w:szCs w:val="20"/>
        </w:rPr>
      </w:pPr>
    </w:p>
    <w:p w14:paraId="056B4817" w14:textId="77777777" w:rsidR="00BB322D" w:rsidRDefault="00BB322D">
      <w:pPr>
        <w:keepNext/>
        <w:pBdr>
          <w:top w:val="nil"/>
          <w:left w:val="nil"/>
          <w:bottom w:val="nil"/>
          <w:right w:val="nil"/>
          <w:between w:val="nil"/>
        </w:pBdr>
        <w:shd w:val="clear" w:color="auto" w:fill="FFFFFF"/>
        <w:tabs>
          <w:tab w:val="left" w:pos="5529"/>
        </w:tabs>
        <w:spacing w:line="240" w:lineRule="auto"/>
        <w:ind w:left="0" w:hanging="2"/>
        <w:jc w:val="both"/>
        <w:rPr>
          <w:rFonts w:eastAsia="Arial" w:cs="Arial"/>
          <w:color w:val="000000"/>
          <w:sz w:val="20"/>
          <w:szCs w:val="20"/>
        </w:rPr>
      </w:pPr>
    </w:p>
    <w:p w14:paraId="056B4818" w14:textId="77777777" w:rsidR="00BB322D" w:rsidRDefault="00BB322D">
      <w:pPr>
        <w:keepNext/>
        <w:pBdr>
          <w:top w:val="nil"/>
          <w:left w:val="nil"/>
          <w:bottom w:val="nil"/>
          <w:right w:val="nil"/>
          <w:between w:val="nil"/>
        </w:pBdr>
        <w:shd w:val="clear" w:color="auto" w:fill="FFFFFF"/>
        <w:tabs>
          <w:tab w:val="left" w:pos="5529"/>
        </w:tabs>
        <w:spacing w:line="240" w:lineRule="auto"/>
        <w:ind w:left="0" w:hanging="2"/>
        <w:jc w:val="both"/>
        <w:rPr>
          <w:rFonts w:eastAsia="Arial" w:cs="Arial"/>
          <w:color w:val="000000"/>
          <w:sz w:val="20"/>
          <w:szCs w:val="20"/>
        </w:rPr>
      </w:pPr>
    </w:p>
    <w:tbl>
      <w:tblPr>
        <w:tblStyle w:val="a"/>
        <w:tblW w:w="9429" w:type="dxa"/>
        <w:tblInd w:w="318" w:type="dxa"/>
        <w:tblLayout w:type="fixed"/>
        <w:tblLook w:val="0000" w:firstRow="0" w:lastRow="0" w:firstColumn="0" w:lastColumn="0" w:noHBand="0" w:noVBand="0"/>
      </w:tblPr>
      <w:tblGrid>
        <w:gridCol w:w="4502"/>
        <w:gridCol w:w="4927"/>
      </w:tblGrid>
      <w:tr w:rsidR="00BB322D" w14:paraId="056B481B" w14:textId="77777777">
        <w:tc>
          <w:tcPr>
            <w:tcW w:w="4502" w:type="dxa"/>
          </w:tcPr>
          <w:p w14:paraId="056B4819" w14:textId="77777777" w:rsidR="00BB322D" w:rsidRDefault="00BB322D">
            <w:pPr>
              <w:pBdr>
                <w:top w:val="nil"/>
                <w:left w:val="nil"/>
                <w:bottom w:val="nil"/>
                <w:right w:val="nil"/>
                <w:between w:val="nil"/>
              </w:pBdr>
              <w:spacing w:line="240" w:lineRule="auto"/>
              <w:ind w:left="0" w:hanging="2"/>
              <w:rPr>
                <w:rFonts w:eastAsia="Arial" w:cs="Arial"/>
                <w:color w:val="000000"/>
                <w:sz w:val="20"/>
                <w:szCs w:val="20"/>
              </w:rPr>
            </w:pPr>
          </w:p>
        </w:tc>
        <w:tc>
          <w:tcPr>
            <w:tcW w:w="4927" w:type="dxa"/>
          </w:tcPr>
          <w:p w14:paraId="056B481A" w14:textId="77777777" w:rsidR="00BB322D" w:rsidRDefault="00BB322D">
            <w:pPr>
              <w:keepNext/>
              <w:pBdr>
                <w:top w:val="nil"/>
                <w:left w:val="nil"/>
                <w:bottom w:val="nil"/>
                <w:right w:val="nil"/>
                <w:between w:val="nil"/>
              </w:pBdr>
              <w:tabs>
                <w:tab w:val="left" w:pos="5529"/>
              </w:tabs>
              <w:spacing w:line="240" w:lineRule="auto"/>
              <w:ind w:left="0" w:hanging="2"/>
              <w:jc w:val="both"/>
              <w:rPr>
                <w:rFonts w:eastAsia="Arial" w:cs="Arial"/>
                <w:color w:val="000000"/>
                <w:sz w:val="20"/>
                <w:szCs w:val="20"/>
              </w:rPr>
            </w:pPr>
          </w:p>
        </w:tc>
      </w:tr>
    </w:tbl>
    <w:p w14:paraId="056B481C" w14:textId="77777777" w:rsidR="00BB322D" w:rsidRDefault="00000000">
      <w:pPr>
        <w:keepNext/>
        <w:pBdr>
          <w:top w:val="nil"/>
          <w:left w:val="nil"/>
          <w:bottom w:val="nil"/>
          <w:right w:val="nil"/>
          <w:between w:val="nil"/>
        </w:pBdr>
        <w:tabs>
          <w:tab w:val="left" w:pos="5529"/>
        </w:tabs>
        <w:spacing w:line="360" w:lineRule="auto"/>
        <w:ind w:left="0" w:hanging="2"/>
        <w:jc w:val="both"/>
        <w:rPr>
          <w:rFonts w:eastAsia="Arial" w:cs="Arial"/>
          <w:color w:val="000000"/>
          <w:sz w:val="20"/>
          <w:szCs w:val="20"/>
        </w:rPr>
      </w:pPr>
      <w:bookmarkStart w:id="10" w:name="_heading=h.17dp8vu" w:colFirst="0" w:colLast="0"/>
      <w:bookmarkEnd w:id="10"/>
      <w:r>
        <w:rPr>
          <w:rFonts w:eastAsia="Arial" w:cs="Arial"/>
          <w:color w:val="000000"/>
          <w:sz w:val="20"/>
          <w:szCs w:val="20"/>
        </w:rPr>
        <w:t>…………………………………………….</w:t>
      </w:r>
      <w:r>
        <w:rPr>
          <w:rFonts w:eastAsia="Arial" w:cs="Arial"/>
          <w:color w:val="000000"/>
          <w:sz w:val="20"/>
          <w:szCs w:val="20"/>
        </w:rPr>
        <w:tab/>
        <w:t>……………………………………………….</w:t>
      </w:r>
    </w:p>
    <w:p w14:paraId="056B481D" w14:textId="06A4A935" w:rsidR="00BB322D" w:rsidRDefault="00000000">
      <w:pPr>
        <w:keepNext/>
        <w:pBdr>
          <w:top w:val="nil"/>
          <w:left w:val="nil"/>
          <w:bottom w:val="nil"/>
          <w:right w:val="nil"/>
          <w:between w:val="nil"/>
        </w:pBdr>
        <w:tabs>
          <w:tab w:val="left" w:pos="5529"/>
        </w:tabs>
        <w:spacing w:line="360" w:lineRule="auto"/>
        <w:ind w:left="0" w:hanging="2"/>
        <w:rPr>
          <w:rFonts w:eastAsia="Arial" w:cs="Arial"/>
          <w:color w:val="000000"/>
          <w:sz w:val="20"/>
          <w:szCs w:val="20"/>
        </w:rPr>
      </w:pPr>
      <w:r>
        <w:rPr>
          <w:rFonts w:eastAsia="Arial" w:cs="Arial"/>
          <w:color w:val="000000"/>
          <w:sz w:val="20"/>
          <w:szCs w:val="20"/>
        </w:rPr>
        <w:t>Michal Medek, ředitel festivalu</w:t>
      </w:r>
      <w:r>
        <w:rPr>
          <w:rFonts w:eastAsia="Arial" w:cs="Arial"/>
          <w:color w:val="000000"/>
          <w:sz w:val="20"/>
          <w:szCs w:val="20"/>
        </w:rPr>
        <w:tab/>
      </w:r>
      <w:r w:rsidR="003A0DA9">
        <w:rPr>
          <w:rFonts w:eastAsia="Arial" w:cs="Arial"/>
          <w:color w:val="000000"/>
          <w:sz w:val="20"/>
          <w:szCs w:val="20"/>
        </w:rPr>
        <w:t>Xxx Xxxxx</w:t>
      </w:r>
      <w:r>
        <w:rPr>
          <w:rFonts w:eastAsia="Arial" w:cs="Arial"/>
          <w:color w:val="000000"/>
          <w:sz w:val="20"/>
          <w:szCs w:val="20"/>
        </w:rPr>
        <w:t>, ředitel vnějších vztahů a udržitelnosti</w:t>
      </w:r>
    </w:p>
    <w:p w14:paraId="056B481E" w14:textId="77777777" w:rsidR="00BB322D" w:rsidRDefault="00000000">
      <w:pPr>
        <w:keepNext/>
        <w:pBdr>
          <w:top w:val="nil"/>
          <w:left w:val="nil"/>
          <w:bottom w:val="nil"/>
          <w:right w:val="nil"/>
          <w:between w:val="nil"/>
        </w:pBdr>
        <w:tabs>
          <w:tab w:val="left" w:pos="5529"/>
        </w:tabs>
        <w:spacing w:line="360" w:lineRule="auto"/>
        <w:ind w:left="0" w:hanging="2"/>
        <w:jc w:val="both"/>
        <w:rPr>
          <w:rFonts w:eastAsia="Arial" w:cs="Arial"/>
          <w:color w:val="000000"/>
          <w:sz w:val="20"/>
          <w:szCs w:val="20"/>
        </w:rPr>
      </w:pPr>
      <w:r>
        <w:rPr>
          <w:rFonts w:eastAsia="Arial" w:cs="Arial"/>
          <w:b/>
          <w:color w:val="000000"/>
          <w:sz w:val="20"/>
          <w:szCs w:val="20"/>
        </w:rPr>
        <w:t>za Smetanovu Litomyšl, o.p.s.</w:t>
      </w:r>
      <w:r>
        <w:rPr>
          <w:rFonts w:eastAsia="Arial" w:cs="Arial"/>
          <w:b/>
          <w:color w:val="000000"/>
          <w:sz w:val="20"/>
          <w:szCs w:val="20"/>
        </w:rPr>
        <w:tab/>
        <w:t>za T-Mobile Czech Republic a.s.</w:t>
      </w:r>
    </w:p>
    <w:p w14:paraId="056B481F" w14:textId="77777777" w:rsidR="00BB322D" w:rsidRDefault="00000000">
      <w:pPr>
        <w:keepNext/>
        <w:pBdr>
          <w:top w:val="nil"/>
          <w:left w:val="nil"/>
          <w:bottom w:val="nil"/>
          <w:right w:val="nil"/>
          <w:between w:val="nil"/>
        </w:pBdr>
        <w:spacing w:line="360" w:lineRule="auto"/>
        <w:ind w:left="0" w:hanging="2"/>
        <w:rPr>
          <w:rFonts w:eastAsia="Arial" w:cs="Arial"/>
          <w:color w:val="000000"/>
          <w:sz w:val="20"/>
          <w:szCs w:val="20"/>
        </w:rPr>
      </w:pPr>
      <w:r>
        <w:rPr>
          <w:rFonts w:eastAsia="Arial" w:cs="Arial"/>
          <w:color w:val="000000"/>
          <w:sz w:val="20"/>
          <w:szCs w:val="20"/>
        </w:rPr>
        <w:tab/>
      </w:r>
    </w:p>
    <w:p w14:paraId="056B4820" w14:textId="77777777" w:rsidR="00BB322D" w:rsidRDefault="00BB322D">
      <w:pPr>
        <w:keepNext/>
        <w:pBdr>
          <w:top w:val="nil"/>
          <w:left w:val="nil"/>
          <w:bottom w:val="nil"/>
          <w:right w:val="nil"/>
          <w:between w:val="nil"/>
        </w:pBdr>
        <w:spacing w:line="240" w:lineRule="auto"/>
        <w:ind w:left="0" w:hanging="2"/>
        <w:rPr>
          <w:rFonts w:eastAsia="Arial" w:cs="Arial"/>
          <w:color w:val="000000"/>
          <w:sz w:val="20"/>
          <w:szCs w:val="20"/>
        </w:rPr>
      </w:pPr>
    </w:p>
    <w:sectPr w:rsidR="00BB322D">
      <w:footerReference w:type="default" r:id="rId14"/>
      <w:pgSz w:w="11909" w:h="16834"/>
      <w:pgMar w:top="993" w:right="852" w:bottom="1276" w:left="993" w:header="567" w:footer="4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82D81" w14:textId="77777777" w:rsidR="00D15C7F" w:rsidRDefault="00D15C7F">
      <w:pPr>
        <w:spacing w:line="240" w:lineRule="auto"/>
        <w:ind w:left="0" w:hanging="2"/>
      </w:pPr>
      <w:r>
        <w:separator/>
      </w:r>
    </w:p>
  </w:endnote>
  <w:endnote w:type="continuationSeparator" w:id="0">
    <w:p w14:paraId="3B336B37" w14:textId="77777777" w:rsidR="00D15C7F" w:rsidRDefault="00D15C7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D6383DC0-5357-49C1-8577-CA2ACC79DA57}"/>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0000000000000000000"/>
    <w:charset w:val="00"/>
    <w:family w:val="roman"/>
    <w:notTrueType/>
    <w:pitch w:val="default"/>
    <w:embedRegular r:id="rId2" w:fontKey="{17F2D293-E6C4-4BAE-BDF6-0C4D33D196BC}"/>
    <w:embedBold r:id="rId3" w:fontKey="{4F9E3482-7034-4339-82D2-5A24A27A23EB}"/>
  </w:font>
  <w:font w:name="Tahoma">
    <w:panose1 w:val="020B0604030504040204"/>
    <w:charset w:val="EE"/>
    <w:family w:val="swiss"/>
    <w:pitch w:val="variable"/>
    <w:sig w:usb0="E1002EFF" w:usb1="C000605B" w:usb2="00000029" w:usb3="00000000" w:csb0="000101FF" w:csb1="00000000"/>
    <w:embedRegular r:id="rId4" w:fontKey="{E338E71F-2B7C-4AAD-953D-0F1B9F6764B8}"/>
  </w:font>
  <w:font w:name="Georgia">
    <w:panose1 w:val="02040502050405020303"/>
    <w:charset w:val="00"/>
    <w:family w:val="auto"/>
    <w:pitch w:val="default"/>
    <w:embedRegular r:id="rId5" w:fontKey="{F29CAF73-10E1-45C3-AF4B-2DCB734C62D3}"/>
    <w:embedItalic r:id="rId6" w:fontKey="{6636C340-A26A-4924-BF26-952FB51CD862}"/>
  </w:font>
  <w:font w:name="Open Sans">
    <w:charset w:val="00"/>
    <w:family w:val="swiss"/>
    <w:pitch w:val="variable"/>
    <w:sig w:usb0="E00002EF" w:usb1="4000205B" w:usb2="00000028" w:usb3="00000000" w:csb0="0000019F" w:csb1="00000000"/>
    <w:embedRegular r:id="rId7" w:fontKey="{C42994C9-A5AD-481A-8342-6792C0984D73}"/>
  </w:font>
  <w:font w:name="Calibri">
    <w:panose1 w:val="020F0502020204030204"/>
    <w:charset w:val="EE"/>
    <w:family w:val="swiss"/>
    <w:pitch w:val="variable"/>
    <w:sig w:usb0="E4002EFF" w:usb1="C000247B" w:usb2="00000009" w:usb3="00000000" w:csb0="000001FF" w:csb1="00000000"/>
    <w:embedRegular r:id="rId8" w:fontKey="{6FA8DC73-AC5D-45F7-9E2D-1A8032C8ACBB}"/>
  </w:font>
  <w:font w:name="Cambria">
    <w:panose1 w:val="02040503050406030204"/>
    <w:charset w:val="EE"/>
    <w:family w:val="roman"/>
    <w:pitch w:val="variable"/>
    <w:sig w:usb0="E00006FF" w:usb1="420024FF" w:usb2="02000000" w:usb3="00000000" w:csb0="0000019F" w:csb1="00000000"/>
    <w:embedRegular r:id="rId9" w:fontKey="{CE263025-FF1D-41C7-9AC8-9CD464CB99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B4821" w14:textId="57709D4A" w:rsidR="00BB322D" w:rsidRDefault="00000000">
    <w:pPr>
      <w:pBdr>
        <w:top w:val="nil"/>
        <w:left w:val="nil"/>
        <w:bottom w:val="nil"/>
        <w:right w:val="nil"/>
        <w:between w:val="nil"/>
      </w:pBdr>
      <w:tabs>
        <w:tab w:val="center" w:pos="4962"/>
        <w:tab w:val="right" w:pos="9270"/>
      </w:tabs>
      <w:spacing w:after="60" w:line="240" w:lineRule="auto"/>
      <w:ind w:left="0" w:hanging="2"/>
      <w:jc w:val="center"/>
      <w:rPr>
        <w:rFonts w:eastAsia="Arial" w:cs="Arial"/>
        <w:color w:val="000000"/>
        <w:sz w:val="16"/>
        <w:szCs w:val="16"/>
      </w:rPr>
    </w:pPr>
    <w:r>
      <w:rPr>
        <w:rFonts w:eastAsia="Arial" w:cs="Arial"/>
        <w:color w:val="000000"/>
        <w:sz w:val="16"/>
        <w:szCs w:val="16"/>
      </w:rPr>
      <w:fldChar w:fldCharType="begin"/>
    </w:r>
    <w:r>
      <w:rPr>
        <w:rFonts w:eastAsia="Arial" w:cs="Arial"/>
        <w:color w:val="000000"/>
        <w:sz w:val="16"/>
        <w:szCs w:val="16"/>
      </w:rPr>
      <w:instrText>PAGE</w:instrText>
    </w:r>
    <w:r>
      <w:rPr>
        <w:rFonts w:eastAsia="Arial" w:cs="Arial"/>
        <w:color w:val="000000"/>
        <w:sz w:val="16"/>
        <w:szCs w:val="16"/>
      </w:rPr>
      <w:fldChar w:fldCharType="separate"/>
    </w:r>
    <w:r w:rsidR="003D280C">
      <w:rPr>
        <w:rFonts w:eastAsia="Arial" w:cs="Arial"/>
        <w:noProof/>
        <w:color w:val="000000"/>
        <w:sz w:val="16"/>
        <w:szCs w:val="16"/>
      </w:rPr>
      <w:t>1</w:t>
    </w:r>
    <w:r>
      <w:rPr>
        <w:rFonts w:eastAsia="Arial" w:cs="Arial"/>
        <w:color w:val="000000"/>
        <w:sz w:val="16"/>
        <w:szCs w:val="16"/>
      </w:rPr>
      <w:fldChar w:fldCharType="end"/>
    </w:r>
    <w:r>
      <w:rPr>
        <w:rFonts w:eastAsia="Arial" w:cs="Arial"/>
        <w:color w:val="000000"/>
        <w:sz w:val="16"/>
        <w:szCs w:val="16"/>
      </w:rPr>
      <w:t>/</w:t>
    </w:r>
    <w:r>
      <w:rPr>
        <w:rFonts w:eastAsia="Arial" w:cs="Arial"/>
        <w:color w:val="000000"/>
        <w:sz w:val="16"/>
        <w:szCs w:val="16"/>
      </w:rPr>
      <w:fldChar w:fldCharType="begin"/>
    </w:r>
    <w:r>
      <w:rPr>
        <w:rFonts w:eastAsia="Arial" w:cs="Arial"/>
        <w:color w:val="000000"/>
        <w:sz w:val="16"/>
        <w:szCs w:val="16"/>
      </w:rPr>
      <w:instrText>NUMPAGES</w:instrText>
    </w:r>
    <w:r>
      <w:rPr>
        <w:rFonts w:eastAsia="Arial" w:cs="Arial"/>
        <w:color w:val="000000"/>
        <w:sz w:val="16"/>
        <w:szCs w:val="16"/>
      </w:rPr>
      <w:fldChar w:fldCharType="separate"/>
    </w:r>
    <w:r w:rsidR="003D280C">
      <w:rPr>
        <w:rFonts w:eastAsia="Arial" w:cs="Arial"/>
        <w:noProof/>
        <w:color w:val="000000"/>
        <w:sz w:val="16"/>
        <w:szCs w:val="16"/>
      </w:rPr>
      <w:t>2</w:t>
    </w:r>
    <w:r>
      <w:rPr>
        <w:rFonts w:eastAsia="Arial" w:cs="Arial"/>
        <w:color w:val="000000"/>
        <w:sz w:val="16"/>
        <w:szCs w:val="16"/>
      </w:rPr>
      <w:fldChar w:fldCharType="end"/>
    </w:r>
  </w:p>
  <w:p w14:paraId="056B4822" w14:textId="77777777" w:rsidR="00BB322D" w:rsidRDefault="00000000">
    <w:pPr>
      <w:pBdr>
        <w:top w:val="nil"/>
        <w:left w:val="nil"/>
        <w:bottom w:val="nil"/>
        <w:right w:val="nil"/>
        <w:between w:val="nil"/>
      </w:pBdr>
      <w:tabs>
        <w:tab w:val="center" w:pos="4962"/>
        <w:tab w:val="right" w:pos="9270"/>
      </w:tabs>
      <w:spacing w:line="240" w:lineRule="auto"/>
      <w:jc w:val="center"/>
      <w:rPr>
        <w:rFonts w:eastAsia="Arial" w:cs="Arial"/>
        <w:color w:val="000000"/>
        <w:sz w:val="10"/>
        <w:szCs w:val="10"/>
      </w:rPr>
    </w:pPr>
    <w:r>
      <w:rPr>
        <w:rFonts w:eastAsia="Arial" w:cs="Arial"/>
        <w:color w:val="000000"/>
        <w:sz w:val="10"/>
        <w:szCs w:val="10"/>
      </w:rPr>
      <w:t>TS – o propagaci_finanční plnění</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45C97" w14:textId="77777777" w:rsidR="00D15C7F" w:rsidRDefault="00D15C7F">
      <w:pPr>
        <w:spacing w:line="240" w:lineRule="auto"/>
        <w:ind w:left="0" w:hanging="2"/>
      </w:pPr>
      <w:r>
        <w:separator/>
      </w:r>
    </w:p>
  </w:footnote>
  <w:footnote w:type="continuationSeparator" w:id="0">
    <w:p w14:paraId="16C7E1DD" w14:textId="77777777" w:rsidR="00D15C7F" w:rsidRDefault="00D15C7F">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17B19"/>
    <w:multiLevelType w:val="multilevel"/>
    <w:tmpl w:val="6862E534"/>
    <w:lvl w:ilvl="0">
      <w:start w:val="1"/>
      <w:numFmt w:val="lowerLetter"/>
      <w:lvlText w:val="%1)"/>
      <w:lvlJc w:val="left"/>
      <w:pPr>
        <w:ind w:left="783" w:hanging="357"/>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E657BC9"/>
    <w:multiLevelType w:val="multilevel"/>
    <w:tmpl w:val="51744DCE"/>
    <w:lvl w:ilvl="0">
      <w:start w:val="1"/>
      <w:numFmt w:val="decimal"/>
      <w:lvlText w:val="%1."/>
      <w:lvlJc w:val="left"/>
      <w:pPr>
        <w:ind w:left="357" w:hanging="35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C5F3056"/>
    <w:multiLevelType w:val="multilevel"/>
    <w:tmpl w:val="020252E6"/>
    <w:lvl w:ilvl="0">
      <w:start w:val="1"/>
      <w:numFmt w:val="decimal"/>
      <w:lvlText w:val="%1."/>
      <w:lvlJc w:val="left"/>
      <w:pPr>
        <w:ind w:left="357" w:hanging="35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4268489A"/>
    <w:multiLevelType w:val="multilevel"/>
    <w:tmpl w:val="E4C4BB6A"/>
    <w:lvl w:ilvl="0">
      <w:start w:val="1"/>
      <w:numFmt w:val="lowerLetter"/>
      <w:lvlText w:val="%1)"/>
      <w:lvlJc w:val="left"/>
      <w:pPr>
        <w:ind w:left="714" w:hanging="357"/>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2AC52AE"/>
    <w:multiLevelType w:val="multilevel"/>
    <w:tmpl w:val="24BE056A"/>
    <w:lvl w:ilvl="0">
      <w:start w:val="1"/>
      <w:numFmt w:val="decimal"/>
      <w:lvlText w:val="%1."/>
      <w:lvlJc w:val="left"/>
      <w:pPr>
        <w:ind w:left="357" w:hanging="35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44D6726"/>
    <w:multiLevelType w:val="multilevel"/>
    <w:tmpl w:val="D2FA6258"/>
    <w:lvl w:ilvl="0">
      <w:start w:val="1"/>
      <w:numFmt w:val="decimal"/>
      <w:lvlText w:val="%1."/>
      <w:lvlJc w:val="left"/>
      <w:pPr>
        <w:ind w:left="357" w:hanging="35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1DC0675"/>
    <w:multiLevelType w:val="multilevel"/>
    <w:tmpl w:val="E160A4F2"/>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7" w15:restartNumberingAfterBreak="0">
    <w:nsid w:val="64A43B1B"/>
    <w:multiLevelType w:val="multilevel"/>
    <w:tmpl w:val="50728214"/>
    <w:lvl w:ilvl="0">
      <w:start w:val="1"/>
      <w:numFmt w:val="decimal"/>
      <w:lvlText w:val="%1."/>
      <w:lvlJc w:val="left"/>
      <w:pPr>
        <w:ind w:left="357" w:hanging="357"/>
      </w:pPr>
      <w:rPr>
        <w:vertAlign w:val="baseline"/>
      </w:rPr>
    </w:lvl>
    <w:lvl w:ilvl="1">
      <w:start w:val="1"/>
      <w:numFmt w:val="lowerLetter"/>
      <w:lvlText w:val="%2."/>
      <w:lvlJc w:val="left"/>
      <w:pPr>
        <w:ind w:left="644" w:hanging="359"/>
      </w:pPr>
      <w:rPr>
        <w:vertAlign w:val="baseline"/>
      </w:rPr>
    </w:lvl>
    <w:lvl w:ilvl="2">
      <w:start w:val="1"/>
      <w:numFmt w:val="lowerRoman"/>
      <w:lvlText w:val="%3."/>
      <w:lvlJc w:val="right"/>
      <w:pPr>
        <w:ind w:left="89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779609FD"/>
    <w:multiLevelType w:val="multilevel"/>
    <w:tmpl w:val="D67A834C"/>
    <w:lvl w:ilvl="0">
      <w:start w:val="1"/>
      <w:numFmt w:val="decimal"/>
      <w:lvlText w:val="%1."/>
      <w:lvlJc w:val="left"/>
      <w:pPr>
        <w:ind w:left="357" w:hanging="35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799A4AEC"/>
    <w:multiLevelType w:val="multilevel"/>
    <w:tmpl w:val="F08A606E"/>
    <w:lvl w:ilvl="0">
      <w:start w:val="1"/>
      <w:numFmt w:val="decimal"/>
      <w:lvlText w:val="%1."/>
      <w:lvlJc w:val="left"/>
      <w:pPr>
        <w:ind w:left="357" w:hanging="35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C5F16EC"/>
    <w:multiLevelType w:val="multilevel"/>
    <w:tmpl w:val="371235F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1" w15:restartNumberingAfterBreak="0">
    <w:nsid w:val="7FA23CAD"/>
    <w:multiLevelType w:val="multilevel"/>
    <w:tmpl w:val="F84AEE64"/>
    <w:lvl w:ilvl="0">
      <w:start w:val="1"/>
      <w:numFmt w:val="decimal"/>
      <w:lvlText w:val="%1."/>
      <w:lvlJc w:val="left"/>
      <w:pPr>
        <w:ind w:left="357" w:hanging="357"/>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73805246">
    <w:abstractNumId w:val="11"/>
  </w:num>
  <w:num w:numId="2" w16cid:durableId="1537157831">
    <w:abstractNumId w:val="5"/>
  </w:num>
  <w:num w:numId="3" w16cid:durableId="413432689">
    <w:abstractNumId w:val="10"/>
  </w:num>
  <w:num w:numId="4" w16cid:durableId="26949770">
    <w:abstractNumId w:val="6"/>
  </w:num>
  <w:num w:numId="5" w16cid:durableId="412817498">
    <w:abstractNumId w:val="4"/>
  </w:num>
  <w:num w:numId="6" w16cid:durableId="51278317">
    <w:abstractNumId w:val="7"/>
  </w:num>
  <w:num w:numId="7" w16cid:durableId="1080298491">
    <w:abstractNumId w:val="0"/>
  </w:num>
  <w:num w:numId="8" w16cid:durableId="943462235">
    <w:abstractNumId w:val="9"/>
  </w:num>
  <w:num w:numId="9" w16cid:durableId="369115923">
    <w:abstractNumId w:val="2"/>
  </w:num>
  <w:num w:numId="10" w16cid:durableId="907569102">
    <w:abstractNumId w:val="8"/>
  </w:num>
  <w:num w:numId="11" w16cid:durableId="368923141">
    <w:abstractNumId w:val="1"/>
  </w:num>
  <w:num w:numId="12" w16cid:durableId="670373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22D"/>
    <w:rsid w:val="003A0DA9"/>
    <w:rsid w:val="003D280C"/>
    <w:rsid w:val="00B204C0"/>
    <w:rsid w:val="00BB322D"/>
    <w:rsid w:val="00D15C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B4785"/>
  <w15:docId w15:val="{B9566E1D-5E23-44CC-85E4-232FF2D1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spacing w:line="1" w:lineRule="atLeast"/>
      <w:ind w:leftChars="-1" w:left="-1" w:hangingChars="1" w:hanging="1"/>
      <w:textDirection w:val="btLr"/>
      <w:textAlignment w:val="top"/>
      <w:outlineLvl w:val="0"/>
    </w:pPr>
    <w:rPr>
      <w:rFonts w:ascii="Arial" w:hAnsi="Arial"/>
      <w:position w:val="-1"/>
      <w:sz w:val="18"/>
      <w:szCs w:val="18"/>
      <w:lang w:eastAsia="en-US"/>
    </w:rPr>
  </w:style>
  <w:style w:type="paragraph" w:styleId="Nadpis1">
    <w:name w:val="heading 1"/>
    <w:basedOn w:val="Normln"/>
    <w:next w:val="Normln"/>
    <w:uiPriority w:val="9"/>
    <w:qFormat/>
    <w:pPr>
      <w:keepNext/>
      <w:spacing w:before="240" w:after="60"/>
    </w:pPr>
    <w:rPr>
      <w:b/>
      <w:kern w:val="28"/>
      <w:sz w:val="28"/>
    </w:rPr>
  </w:style>
  <w:style w:type="paragraph" w:styleId="Nadpis2">
    <w:name w:val="heading 2"/>
    <w:basedOn w:val="Normln"/>
    <w:next w:val="Normln"/>
    <w:uiPriority w:val="9"/>
    <w:semiHidden/>
    <w:unhideWhenUsed/>
    <w:qFormat/>
    <w:pPr>
      <w:keepNext/>
      <w:spacing w:before="240" w:after="60"/>
      <w:outlineLvl w:val="1"/>
    </w:pPr>
    <w:rPr>
      <w:b/>
      <w:i/>
    </w:rPr>
  </w:style>
  <w:style w:type="paragraph" w:styleId="Nadpis3">
    <w:name w:val="heading 3"/>
    <w:basedOn w:val="Normln"/>
    <w:next w:val="Normln"/>
    <w:uiPriority w:val="9"/>
    <w:semiHidden/>
    <w:unhideWhenUsed/>
    <w:qFormat/>
    <w:pPr>
      <w:keepNext/>
      <w:spacing w:before="240" w:after="60"/>
      <w:outlineLvl w:val="2"/>
    </w:pPr>
    <w:rPr>
      <w:b/>
    </w:rPr>
  </w:style>
  <w:style w:type="paragraph" w:styleId="Nadpis4">
    <w:name w:val="heading 4"/>
    <w:basedOn w:val="Normln"/>
    <w:next w:val="Normln"/>
    <w:uiPriority w:val="9"/>
    <w:semiHidden/>
    <w:unhideWhenUsed/>
    <w:qFormat/>
    <w:pPr>
      <w:keepNext/>
      <w:spacing w:before="240" w:after="60"/>
      <w:outlineLvl w:val="3"/>
    </w:pPr>
    <w:rPr>
      <w:i/>
    </w:rPr>
  </w:style>
  <w:style w:type="paragraph" w:styleId="Nadpis5">
    <w:name w:val="heading 5"/>
    <w:basedOn w:val="Normln"/>
    <w:next w:val="Normln"/>
    <w:uiPriority w:val="9"/>
    <w:semiHidden/>
    <w:unhideWhenUsed/>
    <w:qFormat/>
    <w:pPr>
      <w:keepNext/>
      <w:tabs>
        <w:tab w:val="left" w:pos="1985"/>
      </w:tabs>
      <w:outlineLvl w:val="4"/>
    </w:pPr>
    <w:rPr>
      <w:rFonts w:ascii="Garamond" w:hAnsi="Garamond"/>
      <w:sz w:val="24"/>
    </w:rPr>
  </w:style>
  <w:style w:type="paragraph" w:styleId="Nadpis6">
    <w:name w:val="heading 6"/>
    <w:basedOn w:val="Normln"/>
    <w:next w:val="Normln"/>
    <w:uiPriority w:val="9"/>
    <w:semiHidden/>
    <w:unhideWhenUsed/>
    <w:qFormat/>
    <w:pPr>
      <w:keepNext/>
      <w:jc w:val="both"/>
      <w:outlineLvl w:val="5"/>
    </w:pPr>
    <w:rPr>
      <w:rFonts w:ascii="Garamond" w:hAnsi="Garamond"/>
      <w:sz w:val="24"/>
    </w:rPr>
  </w:style>
  <w:style w:type="paragraph" w:styleId="Nadpis7">
    <w:name w:val="heading 7"/>
    <w:basedOn w:val="Normln"/>
    <w:next w:val="Normln"/>
    <w:pPr>
      <w:keepNext/>
      <w:jc w:val="center"/>
      <w:outlineLvl w:val="6"/>
    </w:pPr>
    <w:rPr>
      <w:rFonts w:ascii="Garamond" w:hAnsi="Garamond"/>
      <w:b/>
      <w:bCs/>
      <w:sz w:val="24"/>
    </w:rPr>
  </w:style>
  <w:style w:type="paragraph" w:styleId="Nadpis8">
    <w:name w:val="heading 8"/>
    <w:basedOn w:val="Normln"/>
    <w:next w:val="Normln"/>
    <w:pPr>
      <w:keepNext/>
      <w:tabs>
        <w:tab w:val="num" w:pos="426"/>
      </w:tabs>
      <w:ind w:left="357"/>
      <w:jc w:val="center"/>
      <w:outlineLvl w:val="7"/>
    </w:pPr>
    <w:rPr>
      <w:rFonts w:ascii="Garamond" w:hAnsi="Garamond"/>
      <w:b/>
      <w:bCs/>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uiPriority w:val="10"/>
    <w:qFormat/>
    <w:pPr>
      <w:jc w:val="center"/>
    </w:pPr>
    <w:rPr>
      <w:rFonts w:ascii="Garamond" w:hAnsi="Garamond"/>
      <w:b/>
      <w:bCs/>
      <w:sz w:val="32"/>
    </w:rPr>
  </w:style>
  <w:style w:type="paragraph" w:styleId="Zhlav">
    <w:name w:val="header"/>
    <w:basedOn w:val="Normln"/>
  </w:style>
  <w:style w:type="paragraph" w:styleId="Zpat">
    <w:name w:val="footer"/>
    <w:basedOn w:val="Normln"/>
  </w:style>
  <w:style w:type="character" w:styleId="slostrnky">
    <w:name w:val="page number"/>
    <w:rPr>
      <w:w w:val="100"/>
      <w:position w:val="-1"/>
      <w:sz w:val="16"/>
      <w:effect w:val="none"/>
      <w:vertAlign w:val="baseline"/>
      <w:cs w:val="0"/>
      <w:em w:val="none"/>
    </w:rPr>
  </w:style>
  <w:style w:type="character" w:customStyle="1" w:styleId="Nadpis5Char">
    <w:name w:val="Nadpis 5 Char"/>
    <w:rPr>
      <w:rFonts w:ascii="Garamond" w:hAnsi="Garamond"/>
      <w:w w:val="100"/>
      <w:position w:val="-1"/>
      <w:sz w:val="24"/>
      <w:szCs w:val="18"/>
      <w:effect w:val="none"/>
      <w:vertAlign w:val="baseline"/>
      <w:cs w:val="0"/>
      <w:em w:val="none"/>
      <w:lang w:eastAsia="en-US"/>
    </w:rPr>
  </w:style>
  <w:style w:type="character" w:customStyle="1" w:styleId="Nadpis6Char">
    <w:name w:val="Nadpis 6 Char"/>
    <w:rPr>
      <w:rFonts w:ascii="Garamond" w:hAnsi="Garamond"/>
      <w:w w:val="100"/>
      <w:position w:val="-1"/>
      <w:sz w:val="24"/>
      <w:szCs w:val="18"/>
      <w:effect w:val="none"/>
      <w:vertAlign w:val="baseline"/>
      <w:cs w:val="0"/>
      <w:em w:val="none"/>
      <w:lang w:eastAsia="en-US"/>
    </w:rPr>
  </w:style>
  <w:style w:type="character" w:customStyle="1" w:styleId="Nadpis7Char">
    <w:name w:val="Nadpis 7 Char"/>
    <w:rPr>
      <w:rFonts w:ascii="Garamond" w:hAnsi="Garamond"/>
      <w:b/>
      <w:bCs/>
      <w:w w:val="100"/>
      <w:position w:val="-1"/>
      <w:sz w:val="24"/>
      <w:szCs w:val="18"/>
      <w:effect w:val="none"/>
      <w:vertAlign w:val="baseline"/>
      <w:cs w:val="0"/>
      <w:em w:val="none"/>
      <w:lang w:eastAsia="en-US"/>
    </w:rPr>
  </w:style>
  <w:style w:type="character" w:customStyle="1" w:styleId="Nadpis8Char">
    <w:name w:val="Nadpis 8 Char"/>
    <w:rPr>
      <w:rFonts w:ascii="Garamond" w:hAnsi="Garamond"/>
      <w:b/>
      <w:bCs/>
      <w:w w:val="100"/>
      <w:position w:val="-1"/>
      <w:sz w:val="24"/>
      <w:szCs w:val="18"/>
      <w:effect w:val="none"/>
      <w:vertAlign w:val="baseline"/>
      <w:cs w:val="0"/>
      <w:em w:val="none"/>
      <w:lang w:eastAsia="en-US"/>
    </w:rPr>
  </w:style>
  <w:style w:type="character" w:customStyle="1" w:styleId="NzevChar">
    <w:name w:val="Název Char"/>
    <w:rPr>
      <w:rFonts w:ascii="Garamond" w:hAnsi="Garamond"/>
      <w:b/>
      <w:bCs/>
      <w:w w:val="100"/>
      <w:position w:val="-1"/>
      <w:sz w:val="32"/>
      <w:szCs w:val="18"/>
      <w:effect w:val="none"/>
      <w:vertAlign w:val="baseline"/>
      <w:cs w:val="0"/>
      <w:em w:val="none"/>
      <w:lang w:eastAsia="en-US"/>
    </w:rPr>
  </w:style>
  <w:style w:type="paragraph" w:styleId="Zkladntext">
    <w:name w:val="Body Text"/>
    <w:basedOn w:val="Normln"/>
    <w:pPr>
      <w:jc w:val="both"/>
    </w:pPr>
    <w:rPr>
      <w:rFonts w:ascii="Times New Roman" w:hAnsi="Times New Roman"/>
      <w:sz w:val="24"/>
      <w:szCs w:val="20"/>
    </w:rPr>
  </w:style>
  <w:style w:type="character" w:customStyle="1" w:styleId="ZkladntextChar">
    <w:name w:val="Základní text Char"/>
    <w:rPr>
      <w:w w:val="100"/>
      <w:position w:val="-1"/>
      <w:sz w:val="24"/>
      <w:effect w:val="none"/>
      <w:vertAlign w:val="baseline"/>
      <w:cs w:val="0"/>
      <w:em w:val="none"/>
      <w:lang w:eastAsia="en-US"/>
    </w:rPr>
  </w:style>
  <w:style w:type="paragraph" w:styleId="Zkladntextodsazen2">
    <w:name w:val="Body Text Indent 2"/>
    <w:basedOn w:val="Normln"/>
    <w:pPr>
      <w:ind w:left="720" w:hanging="720"/>
      <w:jc w:val="both"/>
    </w:pPr>
    <w:rPr>
      <w:rFonts w:ascii="Times New Roman" w:hAnsi="Times New Roman"/>
      <w:sz w:val="24"/>
      <w:szCs w:val="20"/>
    </w:rPr>
  </w:style>
  <w:style w:type="character" w:customStyle="1" w:styleId="Zkladntextodsazen2Char">
    <w:name w:val="Základní text odsazený 2 Char"/>
    <w:rPr>
      <w:w w:val="100"/>
      <w:position w:val="-1"/>
      <w:sz w:val="24"/>
      <w:effect w:val="none"/>
      <w:vertAlign w:val="baseline"/>
      <w:cs w:val="0"/>
      <w:em w:val="none"/>
      <w:lang w:eastAsia="en-US"/>
    </w:rPr>
  </w:style>
  <w:style w:type="paragraph" w:styleId="Zkladntextodsazen">
    <w:name w:val="Body Text Indent"/>
    <w:basedOn w:val="Normln"/>
    <w:pPr>
      <w:ind w:left="720" w:hanging="720"/>
    </w:pPr>
    <w:rPr>
      <w:rFonts w:ascii="Garamond" w:hAnsi="Garamond"/>
      <w:sz w:val="24"/>
    </w:rPr>
  </w:style>
  <w:style w:type="character" w:customStyle="1" w:styleId="ZkladntextodsazenChar">
    <w:name w:val="Základní text odsazený Char"/>
    <w:rPr>
      <w:rFonts w:ascii="Garamond" w:hAnsi="Garamond"/>
      <w:w w:val="100"/>
      <w:position w:val="-1"/>
      <w:sz w:val="24"/>
      <w:szCs w:val="18"/>
      <w:effect w:val="none"/>
      <w:vertAlign w:val="baseline"/>
      <w:cs w:val="0"/>
      <w:em w:val="none"/>
      <w:lang w:eastAsia="en-US"/>
    </w:rPr>
  </w:style>
  <w:style w:type="paragraph" w:styleId="Zkladntextodsazen3">
    <w:name w:val="Body Text Indent 3"/>
    <w:basedOn w:val="Normln"/>
    <w:pPr>
      <w:tabs>
        <w:tab w:val="num" w:pos="426"/>
      </w:tabs>
      <w:ind w:left="357"/>
      <w:jc w:val="both"/>
    </w:pPr>
    <w:rPr>
      <w:rFonts w:ascii="Garamond" w:hAnsi="Garamond"/>
      <w:sz w:val="24"/>
    </w:rPr>
  </w:style>
  <w:style w:type="character" w:customStyle="1" w:styleId="Zkladntextodsazen3Char">
    <w:name w:val="Základní text odsazený 3 Char"/>
    <w:rPr>
      <w:rFonts w:ascii="Garamond" w:hAnsi="Garamond"/>
      <w:w w:val="100"/>
      <w:position w:val="-1"/>
      <w:sz w:val="24"/>
      <w:szCs w:val="18"/>
      <w:effect w:val="none"/>
      <w:vertAlign w:val="baseline"/>
      <w:cs w:val="0"/>
      <w:em w:val="none"/>
      <w:lang w:eastAsia="en-US"/>
    </w:rPr>
  </w:style>
  <w:style w:type="paragraph" w:styleId="Zkladntext2">
    <w:name w:val="Body Text 2"/>
    <w:basedOn w:val="Normln"/>
    <w:pPr>
      <w:spacing w:after="120"/>
      <w:jc w:val="center"/>
    </w:pPr>
    <w:rPr>
      <w:rFonts w:cs="Arial"/>
      <w:sz w:val="20"/>
    </w:rPr>
  </w:style>
  <w:style w:type="character" w:customStyle="1" w:styleId="Zkladntext2Char">
    <w:name w:val="Základní text 2 Char"/>
    <w:rPr>
      <w:rFonts w:ascii="Arial" w:hAnsi="Arial" w:cs="Arial"/>
      <w:w w:val="100"/>
      <w:position w:val="-1"/>
      <w:szCs w:val="18"/>
      <w:effect w:val="none"/>
      <w:vertAlign w:val="baseline"/>
      <w:cs w:val="0"/>
      <w:em w:val="none"/>
      <w:lang w:eastAsia="en-US"/>
    </w:rPr>
  </w:style>
  <w:style w:type="character" w:styleId="Odkaznakoment">
    <w:name w:val="annotation reference"/>
    <w:rPr>
      <w:w w:val="100"/>
      <w:position w:val="-1"/>
      <w:sz w:val="16"/>
      <w:szCs w:val="16"/>
      <w:effect w:val="none"/>
      <w:vertAlign w:val="baseline"/>
      <w:cs w:val="0"/>
      <w:em w:val="none"/>
    </w:rPr>
  </w:style>
  <w:style w:type="paragraph" w:styleId="Textkomente">
    <w:name w:val="annotation text"/>
    <w:basedOn w:val="Normln"/>
    <w:rPr>
      <w:sz w:val="20"/>
      <w:szCs w:val="20"/>
    </w:rPr>
  </w:style>
  <w:style w:type="character" w:customStyle="1" w:styleId="TextkomenteChar">
    <w:name w:val="Text komentáře Char"/>
    <w:rPr>
      <w:rFonts w:ascii="Arial" w:hAnsi="Arial"/>
      <w:w w:val="100"/>
      <w:position w:val="-1"/>
      <w:effect w:val="none"/>
      <w:vertAlign w:val="baseline"/>
      <w:cs w:val="0"/>
      <w:em w:val="none"/>
      <w:lang w:eastAsia="en-US"/>
    </w:rPr>
  </w:style>
  <w:style w:type="character" w:customStyle="1" w:styleId="Nadpis2Char">
    <w:name w:val="Nadpis 2 Char"/>
    <w:rPr>
      <w:rFonts w:ascii="Arial" w:hAnsi="Arial"/>
      <w:b/>
      <w:i/>
      <w:w w:val="100"/>
      <w:position w:val="-1"/>
      <w:sz w:val="18"/>
      <w:szCs w:val="18"/>
      <w:effect w:val="none"/>
      <w:vertAlign w:val="baseline"/>
      <w:cs w:val="0"/>
      <w:em w:val="none"/>
      <w:lang w:eastAsia="en-US"/>
    </w:rPr>
  </w:style>
  <w:style w:type="paragraph" w:styleId="Textbubliny">
    <w:name w:val="Balloon Text"/>
    <w:basedOn w:val="Normln"/>
    <w:qFormat/>
    <w:rPr>
      <w:rFonts w:ascii="Tahoma" w:hAnsi="Tahoma" w:cs="Tahoma"/>
      <w:sz w:val="16"/>
      <w:szCs w:val="16"/>
    </w:rPr>
  </w:style>
  <w:style w:type="character" w:customStyle="1" w:styleId="TextbublinyChar">
    <w:name w:val="Text bubliny Char"/>
    <w:rPr>
      <w:rFonts w:ascii="Tahoma" w:hAnsi="Tahoma" w:cs="Tahoma"/>
      <w:w w:val="100"/>
      <w:position w:val="-1"/>
      <w:sz w:val="16"/>
      <w:szCs w:val="16"/>
      <w:effect w:val="none"/>
      <w:vertAlign w:val="baseline"/>
      <w:cs w:val="0"/>
      <w:em w:val="none"/>
      <w:lang w:eastAsia="en-US"/>
    </w:rPr>
  </w:style>
  <w:style w:type="paragraph" w:styleId="Pedmtkomente">
    <w:name w:val="annotation subject"/>
    <w:basedOn w:val="Textkomente"/>
    <w:next w:val="Textkomente"/>
    <w:qFormat/>
    <w:rPr>
      <w:b/>
      <w:bCs/>
    </w:rPr>
  </w:style>
  <w:style w:type="character" w:customStyle="1" w:styleId="PedmtkomenteChar">
    <w:name w:val="Předmět komentáře Char"/>
    <w:rPr>
      <w:rFonts w:ascii="Arial" w:hAnsi="Arial"/>
      <w:b/>
      <w:bCs/>
      <w:w w:val="100"/>
      <w:position w:val="-1"/>
      <w:effect w:val="none"/>
      <w:vertAlign w:val="baseline"/>
      <w:cs w:val="0"/>
      <w:em w:val="none"/>
      <w:lang w:eastAsia="en-US"/>
    </w:rPr>
  </w:style>
  <w:style w:type="paragraph" w:customStyle="1" w:styleId="Odstavec">
    <w:name w:val="Odstavec"/>
    <w:basedOn w:val="Normln"/>
    <w:pPr>
      <w:widowControl w:val="0"/>
      <w:ind w:left="540" w:hanging="540"/>
      <w:jc w:val="both"/>
    </w:pPr>
    <w:rPr>
      <w:sz w:val="20"/>
      <w:szCs w:val="20"/>
    </w:rPr>
  </w:style>
  <w:style w:type="paragraph" w:styleId="Podnadpis">
    <w:name w:val="Subtitle"/>
    <w:basedOn w:val="Normln"/>
    <w:uiPriority w:val="11"/>
    <w:qFormat/>
    <w:pPr>
      <w:keepNext/>
      <w:keepLines/>
      <w:spacing w:before="360" w:after="80"/>
    </w:pPr>
    <w:rPr>
      <w:rFonts w:ascii="Georgia" w:eastAsia="Georgia" w:hAnsi="Georgia" w:cs="Georgia"/>
      <w:i/>
      <w:color w:val="666666"/>
      <w:sz w:val="48"/>
      <w:szCs w:val="48"/>
    </w:rPr>
  </w:style>
  <w:style w:type="character" w:customStyle="1" w:styleId="PodnadpisChar">
    <w:name w:val="Podnadpis Char"/>
    <w:rPr>
      <w:b/>
      <w:w w:val="100"/>
      <w:position w:val="-1"/>
      <w:u w:val="single"/>
      <w:effect w:val="none"/>
      <w:vertAlign w:val="baseline"/>
      <w:cs w:val="0"/>
      <w:em w:val="none"/>
    </w:rPr>
  </w:style>
  <w:style w:type="character" w:styleId="Zdraznn">
    <w:name w:val="Emphasis"/>
    <w:rPr>
      <w:i/>
      <w:iCs/>
      <w:w w:val="100"/>
      <w:position w:val="-1"/>
      <w:effect w:val="none"/>
      <w:vertAlign w:val="baseline"/>
      <w:cs w:val="0"/>
      <w:em w:val="none"/>
    </w:rPr>
  </w:style>
  <w:style w:type="paragraph" w:styleId="Odstavecseseznamem">
    <w:name w:val="List Paragraph"/>
    <w:basedOn w:val="Normln"/>
    <w:pPr>
      <w:ind w:left="720"/>
      <w:contextualSpacing/>
    </w:pPr>
    <w:rPr>
      <w:rFonts w:ascii="Times New Roman" w:hAnsi="Times New Roman"/>
      <w:sz w:val="24"/>
      <w:szCs w:val="24"/>
      <w:lang w:eastAsia="cs-CZ"/>
    </w:rPr>
  </w:style>
  <w:style w:type="character" w:styleId="Hypertextovodkaz">
    <w:name w:val="Hyperlink"/>
    <w:qFormat/>
    <w:rPr>
      <w:color w:val="0563C1"/>
      <w:w w:val="100"/>
      <w:position w:val="-1"/>
      <w:u w:val="single"/>
      <w:effect w:val="none"/>
      <w:vertAlign w:val="baseline"/>
      <w:cs w:val="0"/>
      <w:em w:val="none"/>
    </w:rPr>
  </w:style>
  <w:style w:type="character" w:styleId="Nevyeenzmnka">
    <w:name w:val="Unresolved Mention"/>
    <w:qFormat/>
    <w:rPr>
      <w:color w:val="605E5C"/>
      <w:w w:val="100"/>
      <w:position w:val="-1"/>
      <w:effect w:val="none"/>
      <w:shd w:val="clear" w:color="auto" w:fill="E1DFDD"/>
      <w:vertAlign w:val="baseline"/>
      <w:cs w:val="0"/>
      <w:em w:val="none"/>
    </w:rPr>
  </w:style>
  <w:style w:type="paragraph" w:styleId="Normlnweb">
    <w:name w:val="Normal (Web)"/>
    <w:basedOn w:val="Normln"/>
    <w:qFormat/>
    <w:pPr>
      <w:spacing w:before="100" w:beforeAutospacing="1" w:after="100" w:afterAutospacing="1"/>
    </w:pPr>
    <w:rPr>
      <w:rFonts w:ascii="Times New Roman" w:hAnsi="Times New Roman"/>
      <w:sz w:val="24"/>
      <w:szCs w:val="24"/>
      <w:lang w:eastAsia="cs-CZ"/>
    </w:rPr>
  </w:style>
  <w:style w:type="paragraph" w:styleId="Revize">
    <w:name w:val="Revision"/>
    <w:pPr>
      <w:suppressAutoHyphens/>
      <w:spacing w:line="1" w:lineRule="atLeast"/>
      <w:ind w:leftChars="-1" w:left="-1" w:hangingChars="1" w:hanging="1"/>
      <w:textDirection w:val="btLr"/>
      <w:textAlignment w:val="top"/>
      <w:outlineLvl w:val="0"/>
    </w:pPr>
    <w:rPr>
      <w:rFonts w:ascii="Arial" w:hAnsi="Arial"/>
      <w:position w:val="-1"/>
      <w:sz w:val="18"/>
      <w:szCs w:val="18"/>
      <w:lang w:eastAsia="en-US"/>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brand-design.telekom.com/account/login/?redirect_url=%2Fen%2F" TargetMode="External"/><Relationship Id="rId13" Type="http://schemas.openxmlformats.org/officeDocument/2006/relationships/hyperlink" Target="mailto:lucie.kopecka@smetanovalitomysl.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n.prusa@smetanovalitomysl.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podatelna@t-mobile.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zuzana.netolicka@t-mobile.cz" TargetMode="External"/><Relationship Id="rId4" Type="http://schemas.openxmlformats.org/officeDocument/2006/relationships/settings" Target="settings.xml"/><Relationship Id="rId9" Type="http://schemas.openxmlformats.org/officeDocument/2006/relationships/hyperlink" Target="https://www.t-mobile.cz/oddeleni-nakup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doIVf9/sqwq404umhCU2qJsZvQ==">CgMxLjAyCWlkLmdqZGd4czIJaC4zMGowemxsMgloLjFmb2I5dGUyCWguM3pueXNoNzIJaC4yZXQ5MnAwMghoLnR5amN3dDIJaC4zZHk2dmttMgloLjF0M2g1c2YyCWguNGQzNG9nODIJaC4yczhleW8xMgloLjE3ZHA4dnU4AGpMCjVzdWdnZXN0SWRJbXBvcnQ3YTI1MzJmZi03YTNhLTRlOTktOGY1My01ODA5NzhlMTVjMTZfMRITS29sYcWZw61rb3bDoSBMZW5rYXIhMXdPOFJIR3JwSHh0UklTZWlJME1YMHhfS3pyaktfQS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3537</Words>
  <Characters>20873</Characters>
  <Application>Microsoft Office Word</Application>
  <DocSecurity>0</DocSecurity>
  <Lines>173</Lines>
  <Paragraphs>48</Paragraphs>
  <ScaleCrop>false</ScaleCrop>
  <Company/>
  <LinksUpToDate>false</LinksUpToDate>
  <CharactersWithSpaces>24362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TMCZ</dc:creator>
  <cp:lastModifiedBy>Jana Flachová</cp:lastModifiedBy>
  <cp:revision>3</cp:revision>
  <dcterms:created xsi:type="dcterms:W3CDTF">2024-05-03T12:37:00Z</dcterms:created>
  <dcterms:modified xsi:type="dcterms:W3CDTF">2024-06-10T19:58:00Z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idat_nepovinneho_pripomienkovatela">
    <vt:lpwstr/>
  </property>
  <property fmtid="{D5CDD505-2E9C-101B-9397-08002B2CF9AE}" pid="3" name="WorkflowChangePath">
    <vt:lpwstr>2e073570-5611-4c68-bb81-a744e7781ecf,3;2e073570-5611-4c68-bb81-a744e7781ecf,4;</vt:lpwstr>
  </property>
  <property fmtid="{D5CDD505-2E9C-101B-9397-08002B2CF9AE}" pid="4" name="predlzit_existujuce_pripomienkovanie">
    <vt:lpwstr>0</vt:lpwstr>
  </property>
  <property fmtid="{D5CDD505-2E9C-101B-9397-08002B2CF9AE}" pid="5" name="MSIP_Label_e3e41b38-373c-4b3a-9137-5c0b023d0bef_Enabled">
    <vt:lpwstr>true</vt:lpwstr>
  </property>
  <property fmtid="{D5CDD505-2E9C-101B-9397-08002B2CF9AE}" pid="6" name="MSIP_Label_e3e41b38-373c-4b3a-9137-5c0b023d0bef_SetDate">
    <vt:lpwstr>2022-03-18T10:38:40Z</vt:lpwstr>
  </property>
  <property fmtid="{D5CDD505-2E9C-101B-9397-08002B2CF9AE}" pid="7" name="MSIP_Label_e3e41b38-373c-4b3a-9137-5c0b023d0bef_Method">
    <vt:lpwstr>Standard</vt:lpwstr>
  </property>
  <property fmtid="{D5CDD505-2E9C-101B-9397-08002B2CF9AE}" pid="8" name="MSIP_Label_e3e41b38-373c-4b3a-9137-5c0b023d0bef_Name">
    <vt:lpwstr>C2-Internal</vt:lpwstr>
  </property>
  <property fmtid="{D5CDD505-2E9C-101B-9397-08002B2CF9AE}" pid="9" name="MSIP_Label_e3e41b38-373c-4b3a-9137-5c0b023d0bef_SiteId">
    <vt:lpwstr>b213b057-1008-4204-8c53-8147bc602a29</vt:lpwstr>
  </property>
  <property fmtid="{D5CDD505-2E9C-101B-9397-08002B2CF9AE}" pid="10" name="MSIP_Label_e3e41b38-373c-4b3a-9137-5c0b023d0bef_ActionId">
    <vt:lpwstr>aeb088fd-6959-405d-9ce2-a91bfc148474</vt:lpwstr>
  </property>
  <property fmtid="{D5CDD505-2E9C-101B-9397-08002B2CF9AE}" pid="11" name="MSIP_Label_e3e41b38-373c-4b3a-9137-5c0b023d0bef_ContentBits">
    <vt:lpwstr>0</vt:lpwstr>
  </property>
</Properties>
</file>