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2256"/>
        <w:gridCol w:w="6528"/>
      </w:tblGrid>
      <w:tr>
        <w:trPr>
          <w:trHeight w:val="225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 M L O U V Y O D Í L 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Číslo smlouvy objednatele: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840/2022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smlouvy zhotovitele: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17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díla: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„VT Paličský potok - Dolní Lažany - propustek“ - projektová dokumentace</w:t>
        <w:br/>
        <w:t>(DUSP/DPS)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center"/>
        <w:tblLayout w:type="fixed"/>
      </w:tblPr>
      <w:tblGrid>
        <w:gridCol w:w="2256"/>
        <w:gridCol w:w="6528"/>
      </w:tblGrid>
      <w:tr>
        <w:trPr>
          <w:trHeight w:val="13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 70889988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widowControl w:val="0"/>
        <w:spacing w:after="17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0"/>
      <w:bookmarkEnd w:id="1"/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tbl>
      <w:tblPr>
        <w:tblOverlap w:val="never"/>
        <w:jc w:val="center"/>
        <w:tblLayout w:type="fixed"/>
      </w:tblPr>
      <w:tblGrid>
        <w:gridCol w:w="4142"/>
        <w:gridCol w:w="4987"/>
      </w:tblGrid>
      <w:tr>
        <w:trPr>
          <w:trHeight w:val="14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4" w:name="bookmark4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Zhotovitel: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oprávněn(i) k podpisu smlouvy: oprávněn(i) jednat o věcech smluvních: oprávněn(i) jednat o věcech technických:</w:t>
            </w:r>
            <w:bookmarkEnd w:id="4"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5" w:name="bookmark5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INTERPROJEKT ODPADY, s.r.o.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Heleny Malířové 11, 169 00, Praha 6</w:t>
            </w:r>
            <w:bookmarkEnd w:id="5"/>
          </w:p>
        </w:tc>
      </w:tr>
      <w:tr>
        <w:trPr>
          <w:trHeight w:val="12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6" w:name="bookmark6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  <w:bookmarkEnd w:id="6"/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7" w:name="bookmark7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  <w:bookmarkEnd w:id="7"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26473224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 26473224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v oddíl C, vložka č. 84495, zápis dne 28.9.2001</w:t>
      </w:r>
      <w:bookmarkEnd w:id="3"/>
    </w:p>
    <w:p>
      <w:pPr>
        <w:widowControl w:val="0"/>
        <w:spacing w:after="17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both"/>
      </w:pPr>
      <w:bookmarkStart w:id="10" w:name="bookmark10"/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10"/>
      <w:bookmarkEnd w:id="8"/>
      <w:bookmarkEnd w:id="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zadání, které je vynuceno nesouhlasným stanoviskem vlastníka pozemku s původním záměrem.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I. Předmět smlouvy a předmět díla, Čl. III. Termín plnění, Čl. IV. Cena a Čl. V. Platební podmínky: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SMLOUVY A PŘEDMĚT DÍLA</w:t>
      </w:r>
      <w:bookmarkEnd w:id="11"/>
      <w:bookmarkEnd w:id="12"/>
      <w:bookmarkEnd w:id="1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zakázky je rekonstrukce zatrubněné části Paličského potoka v ř.km 0,050 - 0,170 (v obci Dolní Lažany).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rámci rekonstrukce bude odstraněno stávající zatrubnění (potrubí DN 3x800) a nahrazeno novým opevněním např. konstrukcí rámů Beneš.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Úsek pod silnicí (ř.km cca 0,120 - 0,160) se předpokládá v přímém provedení bez současných zlomů.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zakázky je rekonstrukce zatrubněné části Paličského potoka v ř.km 0,050 - 0,170 (v obci Dolní Lažany).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úseku pod silnicí (ř.km 0,120 - 0,170) bude stávající zatrubnění (potrubí DN 3x800) nahrazeno novým opevněním např. konstrukcí rámů Beneš. Trasa bude napřímena bez současných zlomů.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Profil koryta na pozemku p.č. 43/1 k.ú. Dolní Lažany u Lipové bude umístěn na hranici s pozemkem silnice a bude proveden jako otevřené koryto. Koryto se předpokládá obdélníkové s kapacitou, kterou umožní místní konfigurace terénu.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Úsek pod obecní komunikací (p. č. 571/2) bude řešen mostním objektem. Předpokládá se dvoupolové řešení - 2 x rám Beneš s rozdílnou výškou osazení dna (eliminace zanášení objektu).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6"/>
      <w:bookmarkEnd w:id="17"/>
      <w:bookmarkEnd w:id="18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line="240" w:lineRule="auto"/>
        <w:ind w:left="4980" w:right="0" w:hanging="498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 x tištěné + 1 x elektronicky) po projednání na ZVV: nejpozději do 31.05.2024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05" w:left="1393" w:right="1386" w:bottom="143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line="240" w:lineRule="auto"/>
        <w:ind w:left="4980" w:right="0" w:hanging="49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termín - předání kompletní PD (2 x tištěné + 1 x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17.01.2025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</w:t>
      </w:r>
      <w:bookmarkEnd w:id="25"/>
      <w:bookmarkEnd w:id="26"/>
      <w:bookmarkEnd w:id="2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380" w:right="0" w:hanging="6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 300 000,00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zahrnuje veškeré náklady zhotovitele související s realizací díla,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navyšuje se o 120 000,00 Kč bez DPH a činí celkem: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30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420 000,00 Kč bez DPH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PLATEBNÍ PODMÍNKY</w:t>
      </w:r>
      <w:bookmarkEnd w:id="28"/>
      <w:bookmarkEnd w:id="29"/>
      <w:bookmarkEnd w:id="3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7" w:val="left"/>
        </w:tabs>
        <w:bidi w:val="0"/>
        <w:spacing w:before="0" w:line="240" w:lineRule="auto"/>
        <w:ind w:left="720" w:right="0" w:hanging="34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prvního dílčího plnění dnem protokolárního předání a převzetí geodetického zaměření ve výši 100 %, tj. 33 000,- Kč bez DPH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7" w:val="left"/>
        </w:tabs>
        <w:bidi w:val="0"/>
        <w:spacing w:before="0" w:line="240" w:lineRule="auto"/>
        <w:ind w:left="720" w:right="0" w:hanging="34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druhého dílčího plnění dnem protokolárního předání a převzetí kompletní PD ve výši 80 % z částky 267 000,- Kč, tj. 213 600,- Kč bez DPH.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7" w:val="left"/>
        </w:tabs>
        <w:bidi w:val="0"/>
        <w:spacing w:before="0" w:after="440" w:line="240" w:lineRule="auto"/>
        <w:ind w:left="720" w:right="0" w:hanging="3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celkového plnění dnem podpisu „Rozhodnutí“ o schválení PD stupně generálním ředitelem Povodí Ohře, s. p., po předchozím projednání v dokumentační komisi ve výši zbývajících 20 % z částky 267 000,- Kč, tj. 53 400,- Kč bez DPH. Schválení PD v DK je povinen objednatel oznámit zhotoviteli do 5 pracovních dnů po podpisu Rozhodnutí generálním ředitelem Povodí Ohře, s. p.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2" w:val="left"/>
        </w:tabs>
        <w:bidi w:val="0"/>
        <w:spacing w:before="0" w:line="240" w:lineRule="auto"/>
        <w:ind w:left="720" w:right="0" w:hanging="3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prvního dílčího plnění dnem protokolárního předání a převzetí geodetického zaměření ve výši 100 %, tj. 33 000,- Kč bez DPH – vyfakturováno a uhrazeno dne 21.12.2022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7" w:val="left"/>
        </w:tabs>
        <w:bidi w:val="0"/>
        <w:spacing w:before="0" w:after="700" w:line="240" w:lineRule="auto"/>
        <w:ind w:left="720" w:right="0" w:hanging="3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druhého dílčího plnění dnem protokolárního předání a převzetí kompletní PD ve výši 80 % z částky 387 000,-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309 600,-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720" w:right="0" w:hanging="3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stupně generálním ředitelem Povodí Ohře, s. p., po předchozím projednání v dokumentační komisi ve výši zbývajících 20 % z částky 387 000,-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77 400,- Kč bez DPH.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righ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1027" w:left="1394" w:right="1384" w:bottom="1027" w:header="0" w:footer="59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 w:line="295" w:lineRule="auto"/>
        <w:ind w:left="720" w:right="0" w:firstLine="5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k SoD 840/2022 Schválení PD v DK je povinen objednatel oznámit zhotoviteli do 5 pracovních dnů po podpisu Rozhodnutí generálním ředitelem Povodí Ohře, s. p.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Čl. I., Čl. III., Čl. IV. a Čl. V. smlouvy o dílo se nemění.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3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5737" w:header="229" w:footer="3" w:gutter="0"/>
          <w:cols w:space="720"/>
          <w:noEndnote/>
          <w:rtlGutter w:val="0"/>
          <w:docGrid w:linePitch="360"/>
        </w:sectPr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57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dne: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821" w:right="2440" w:bottom="5737" w:header="0" w:footer="3" w:gutter="0"/>
          <w:cols w:num="2" w:space="127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7" w:after="11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ekonomický ředitel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821" w:right="2229" w:bottom="1420" w:header="0" w:footer="3" w:gutter="0"/>
          <w:cols w:num="2" w:space="119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INTERPROJEKT ODPADY, s.r.o.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1821" w:right="2229" w:bottom="1420" w:header="0" w:footer="3" w:gutter="0"/>
      <w:cols w:num="2" w:space="119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5991225</wp:posOffset>
              </wp:positionH>
              <wp:positionV relativeFrom="page">
                <wp:posOffset>9841865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75pt;margin-top:774.95000000000005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69999999999999pt;margin-top:770.85000000000002pt;width:53.050000000000004pt;height:12.9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4839335</wp:posOffset>
              </wp:positionH>
              <wp:positionV relativeFrom="page">
                <wp:posOffset>384175</wp:posOffset>
              </wp:positionV>
              <wp:extent cx="182562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5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3 k SoD 840/2022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1.05000000000001pt;margin-top:30.25pt;width:143.7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3 k SoD 840/2022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435610</wp:posOffset>
              </wp:positionV>
              <wp:extent cx="1825625" cy="1892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5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Dodatek č.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k SoD 840/2022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81.pt;margin-top:34.300000000000004pt;width:143.75pt;height:14.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Dodatek č.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k SoD 840/2022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200" w:line="293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