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5358" w14:textId="41462528" w:rsidR="002559D2" w:rsidRPr="00B20693" w:rsidRDefault="00A55B65" w:rsidP="00A55B65">
      <w:pPr>
        <w:pStyle w:val="Nadpis"/>
        <w:tabs>
          <w:tab w:val="right" w:pos="7088"/>
          <w:tab w:val="right" w:pos="9356"/>
        </w:tabs>
        <w:spacing w:after="120"/>
        <w:jc w:val="left"/>
        <w:rPr>
          <w:rFonts w:ascii="Times New Roman" w:hAnsi="Times New Roman"/>
          <w:color w:val="auto"/>
          <w:sz w:val="22"/>
          <w:szCs w:val="22"/>
        </w:rPr>
      </w:pPr>
      <w:r>
        <w:rPr>
          <w:rFonts w:ascii="Times New Roman" w:hAnsi="Times New Roman"/>
          <w:color w:val="auto"/>
          <w:sz w:val="48"/>
          <w:szCs w:val="48"/>
        </w:rPr>
        <w:t xml:space="preserve">                        </w:t>
      </w:r>
      <w:r w:rsidR="002559D2" w:rsidRPr="00B20693">
        <w:rPr>
          <w:rFonts w:ascii="Times New Roman" w:hAnsi="Times New Roman"/>
          <w:color w:val="auto"/>
          <w:sz w:val="48"/>
          <w:szCs w:val="48"/>
        </w:rPr>
        <w:t xml:space="preserve"> </w:t>
      </w:r>
      <w:r>
        <w:rPr>
          <w:rFonts w:ascii="Times New Roman" w:hAnsi="Times New Roman"/>
          <w:color w:val="auto"/>
          <w:sz w:val="48"/>
          <w:szCs w:val="48"/>
        </w:rPr>
        <w:t>K</w:t>
      </w:r>
      <w:r w:rsidR="002559D2" w:rsidRPr="00B20693">
        <w:rPr>
          <w:rFonts w:ascii="Times New Roman" w:hAnsi="Times New Roman"/>
          <w:color w:val="auto"/>
          <w:sz w:val="48"/>
          <w:szCs w:val="48"/>
        </w:rPr>
        <w:t xml:space="preserve">upní smlouva </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3E63E392" w14:textId="401634E9" w:rsidR="002559D2" w:rsidRPr="004040BA" w:rsidRDefault="002559D2" w:rsidP="004040BA">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4A2D170F" w14:textId="77777777" w:rsidR="002559D2" w:rsidRPr="00B20693" w:rsidRDefault="002559D2" w:rsidP="002559D2">
      <w:pPr>
        <w:spacing w:after="120"/>
        <w:rPr>
          <w:b/>
          <w:sz w:val="22"/>
          <w:szCs w:val="22"/>
        </w:rPr>
      </w:pPr>
      <w:r w:rsidRPr="00B20693">
        <w:rPr>
          <w:b/>
          <w:sz w:val="22"/>
          <w:szCs w:val="22"/>
        </w:rPr>
        <w:t>Psychiatrická nemocnice v Dobřanech</w:t>
      </w:r>
    </w:p>
    <w:p w14:paraId="5F7517FE" w14:textId="77777777" w:rsidR="002559D2" w:rsidRPr="00B20693" w:rsidRDefault="002559D2" w:rsidP="002559D2">
      <w:pPr>
        <w:spacing w:after="12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2559D2">
      <w:pPr>
        <w:spacing w:after="12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2559D2">
      <w:pPr>
        <w:spacing w:after="12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416A83C3" w:rsidR="002559D2" w:rsidRPr="00B20693" w:rsidRDefault="002559D2" w:rsidP="002559D2">
      <w:pPr>
        <w:spacing w:after="120"/>
        <w:rPr>
          <w:sz w:val="22"/>
          <w:szCs w:val="22"/>
        </w:rPr>
      </w:pPr>
      <w:r w:rsidRPr="00B20693">
        <w:rPr>
          <w:sz w:val="22"/>
          <w:szCs w:val="22"/>
        </w:rPr>
        <w:t>Jednající/zastoupený:</w:t>
      </w:r>
      <w:r w:rsidRPr="00B20693">
        <w:rPr>
          <w:sz w:val="22"/>
          <w:szCs w:val="22"/>
        </w:rPr>
        <w:tab/>
      </w:r>
      <w:r w:rsidRPr="00B20693">
        <w:rPr>
          <w:sz w:val="22"/>
          <w:szCs w:val="22"/>
        </w:rPr>
        <w:tab/>
      </w:r>
      <w:r w:rsidR="00AC6F6D">
        <w:rPr>
          <w:sz w:val="22"/>
          <w:szCs w:val="22"/>
        </w:rPr>
        <w:t>………………</w:t>
      </w:r>
    </w:p>
    <w:p w14:paraId="46CF83A3" w14:textId="5CE09F2D" w:rsidR="002559D2" w:rsidRPr="00B20693" w:rsidRDefault="002559D2" w:rsidP="002559D2">
      <w:pPr>
        <w:spacing w:after="120"/>
        <w:rPr>
          <w:sz w:val="22"/>
          <w:szCs w:val="22"/>
        </w:rPr>
      </w:pPr>
      <w:r w:rsidRPr="00B20693">
        <w:rPr>
          <w:sz w:val="22"/>
          <w:szCs w:val="22"/>
        </w:rPr>
        <w:t>Kontaktní osoba:</w:t>
      </w:r>
      <w:r w:rsidRPr="00B20693">
        <w:rPr>
          <w:sz w:val="22"/>
          <w:szCs w:val="22"/>
        </w:rPr>
        <w:tab/>
      </w:r>
      <w:r w:rsidRPr="00B20693">
        <w:rPr>
          <w:sz w:val="22"/>
          <w:szCs w:val="22"/>
        </w:rPr>
        <w:tab/>
      </w:r>
      <w:r w:rsidR="00AC6F6D">
        <w:rPr>
          <w:sz w:val="22"/>
          <w:szCs w:val="22"/>
        </w:rPr>
        <w:t>………………</w:t>
      </w:r>
    </w:p>
    <w:p w14:paraId="21F9DC08" w14:textId="77777777" w:rsidR="002559D2" w:rsidRPr="00B20693" w:rsidRDefault="002559D2" w:rsidP="002559D2">
      <w:pPr>
        <w:pStyle w:val="Zkladntext"/>
        <w:tabs>
          <w:tab w:val="right" w:pos="7088"/>
          <w:tab w:val="right" w:pos="9356"/>
        </w:tabs>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2559D2">
      <w:pPr>
        <w:pStyle w:val="Nadpis"/>
        <w:spacing w:after="120"/>
        <w:rPr>
          <w:rFonts w:ascii="Times New Roman" w:hAnsi="Times New Roman"/>
          <w:b w:val="0"/>
          <w:sz w:val="22"/>
          <w:szCs w:val="22"/>
        </w:rPr>
      </w:pPr>
    </w:p>
    <w:p w14:paraId="4CF910D1" w14:textId="77777777"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2559D2">
      <w:pPr>
        <w:pStyle w:val="Nadpis"/>
        <w:spacing w:after="120"/>
        <w:jc w:val="left"/>
        <w:rPr>
          <w:rFonts w:ascii="Times New Roman" w:hAnsi="Times New Roman"/>
          <w:b w:val="0"/>
          <w:sz w:val="22"/>
          <w:szCs w:val="22"/>
        </w:rPr>
      </w:pPr>
    </w:p>
    <w:p w14:paraId="4B73832A" w14:textId="3DFD889B" w:rsidR="002559D2" w:rsidRPr="004040BA" w:rsidRDefault="004040BA" w:rsidP="002559D2">
      <w:pPr>
        <w:pStyle w:val="Nadpis"/>
        <w:spacing w:after="120"/>
        <w:jc w:val="left"/>
        <w:rPr>
          <w:rFonts w:ascii="Times New Roman" w:hAnsi="Times New Roman"/>
          <w:sz w:val="22"/>
          <w:szCs w:val="22"/>
        </w:rPr>
      </w:pPr>
      <w:r w:rsidRPr="004040BA">
        <w:rPr>
          <w:rFonts w:ascii="Times New Roman" w:hAnsi="Times New Roman"/>
          <w:sz w:val="22"/>
          <w:szCs w:val="22"/>
        </w:rPr>
        <w:t xml:space="preserve">Richter </w:t>
      </w:r>
      <w:proofErr w:type="spellStart"/>
      <w:r w:rsidRPr="004040BA">
        <w:rPr>
          <w:rFonts w:ascii="Times New Roman" w:hAnsi="Times New Roman"/>
          <w:sz w:val="22"/>
          <w:szCs w:val="22"/>
        </w:rPr>
        <w:t>Medical</w:t>
      </w:r>
      <w:proofErr w:type="spellEnd"/>
      <w:r w:rsidRPr="004040BA">
        <w:rPr>
          <w:rFonts w:ascii="Times New Roman" w:hAnsi="Times New Roman"/>
          <w:sz w:val="22"/>
          <w:szCs w:val="22"/>
        </w:rPr>
        <w:t>, s.r.o.</w:t>
      </w:r>
    </w:p>
    <w:p w14:paraId="0BBAD372" w14:textId="2192ADD1" w:rsidR="002559D2" w:rsidRPr="00B20693" w:rsidRDefault="004040BA" w:rsidP="002559D2">
      <w:pPr>
        <w:pStyle w:val="Nadpis"/>
        <w:spacing w:after="120"/>
        <w:jc w:val="left"/>
        <w:rPr>
          <w:rFonts w:ascii="Times New Roman" w:hAnsi="Times New Roman"/>
          <w:sz w:val="22"/>
          <w:szCs w:val="22"/>
        </w:rPr>
      </w:pPr>
      <w:r>
        <w:rPr>
          <w:rFonts w:ascii="Times New Roman" w:hAnsi="Times New Roman"/>
          <w:b w:val="0"/>
          <w:sz w:val="22"/>
          <w:szCs w:val="22"/>
        </w:rPr>
        <w:t xml:space="preserve">Se sídlem: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Lešetínská 673/64, Kunčice, 719 00 Ostrava</w:t>
      </w:r>
    </w:p>
    <w:p w14:paraId="194E79A2" w14:textId="36C3DF3A" w:rsidR="002559D2" w:rsidRPr="00B20693" w:rsidRDefault="002559D2" w:rsidP="002559D2">
      <w:pPr>
        <w:pStyle w:val="Nadpis"/>
        <w:spacing w:after="12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sidR="004040BA">
        <w:rPr>
          <w:rFonts w:ascii="Times New Roman" w:hAnsi="Times New Roman"/>
          <w:b w:val="0"/>
          <w:sz w:val="22"/>
          <w:szCs w:val="22"/>
        </w:rPr>
        <w:t>Krajským</w:t>
      </w:r>
      <w:r w:rsidRPr="00B20693">
        <w:rPr>
          <w:rFonts w:ascii="Times New Roman" w:hAnsi="Times New Roman"/>
          <w:b w:val="0"/>
          <w:sz w:val="22"/>
          <w:szCs w:val="22"/>
        </w:rPr>
        <w:t xml:space="preserve"> soudem v</w:t>
      </w:r>
      <w:r w:rsidR="004040BA">
        <w:rPr>
          <w:rFonts w:ascii="Times New Roman" w:hAnsi="Times New Roman"/>
          <w:b w:val="0"/>
          <w:sz w:val="22"/>
          <w:szCs w:val="22"/>
        </w:rPr>
        <w:t> Ostravě,</w:t>
      </w:r>
      <w:r w:rsidRPr="00B20693">
        <w:rPr>
          <w:rFonts w:ascii="Times New Roman" w:hAnsi="Times New Roman"/>
          <w:b w:val="0"/>
          <w:sz w:val="22"/>
          <w:szCs w:val="22"/>
        </w:rPr>
        <w:t xml:space="preserve"> oddíl </w:t>
      </w:r>
      <w:r w:rsidR="004040BA">
        <w:rPr>
          <w:rFonts w:ascii="Times New Roman" w:hAnsi="Times New Roman"/>
          <w:b w:val="0"/>
          <w:sz w:val="22"/>
          <w:szCs w:val="22"/>
        </w:rPr>
        <w:t>C,</w:t>
      </w:r>
      <w:r w:rsidRPr="00B20693">
        <w:rPr>
          <w:rFonts w:ascii="Times New Roman" w:hAnsi="Times New Roman"/>
          <w:b w:val="0"/>
          <w:sz w:val="22"/>
          <w:szCs w:val="22"/>
        </w:rPr>
        <w:t xml:space="preserve"> vložka </w:t>
      </w:r>
      <w:r w:rsidR="004040BA">
        <w:rPr>
          <w:rFonts w:ascii="Times New Roman" w:hAnsi="Times New Roman"/>
          <w:b w:val="0"/>
          <w:sz w:val="22"/>
          <w:szCs w:val="22"/>
        </w:rPr>
        <w:t>54850</w:t>
      </w:r>
    </w:p>
    <w:p w14:paraId="729CFEAF" w14:textId="21C064F2"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4040BA">
        <w:rPr>
          <w:rFonts w:ascii="Times New Roman" w:hAnsi="Times New Roman"/>
          <w:b w:val="0"/>
          <w:sz w:val="22"/>
          <w:szCs w:val="22"/>
        </w:rPr>
        <w:t>29456860</w:t>
      </w:r>
    </w:p>
    <w:p w14:paraId="0BE380AE" w14:textId="5704FF95"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4040BA">
        <w:rPr>
          <w:rFonts w:ascii="Times New Roman" w:hAnsi="Times New Roman"/>
          <w:b w:val="0"/>
          <w:sz w:val="22"/>
          <w:szCs w:val="22"/>
        </w:rPr>
        <w:t>CZ29456860</w:t>
      </w:r>
    </w:p>
    <w:p w14:paraId="31CC457D" w14:textId="2BF51FAC"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AC6F6D">
        <w:rPr>
          <w:rFonts w:ascii="Times New Roman" w:hAnsi="Times New Roman"/>
          <w:b w:val="0"/>
          <w:sz w:val="22"/>
          <w:szCs w:val="22"/>
        </w:rPr>
        <w:t>………………</w:t>
      </w:r>
    </w:p>
    <w:p w14:paraId="0492A1AF" w14:textId="3BA07351"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AC6F6D">
        <w:rPr>
          <w:rFonts w:ascii="Times New Roman" w:hAnsi="Times New Roman"/>
          <w:b w:val="0"/>
          <w:sz w:val="22"/>
          <w:szCs w:val="22"/>
        </w:rPr>
        <w:t>…………….</w:t>
      </w:r>
    </w:p>
    <w:p w14:paraId="08515ED0" w14:textId="77777777" w:rsidR="002559D2" w:rsidRPr="00B20693" w:rsidRDefault="002559D2" w:rsidP="002559D2">
      <w:pPr>
        <w:pStyle w:val="Styl"/>
        <w:tabs>
          <w:tab w:val="left" w:pos="2812"/>
        </w:tabs>
        <w:spacing w:after="120"/>
        <w:rPr>
          <w:sz w:val="22"/>
          <w:szCs w:val="22"/>
        </w:rPr>
      </w:pPr>
      <w:r w:rsidRPr="00B20693">
        <w:rPr>
          <w:sz w:val="22"/>
          <w:szCs w:val="22"/>
        </w:rPr>
        <w:t>(dále jen jako „</w:t>
      </w:r>
      <w:r w:rsidRPr="00B20693">
        <w:rPr>
          <w:b/>
          <w:sz w:val="22"/>
          <w:szCs w:val="22"/>
        </w:rPr>
        <w:t>prodávající</w:t>
      </w:r>
      <w:r w:rsidRPr="00B20693">
        <w:rPr>
          <w:sz w:val="22"/>
          <w:szCs w:val="22"/>
        </w:rPr>
        <w:t>“)</w:t>
      </w:r>
    </w:p>
    <w:p w14:paraId="3C7D5E7B" w14:textId="77777777" w:rsidR="002559D2" w:rsidRPr="00B20693" w:rsidRDefault="002559D2"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50877B13" w14:textId="1B680C9D" w:rsidR="002559D2" w:rsidRPr="00B2069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B20693">
        <w:rPr>
          <w:sz w:val="22"/>
          <w:szCs w:val="22"/>
        </w:rPr>
        <w:t>Tato smlouva je uzavírána mezi stranami na základě výsledků veřejné zakázky</w:t>
      </w:r>
      <w:r w:rsidR="001311F0">
        <w:rPr>
          <w:sz w:val="22"/>
          <w:szCs w:val="22"/>
        </w:rPr>
        <w:t xml:space="preserve"> malého rozsahu</w:t>
      </w:r>
      <w:r w:rsidRPr="00B20693">
        <w:rPr>
          <w:sz w:val="22"/>
          <w:szCs w:val="22"/>
        </w:rPr>
        <w:t xml:space="preserve"> na dodávky s názvem </w:t>
      </w:r>
      <w:r w:rsidRPr="00B20693">
        <w:rPr>
          <w:b/>
          <w:sz w:val="22"/>
          <w:szCs w:val="22"/>
        </w:rPr>
        <w:t xml:space="preserve">„Dodávky </w:t>
      </w:r>
      <w:r w:rsidR="00196FDB" w:rsidRPr="00B20693">
        <w:rPr>
          <w:b/>
          <w:sz w:val="22"/>
          <w:szCs w:val="22"/>
        </w:rPr>
        <w:t xml:space="preserve">oděvů pro </w:t>
      </w:r>
      <w:r w:rsidR="000203B6" w:rsidRPr="00B20693">
        <w:rPr>
          <w:b/>
          <w:sz w:val="22"/>
          <w:szCs w:val="22"/>
        </w:rPr>
        <w:t>zaměstnance</w:t>
      </w:r>
      <w:r w:rsidRPr="00B20693">
        <w:rPr>
          <w:b/>
          <w:sz w:val="22"/>
          <w:szCs w:val="22"/>
        </w:rPr>
        <w:t>"</w:t>
      </w:r>
      <w:r w:rsidRPr="00B20693">
        <w:rPr>
          <w:sz w:val="22"/>
          <w:szCs w:val="22"/>
        </w:rPr>
        <w:t xml:space="preserve">, neboť nabídka dodavatele byla vyhodnocena jako nejvhodnější. Uzavírá se Smlouva na dobu 1 rok,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2D7EA3B6" w14:textId="77777777" w:rsidR="00196FDB" w:rsidRPr="00B20693" w:rsidRDefault="00196FDB" w:rsidP="002559D2">
      <w:pPr>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77777777"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Smlouvy (1 rok).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lastRenderedPageBreak/>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77777777"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 - p</w:t>
      </w:r>
      <w:r w:rsidRPr="00B20693">
        <w:rPr>
          <w:bCs/>
          <w:sz w:val="22"/>
          <w:szCs w:val="22"/>
        </w:rPr>
        <w:t xml:space="preserve">odrobném 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r>
      <w:r w:rsidRPr="004040BA">
        <w:rPr>
          <w:bCs/>
          <w:iCs/>
          <w:sz w:val="22"/>
          <w:szCs w:val="22"/>
        </w:rPr>
        <w:t>a)</w:t>
      </w:r>
      <w:r w:rsidRPr="00B20693">
        <w:rPr>
          <w:b/>
          <w:bCs/>
          <w:iCs/>
          <w:sz w:val="22"/>
          <w:szCs w:val="22"/>
        </w:rPr>
        <w:t xml:space="preserve"> Předpokládaná celková cena za dodávky dle této Smlouvy je dle přílohy č. 1:</w:t>
      </w:r>
    </w:p>
    <w:p w14:paraId="0253C01A" w14:textId="162A9A4A" w:rsidR="002559D2" w:rsidRPr="00B20693" w:rsidRDefault="002559D2" w:rsidP="002559D2">
      <w:pPr>
        <w:pStyle w:val="Zkladntext"/>
        <w:tabs>
          <w:tab w:val="num" w:pos="567"/>
        </w:tabs>
        <w:jc w:val="both"/>
        <w:rPr>
          <w:b/>
          <w:bCs/>
          <w:iCs/>
          <w:sz w:val="22"/>
          <w:szCs w:val="22"/>
        </w:rPr>
      </w:pPr>
      <w:r w:rsidRPr="00B20693">
        <w:rPr>
          <w:b/>
          <w:bCs/>
          <w:iCs/>
          <w:sz w:val="22"/>
          <w:szCs w:val="22"/>
        </w:rPr>
        <w:tab/>
      </w:r>
      <w:r w:rsidR="004040BA">
        <w:rPr>
          <w:b/>
          <w:bCs/>
          <w:iCs/>
          <w:sz w:val="22"/>
          <w:szCs w:val="22"/>
        </w:rPr>
        <w:t>392.895</w:t>
      </w:r>
      <w:r w:rsidRPr="00B20693">
        <w:rPr>
          <w:b/>
          <w:bCs/>
          <w:iCs/>
          <w:sz w:val="22"/>
          <w:szCs w:val="22"/>
        </w:rPr>
        <w:t> Kč bez DPH</w:t>
      </w:r>
    </w:p>
    <w:p w14:paraId="5106B35D" w14:textId="7448DD33" w:rsidR="002559D2" w:rsidRPr="00B20693" w:rsidRDefault="002559D2" w:rsidP="004040BA">
      <w:pPr>
        <w:pStyle w:val="Zkladntext"/>
        <w:tabs>
          <w:tab w:val="num" w:pos="567"/>
        </w:tabs>
        <w:ind w:left="567"/>
        <w:jc w:val="both"/>
        <w:rPr>
          <w:sz w:val="22"/>
          <w:szCs w:val="22"/>
        </w:rPr>
      </w:pPr>
      <w:r w:rsidRPr="00B20693">
        <w:rPr>
          <w:bCs/>
          <w:iCs/>
          <w:sz w:val="22"/>
          <w:szCs w:val="22"/>
        </w:rPr>
        <w:t xml:space="preserve">(slovy: </w:t>
      </w:r>
      <w:r w:rsidR="004040BA" w:rsidRPr="004040BA">
        <w:rPr>
          <w:bCs/>
          <w:iCs/>
          <w:sz w:val="22"/>
          <w:szCs w:val="22"/>
        </w:rPr>
        <w:t>tři sta devadesát dva tisíc osm set devadesát pět korun českých</w:t>
      </w:r>
      <w:r w:rsidR="004040BA">
        <w:rPr>
          <w:bCs/>
          <w:iCs/>
          <w:sz w:val="22"/>
          <w:szCs w:val="22"/>
        </w:rPr>
        <w:t>)</w:t>
      </w:r>
      <w:r w:rsidR="004040BA">
        <w:rPr>
          <w:sz w:val="22"/>
          <w:szCs w:val="22"/>
        </w:rPr>
        <w:t xml:space="preserve">, </w:t>
      </w:r>
      <w:r w:rsidRPr="00B20693">
        <w:rPr>
          <w:sz w:val="22"/>
          <w:szCs w:val="22"/>
        </w:rPr>
        <w:t>sazba DPH 21 %.</w:t>
      </w:r>
    </w:p>
    <w:p w14:paraId="0AC35FF0" w14:textId="74C6A448"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4040BA">
        <w:rPr>
          <w:b/>
          <w:sz w:val="22"/>
          <w:szCs w:val="22"/>
        </w:rPr>
        <w:t>700.000,-</w:t>
      </w:r>
      <w:r w:rsidRPr="00B20693">
        <w:rPr>
          <w:b/>
          <w:sz w:val="22"/>
          <w:szCs w:val="22"/>
        </w:rPr>
        <w:t xml:space="preserve"> Kč bez DPH</w:t>
      </w:r>
      <w:r w:rsidR="004040BA">
        <w:rPr>
          <w:sz w:val="22"/>
          <w:szCs w:val="22"/>
        </w:rPr>
        <w:t>.</w:t>
      </w:r>
      <w:r w:rsidRPr="00B20693">
        <w:rPr>
          <w:sz w:val="22"/>
          <w:szCs w:val="22"/>
        </w:rPr>
        <w:tab/>
      </w:r>
    </w:p>
    <w:p w14:paraId="04443E00" w14:textId="77777777" w:rsidR="002559D2" w:rsidRDefault="002559D2" w:rsidP="002559D2">
      <w:pPr>
        <w:pStyle w:val="Zkladntext"/>
        <w:numPr>
          <w:ilvl w:val="0"/>
          <w:numId w:val="5"/>
        </w:numPr>
        <w:ind w:left="284" w:hanging="284"/>
        <w:jc w:val="both"/>
        <w:rPr>
          <w:sz w:val="22"/>
          <w:szCs w:val="22"/>
        </w:rPr>
      </w:pPr>
      <w:r w:rsidRPr="00B20693">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 xml:space="preserve">Realizované dodávky budou placeny vždy po jejich provedení na základě prodávajícím vystaveného souhrnného daňového dokladu. Vystavená faktura musí obsahovat náležitosti daňového dokladu dle zákona č. 235/2004 Sb., o dani </w:t>
      </w:r>
      <w:r w:rsidRPr="00B20693">
        <w:rPr>
          <w:rFonts w:cs="Times New Roman"/>
          <w:sz w:val="22"/>
          <w:szCs w:val="22"/>
        </w:rPr>
        <w:lastRenderedPageBreak/>
        <w:t>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0B7EF68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do </w:t>
      </w:r>
      <w:r w:rsidR="00196FDB" w:rsidRPr="00B20693">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dní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03994D21" w14:textId="77777777" w:rsidR="004040BA" w:rsidRDefault="004040BA" w:rsidP="004040BA"/>
    <w:p w14:paraId="3C4CB989" w14:textId="77777777" w:rsidR="004040BA" w:rsidRDefault="004040BA" w:rsidP="004040BA"/>
    <w:p w14:paraId="66768DB1" w14:textId="77777777" w:rsidR="004040BA" w:rsidRPr="004040BA" w:rsidRDefault="004040BA" w:rsidP="004040BA"/>
    <w:p w14:paraId="466D1170" w14:textId="77777777" w:rsidR="002559D2" w:rsidRPr="00B20693" w:rsidRDefault="002559D2"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1D4319FB" w14:textId="77777777" w:rsidR="002559D2" w:rsidRPr="00B20693" w:rsidRDefault="002559D2" w:rsidP="003E52DD">
      <w:pPr>
        <w:pStyle w:val="Styl"/>
        <w:tabs>
          <w:tab w:val="left" w:pos="284"/>
        </w:tabs>
        <w:spacing w:after="120"/>
        <w:ind w:left="284" w:hanging="284"/>
        <w:jc w:val="both"/>
        <w:rPr>
          <w:b/>
          <w:sz w:val="22"/>
          <w:szCs w:val="22"/>
        </w:rPr>
      </w:pPr>
      <w:r w:rsidRPr="00B20693">
        <w:rPr>
          <w:color w:val="222222"/>
          <w:sz w:val="22"/>
          <w:szCs w:val="22"/>
          <w:shd w:val="clear" w:color="auto" w:fill="FFFFFF"/>
        </w:rPr>
        <w:t>1.</w:t>
      </w:r>
      <w:r w:rsidRPr="00B20693">
        <w:rPr>
          <w:color w:val="222222"/>
          <w:sz w:val="22"/>
          <w:szCs w:val="22"/>
          <w:shd w:val="clear" w:color="auto" w:fill="FFFFFF"/>
        </w:rPr>
        <w:tab/>
        <w:t>Tato Smlouva je uzavírána na dobu určitou, a to na jeden rok od účinnosti smlouvy nebo do doby vyčerpání částky uvedené v čl. IV odst. 1 písm. b) Smlouvy, pokud k tomu dojde před uplynutím doby určité.  </w:t>
      </w:r>
    </w:p>
    <w:p w14:paraId="324872B3" w14:textId="77777777" w:rsidR="002559D2" w:rsidRPr="00B20693"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sidRPr="00B20693">
        <w:rPr>
          <w:rFonts w:ascii="Times New Roman" w:hAnsi="Times New Roman" w:cs="Times New Roman"/>
          <w:b w:val="0"/>
          <w:bCs w:val="0"/>
          <w:sz w:val="22"/>
          <w:szCs w:val="22"/>
        </w:rPr>
        <w:t>2.</w:t>
      </w:r>
      <w:r w:rsidRPr="00B20693">
        <w:rPr>
          <w:rFonts w:ascii="Times New Roman" w:hAnsi="Times New Roman" w:cs="Times New Roman"/>
          <w:b w:val="0"/>
          <w:bCs w:val="0"/>
          <w:sz w:val="22"/>
          <w:szCs w:val="22"/>
        </w:rPr>
        <w:tab/>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2B309EEA" w14:textId="77777777" w:rsidR="004040BA" w:rsidRDefault="004040BA" w:rsidP="002559D2">
      <w:pPr>
        <w:pStyle w:val="AOdstavec"/>
        <w:spacing w:after="120"/>
        <w:ind w:hanging="709"/>
        <w:rPr>
          <w:rFonts w:cs="Times New Roman"/>
          <w:b/>
          <w:sz w:val="22"/>
          <w:szCs w:val="22"/>
        </w:rPr>
      </w:pPr>
    </w:p>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Smlouva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 xml:space="preserve">Prodávající výslovně souhlasí se zveřejněním všech náležitostí tohoto smluvního vztahu, výsledků zadávacího řízení vč. údajů o hodnotách parametrů (své) vybrané nabídky, jakož i se zveřejněním celého </w:t>
      </w:r>
      <w:r w:rsidRPr="00B20693">
        <w:rPr>
          <w:sz w:val="22"/>
          <w:szCs w:val="22"/>
        </w:rPr>
        <w:lastRenderedPageBreak/>
        <w:t>znění této Smlouvy včetně jejích příloh, všech jejích změn a dodatků v souladu s </w:t>
      </w:r>
      <w:proofErr w:type="spellStart"/>
      <w:r w:rsidRPr="00B20693">
        <w:rPr>
          <w:sz w:val="22"/>
          <w:szCs w:val="22"/>
        </w:rPr>
        <w:t>ust</w:t>
      </w:r>
      <w:proofErr w:type="spellEnd"/>
      <w:r w:rsidRPr="00B20693">
        <w:rPr>
          <w:sz w:val="22"/>
          <w:szCs w:val="22"/>
        </w:rPr>
        <w:t>. § 219 z. č. 134/2016 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69913E6D"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Specifikace předmětu plnění  - podrobný rozpis nabídkové ceny</w:t>
      </w:r>
    </w:p>
    <w:p w14:paraId="53A99990" w14:textId="77777777" w:rsidR="002559D2" w:rsidRPr="00B20693" w:rsidRDefault="002559D2" w:rsidP="002559D2">
      <w:pPr>
        <w:pStyle w:val="Styl"/>
        <w:spacing w:after="120"/>
        <w:rPr>
          <w:color w:val="000000"/>
          <w:sz w:val="14"/>
          <w:szCs w:val="22"/>
        </w:rPr>
      </w:pPr>
    </w:p>
    <w:p w14:paraId="2C7504F4" w14:textId="598FBBC3"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proofErr w:type="gramStart"/>
      <w:r w:rsidR="00AC6F6D">
        <w:rPr>
          <w:color w:val="000000"/>
          <w:sz w:val="22"/>
          <w:szCs w:val="22"/>
        </w:rPr>
        <w:t>10.6.2024</w:t>
      </w:r>
      <w:proofErr w:type="gramEnd"/>
      <w:r w:rsidRPr="00B20693">
        <w:rPr>
          <w:color w:val="000000"/>
          <w:sz w:val="22"/>
          <w:szCs w:val="22"/>
        </w:rPr>
        <w:tab/>
      </w:r>
      <w:r w:rsidRPr="00B20693">
        <w:rPr>
          <w:color w:val="000000"/>
          <w:sz w:val="22"/>
          <w:szCs w:val="22"/>
        </w:rPr>
        <w:tab/>
        <w:t>V</w:t>
      </w:r>
      <w:r w:rsidR="004040BA">
        <w:rPr>
          <w:color w:val="000000"/>
          <w:sz w:val="22"/>
          <w:szCs w:val="22"/>
        </w:rPr>
        <w:t> Ostravě,</w:t>
      </w:r>
      <w:r w:rsidRPr="00B20693">
        <w:rPr>
          <w:color w:val="000000"/>
          <w:sz w:val="22"/>
          <w:szCs w:val="22"/>
        </w:rPr>
        <w:t xml:space="preserve"> dne </w:t>
      </w:r>
      <w:r w:rsidR="00AC6F6D">
        <w:rPr>
          <w:color w:val="000000"/>
          <w:sz w:val="22"/>
          <w:szCs w:val="22"/>
        </w:rPr>
        <w:t>7.6.2024</w:t>
      </w:r>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57050AC3" w14:textId="4A2CCDB3" w:rsidR="002559D2" w:rsidRPr="00B20693" w:rsidRDefault="002559D2" w:rsidP="002559D2">
      <w:pPr>
        <w:pStyle w:val="Styl"/>
        <w:tabs>
          <w:tab w:val="center" w:pos="2268"/>
          <w:tab w:val="left" w:pos="5812"/>
          <w:tab w:val="center" w:pos="7371"/>
        </w:tabs>
        <w:ind w:left="425" w:hanging="425"/>
        <w:rPr>
          <w:b/>
          <w:sz w:val="22"/>
          <w:szCs w:val="22"/>
        </w:rPr>
      </w:pPr>
      <w:r w:rsidRPr="00B20693">
        <w:rPr>
          <w:sz w:val="22"/>
          <w:szCs w:val="22"/>
        </w:rPr>
        <w:t xml:space="preserve">         </w:t>
      </w:r>
      <w:bookmarkStart w:id="0" w:name="_GoBack"/>
      <w:bookmarkEnd w:id="0"/>
    </w:p>
    <w:p w14:paraId="777AAEC2" w14:textId="680C5604" w:rsidR="002559D2" w:rsidRPr="00B20693" w:rsidRDefault="002559D2" w:rsidP="004040BA">
      <w:pPr>
        <w:pStyle w:val="Styl"/>
        <w:tabs>
          <w:tab w:val="center" w:pos="2268"/>
        </w:tabs>
        <w:ind w:left="425" w:hanging="425"/>
        <w:rPr>
          <w:color w:val="000000"/>
          <w:sz w:val="22"/>
          <w:szCs w:val="22"/>
        </w:rPr>
      </w:pPr>
      <w:r w:rsidRPr="00B20693">
        <w:rPr>
          <w:sz w:val="22"/>
          <w:szCs w:val="22"/>
        </w:rPr>
        <w:t xml:space="preserve">                  ředitel</w:t>
      </w:r>
      <w:r w:rsidR="004040BA">
        <w:rPr>
          <w:color w:val="000000"/>
          <w:sz w:val="22"/>
          <w:szCs w:val="22"/>
        </w:rPr>
        <w:t xml:space="preserve"> </w:t>
      </w:r>
      <w:r w:rsidR="004040BA">
        <w:rPr>
          <w:color w:val="000000"/>
          <w:sz w:val="22"/>
          <w:szCs w:val="22"/>
        </w:rPr>
        <w:tab/>
      </w:r>
      <w:r w:rsidR="004040BA">
        <w:rPr>
          <w:color w:val="000000"/>
          <w:sz w:val="22"/>
          <w:szCs w:val="22"/>
        </w:rPr>
        <w:tab/>
      </w:r>
      <w:r w:rsidR="004040BA">
        <w:rPr>
          <w:color w:val="000000"/>
          <w:sz w:val="22"/>
          <w:szCs w:val="22"/>
        </w:rPr>
        <w:tab/>
      </w:r>
      <w:r w:rsidR="004040BA">
        <w:rPr>
          <w:color w:val="000000"/>
          <w:sz w:val="22"/>
          <w:szCs w:val="22"/>
        </w:rPr>
        <w:tab/>
      </w:r>
      <w:r w:rsidR="004040BA">
        <w:rPr>
          <w:color w:val="000000"/>
          <w:sz w:val="22"/>
          <w:szCs w:val="22"/>
        </w:rPr>
        <w:tab/>
      </w:r>
      <w:r w:rsidR="004040BA">
        <w:rPr>
          <w:color w:val="000000"/>
          <w:sz w:val="22"/>
          <w:szCs w:val="22"/>
        </w:rPr>
        <w:tab/>
        <w:t>jednatel společnosti</w:t>
      </w:r>
    </w:p>
    <w:p w14:paraId="388F331A" w14:textId="3FCDA9C5" w:rsidR="002559D2" w:rsidRPr="00B20693" w:rsidRDefault="002559D2" w:rsidP="002559D2">
      <w:pPr>
        <w:tabs>
          <w:tab w:val="left" w:pos="709"/>
        </w:tabs>
        <w:suppressAutoHyphens/>
        <w:rPr>
          <w:sz w:val="22"/>
          <w:szCs w:val="22"/>
        </w:rPr>
      </w:pPr>
      <w:r w:rsidRPr="00B20693">
        <w:rPr>
          <w:color w:val="000000"/>
          <w:sz w:val="22"/>
          <w:szCs w:val="22"/>
        </w:rPr>
        <w:t>Psychiatrické nemo</w:t>
      </w:r>
      <w:r w:rsidR="004040BA">
        <w:rPr>
          <w:color w:val="000000"/>
          <w:sz w:val="22"/>
          <w:szCs w:val="22"/>
        </w:rPr>
        <w:t xml:space="preserve">cnice v Dobřanech       </w:t>
      </w:r>
      <w:r w:rsidR="004040BA">
        <w:rPr>
          <w:color w:val="000000"/>
          <w:sz w:val="22"/>
          <w:szCs w:val="22"/>
        </w:rPr>
        <w:tab/>
      </w:r>
      <w:r w:rsidR="004040BA">
        <w:rPr>
          <w:color w:val="000000"/>
          <w:sz w:val="22"/>
          <w:szCs w:val="22"/>
        </w:rPr>
        <w:tab/>
      </w:r>
      <w:r w:rsidR="004040BA">
        <w:rPr>
          <w:color w:val="000000"/>
          <w:sz w:val="22"/>
          <w:szCs w:val="22"/>
        </w:rPr>
        <w:tab/>
        <w:t xml:space="preserve"> Richter </w:t>
      </w:r>
      <w:proofErr w:type="spellStart"/>
      <w:r w:rsidR="004040BA">
        <w:rPr>
          <w:color w:val="000000"/>
          <w:sz w:val="22"/>
          <w:szCs w:val="22"/>
        </w:rPr>
        <w:t>Medical</w:t>
      </w:r>
      <w:proofErr w:type="spellEnd"/>
      <w:r w:rsidR="004040BA">
        <w:rPr>
          <w:color w:val="000000"/>
          <w:sz w:val="22"/>
          <w:szCs w:val="22"/>
        </w:rPr>
        <w:t>, s.r.o.</w:t>
      </w:r>
    </w:p>
    <w:p w14:paraId="68A83234" w14:textId="77777777" w:rsidR="00970AC1" w:rsidRPr="00B20693" w:rsidRDefault="00970AC1"/>
    <w:sectPr w:rsidR="00970AC1" w:rsidRPr="00B20693"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4BBD2" w14:textId="77777777" w:rsidR="00CB77FD" w:rsidRDefault="00CB77FD">
      <w:r>
        <w:separator/>
      </w:r>
    </w:p>
  </w:endnote>
  <w:endnote w:type="continuationSeparator" w:id="0">
    <w:p w14:paraId="460661B2" w14:textId="77777777" w:rsidR="00CB77FD" w:rsidRDefault="00C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684"/>
      <w:docPartObj>
        <w:docPartGallery w:val="Page Numbers (Bottom of Page)"/>
        <w:docPartUnique/>
      </w:docPartObj>
    </w:sdtPr>
    <w:sdtEndPr/>
    <w:sdtContent>
      <w:p w14:paraId="208242E6" w14:textId="25D7BE12" w:rsidR="00636B9D" w:rsidRDefault="00C97AE7">
        <w:pPr>
          <w:pStyle w:val="Zpat"/>
          <w:jc w:val="center"/>
        </w:pPr>
        <w:r>
          <w:fldChar w:fldCharType="begin"/>
        </w:r>
        <w:r>
          <w:instrText xml:space="preserve"> PAGE   \* MERGEFORMAT </w:instrText>
        </w:r>
        <w:r>
          <w:fldChar w:fldCharType="separate"/>
        </w:r>
        <w:r w:rsidR="00AC6F6D">
          <w:rPr>
            <w:noProof/>
          </w:rPr>
          <w:t>5</w:t>
        </w:r>
        <w:r>
          <w:rPr>
            <w:noProof/>
          </w:rPr>
          <w:fldChar w:fldCharType="end"/>
        </w:r>
      </w:p>
    </w:sdtContent>
  </w:sdt>
  <w:p w14:paraId="404D22B5" w14:textId="77777777" w:rsidR="00636B9D" w:rsidRDefault="00CB77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5780" w14:textId="77777777" w:rsidR="00CB77FD" w:rsidRDefault="00CB77FD">
      <w:r>
        <w:separator/>
      </w:r>
    </w:p>
  </w:footnote>
  <w:footnote w:type="continuationSeparator" w:id="0">
    <w:p w14:paraId="20CB8347" w14:textId="77777777" w:rsidR="00CB77FD" w:rsidRDefault="00CB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1"/>
  </w:num>
  <w:num w:numId="5">
    <w:abstractNumId w:val="9"/>
  </w:num>
  <w:num w:numId="6">
    <w:abstractNumId w:val="8"/>
  </w:num>
  <w:num w:numId="7">
    <w:abstractNumId w:val="4"/>
  </w:num>
  <w:num w:numId="8">
    <w:abstractNumId w:val="2"/>
  </w:num>
  <w:num w:numId="9">
    <w:abstractNumId w:val="10"/>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63"/>
    <w:rsid w:val="000203B6"/>
    <w:rsid w:val="001311F0"/>
    <w:rsid w:val="00196FDB"/>
    <w:rsid w:val="002559D2"/>
    <w:rsid w:val="003C658D"/>
    <w:rsid w:val="003E52DD"/>
    <w:rsid w:val="004040BA"/>
    <w:rsid w:val="00546DFE"/>
    <w:rsid w:val="005E6A23"/>
    <w:rsid w:val="00970AC1"/>
    <w:rsid w:val="009E3FEC"/>
    <w:rsid w:val="00A55B65"/>
    <w:rsid w:val="00AB4863"/>
    <w:rsid w:val="00AC6F6D"/>
    <w:rsid w:val="00B20693"/>
    <w:rsid w:val="00B86BA7"/>
    <w:rsid w:val="00C97AE7"/>
    <w:rsid w:val="00CB77FD"/>
    <w:rsid w:val="00F21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7930-7B48-4590-B7AA-FBA6D48A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2437</Words>
  <Characters>14383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15</cp:revision>
  <cp:lastPrinted>2024-02-08T09:08:00Z</cp:lastPrinted>
  <dcterms:created xsi:type="dcterms:W3CDTF">2024-01-19T11:38:00Z</dcterms:created>
  <dcterms:modified xsi:type="dcterms:W3CDTF">2024-06-10T10:43:00Z</dcterms:modified>
</cp:coreProperties>
</file>