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960D" w14:textId="77777777" w:rsidR="007F1F90" w:rsidRDefault="007C3A8F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>Dodatek Č. 2</w:t>
      </w:r>
    </w:p>
    <w:p w14:paraId="7235635C" w14:textId="77777777" w:rsidR="007F1F90" w:rsidRDefault="007C3A8F">
      <w:pPr>
        <w:spacing w:after="0" w:line="240" w:lineRule="auto"/>
        <w:ind w:left="2092" w:right="2082"/>
        <w:jc w:val="center"/>
      </w:pPr>
      <w:r>
        <w:rPr>
          <w:b/>
        </w:rPr>
        <w:t>ke Smlouvě o vkladovém účtu „Spořicí účet Výhoda+“ ze dne 29.6.2022 k účtu číslo 50530763/2070</w:t>
      </w:r>
    </w:p>
    <w:p w14:paraId="0531BD2E" w14:textId="77777777" w:rsidR="007F1F90" w:rsidRDefault="007C3A8F">
      <w:pPr>
        <w:spacing w:after="111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603351D2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D6C367" w14:textId="77777777" w:rsidR="007F1F90" w:rsidRDefault="007C3A8F">
      <w:pPr>
        <w:spacing w:after="0" w:line="259" w:lineRule="auto"/>
        <w:ind w:left="-5" w:right="0"/>
        <w:jc w:val="left"/>
      </w:pPr>
      <w:r>
        <w:rPr>
          <w:b/>
        </w:rPr>
        <w:t>TRINITY BANK a.s.</w:t>
      </w:r>
    </w:p>
    <w:p w14:paraId="6912FF49" w14:textId="77777777" w:rsidR="007F1F90" w:rsidRDefault="007C3A8F">
      <w:pPr>
        <w:spacing w:after="71"/>
        <w:ind w:left="-5"/>
      </w:pPr>
      <w:r>
        <w:t xml:space="preserve">se sídlem Celetná 969/40, Staré Město, 110 00 Praha 1, IČO: 25307835, zapsaná v obchodním rejstříku vedeném Městským soudem v Praze, </w:t>
      </w:r>
      <w:proofErr w:type="spellStart"/>
      <w:r>
        <w:t>sp</w:t>
      </w:r>
      <w:proofErr w:type="spellEnd"/>
      <w:r>
        <w:t>. zn. B 24055</w:t>
      </w:r>
    </w:p>
    <w:p w14:paraId="18D88E8E" w14:textId="77777777" w:rsidR="007F1F90" w:rsidRDefault="007C3A8F">
      <w:pPr>
        <w:ind w:left="-5" w:right="0"/>
      </w:pPr>
      <w:r>
        <w:t>(dále jen „</w:t>
      </w:r>
      <w:r>
        <w:rPr>
          <w:b/>
        </w:rPr>
        <w:t>TRINITY BANK</w:t>
      </w:r>
      <w:r>
        <w:t>“)</w:t>
      </w:r>
    </w:p>
    <w:p w14:paraId="46E19ACD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FC93AC" w14:textId="77777777" w:rsidR="007F1F90" w:rsidRDefault="007C3A8F">
      <w:pPr>
        <w:spacing w:after="0" w:line="259" w:lineRule="auto"/>
        <w:ind w:left="-5" w:right="0"/>
        <w:jc w:val="left"/>
      </w:pPr>
      <w:r>
        <w:rPr>
          <w:b/>
        </w:rPr>
        <w:t>a</w:t>
      </w:r>
    </w:p>
    <w:p w14:paraId="0FBA083A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DA4B45" w14:textId="77777777" w:rsidR="007F1F90" w:rsidRDefault="007C3A8F">
      <w:pPr>
        <w:spacing w:after="0" w:line="259" w:lineRule="auto"/>
        <w:ind w:left="-5" w:right="0"/>
        <w:jc w:val="left"/>
      </w:pPr>
      <w:r>
        <w:rPr>
          <w:b/>
        </w:rPr>
        <w:t>Zlínský kraj</w:t>
      </w:r>
    </w:p>
    <w:p w14:paraId="47868ABB" w14:textId="77777777" w:rsidR="007F1F90" w:rsidRDefault="007C3A8F">
      <w:pPr>
        <w:ind w:left="-5" w:right="0"/>
      </w:pPr>
      <w:r>
        <w:t>IČO: 70891320</w:t>
      </w:r>
    </w:p>
    <w:p w14:paraId="0F84FABC" w14:textId="260ACFFA" w:rsidR="007F1F90" w:rsidRDefault="007C3A8F">
      <w:pPr>
        <w:ind w:left="-5" w:right="5648"/>
      </w:pPr>
      <w:r>
        <w:t xml:space="preserve">Sídlo: třída Tomáše Bati 21, 760 </w:t>
      </w:r>
      <w:r w:rsidR="00B109B5">
        <w:t>01 Zlín</w:t>
      </w:r>
      <w:r>
        <w:t xml:space="preserve"> Číslo klienta: 93200</w:t>
      </w:r>
    </w:p>
    <w:p w14:paraId="7B93A6C1" w14:textId="77777777" w:rsidR="007F1F90" w:rsidRDefault="007C3A8F">
      <w:pPr>
        <w:spacing w:after="9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6A713D9C" w14:textId="58C5C68A" w:rsidR="007F1F90" w:rsidRDefault="007C3A8F">
      <w:pPr>
        <w:ind w:left="-5" w:right="0"/>
      </w:pPr>
      <w:r>
        <w:t xml:space="preserve">Zastoupená: </w:t>
      </w:r>
      <w:r>
        <w:rPr>
          <w:b/>
        </w:rPr>
        <w:t>Ing. R</w:t>
      </w:r>
      <w:r w:rsidR="0064431F">
        <w:rPr>
          <w:b/>
        </w:rPr>
        <w:t>adim</w:t>
      </w:r>
      <w:r>
        <w:rPr>
          <w:b/>
        </w:rPr>
        <w:t xml:space="preserve"> H</w:t>
      </w:r>
      <w:r w:rsidR="0064431F">
        <w:rPr>
          <w:b/>
        </w:rPr>
        <w:t>oliš</w:t>
      </w:r>
      <w:r>
        <w:t>, hejtman</w:t>
      </w:r>
    </w:p>
    <w:p w14:paraId="3B44C53F" w14:textId="77777777" w:rsidR="007F1F90" w:rsidRDefault="007C3A8F">
      <w:pPr>
        <w:ind w:left="-5" w:right="0"/>
      </w:pPr>
      <w:r>
        <w:t>(dále jen „</w:t>
      </w:r>
      <w:r>
        <w:rPr>
          <w:b/>
        </w:rPr>
        <w:t>Klient</w:t>
      </w:r>
      <w:r>
        <w:t>“)</w:t>
      </w:r>
    </w:p>
    <w:p w14:paraId="584FD3DB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7F6DD3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A4F564" w14:textId="77777777" w:rsidR="007F1F90" w:rsidRDefault="007C3A8F">
      <w:pPr>
        <w:spacing w:after="0" w:line="240" w:lineRule="auto"/>
        <w:ind w:left="1364" w:right="1354"/>
        <w:jc w:val="center"/>
      </w:pPr>
      <w:r>
        <w:rPr>
          <w:b/>
        </w:rPr>
        <w:t xml:space="preserve">uzavírají tento Dodatek ke Smlouvě o účtu „Spořicí účet Výhoda+“ </w:t>
      </w:r>
      <w:r>
        <w:t>(dále jen „Dodatek“ a „Smlouva“)</w:t>
      </w:r>
    </w:p>
    <w:p w14:paraId="6B66F0F1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3631E1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2466F9" w14:textId="77777777" w:rsidR="007F1F90" w:rsidRDefault="007C3A8F">
      <w:pPr>
        <w:numPr>
          <w:ilvl w:val="0"/>
          <w:numId w:val="1"/>
        </w:numPr>
        <w:spacing w:after="252"/>
        <w:ind w:right="0" w:hanging="340"/>
      </w:pPr>
      <w:r>
        <w:t>Čl. č. 1 odst. 2 Smlouvy se mění takto:</w:t>
      </w:r>
    </w:p>
    <w:p w14:paraId="008F16F5" w14:textId="0F710C84" w:rsidR="007F1F90" w:rsidRDefault="007C3A8F">
      <w:pPr>
        <w:spacing w:after="270"/>
        <w:ind w:left="690" w:right="0"/>
      </w:pPr>
      <w:r>
        <w:t xml:space="preserve">„TRINITY BANK se zavazuje umožnit vložení hotovosti na Účet nebo výběr hotovosti z Účtu Klienta a provádět převody peněžních prostředků z Účtu či na Účet Klienta. TRINITY BANK se zavazuje peněžní prostředky uložené na Účtu Klienta úročit úrokovou sazbou ve výši aktuálně platné REPO sazby ČNB, ponížené o </w:t>
      </w:r>
      <w:proofErr w:type="gramStart"/>
      <w:r>
        <w:t>0,35 procentního</w:t>
      </w:r>
      <w:proofErr w:type="gramEnd"/>
      <w:r>
        <w:t xml:space="preserve"> bodu, přičemž při změně REPO sazby dojde k nastavení nového úročení nejpozději 3. pracovní den po této změně. Současně se sjednává, že v případě, kdy REPO sazba ČNB bude rovna či nižší než </w:t>
      </w:r>
      <w:r w:rsidR="00B109B5">
        <w:t>0,35 %</w:t>
      </w:r>
      <w:r>
        <w:t xml:space="preserve">, budou prostředky uložené na Účtu Klienta úročeny sazbou ve výši </w:t>
      </w:r>
      <w:proofErr w:type="gramStart"/>
      <w:r>
        <w:t>0%</w:t>
      </w:r>
      <w:proofErr w:type="gramEnd"/>
      <w:r>
        <w:t xml:space="preserve"> </w:t>
      </w:r>
      <w:proofErr w:type="spellStart"/>
      <w:r>
        <w:t>p.a</w:t>
      </w:r>
      <w:proofErr w:type="spellEnd"/>
      <w:r>
        <w:t>.“</w:t>
      </w:r>
    </w:p>
    <w:p w14:paraId="0C7066D6" w14:textId="77777777" w:rsidR="007F1F90" w:rsidRDefault="007C3A8F">
      <w:pPr>
        <w:numPr>
          <w:ilvl w:val="0"/>
          <w:numId w:val="1"/>
        </w:numPr>
        <w:spacing w:after="255"/>
        <w:ind w:right="0" w:hanging="340"/>
      </w:pPr>
      <w:r>
        <w:t>Dodatek se sjednává na dobu neurčitou. TRINITY BANK a Klient jsou oprávněni písemně v listinné podobě Dodatek jednostranně vypovědět bez uvedení důvodů. Jestliže Dodatek vypovídá Klient, je výpovědní doba jeden měsíc a počíná běžet dnem následujícím po doručení výpovědi TRINITY BANK. Jestliže závazek ze Smlouvy vypovídá TRINITY BANK, je výpovědní doba dva měsíce a počíná běžet prvním dnem kalendářního měsíce následujícího po doručení výpovědi Klientovi.</w:t>
      </w:r>
    </w:p>
    <w:p w14:paraId="4F25CB34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F1565A" w14:textId="77777777" w:rsidR="007F1F90" w:rsidRDefault="007C3A8F">
      <w:pPr>
        <w:ind w:left="350" w:right="0"/>
      </w:pPr>
      <w:r>
        <w:t>Ostatní ustanovení Smlouvy se tímto Dodatkem nemění.</w:t>
      </w:r>
    </w:p>
    <w:p w14:paraId="008AB5BB" w14:textId="77777777" w:rsidR="007F1F90" w:rsidRDefault="007C3A8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17FCEA2" w14:textId="01093BA8" w:rsidR="007F1F90" w:rsidRDefault="007C3A8F" w:rsidP="00B109B5">
      <w:pPr>
        <w:spacing w:after="1016"/>
        <w:ind w:left="350" w:right="0"/>
      </w:pPr>
      <w:r>
        <w:t>Tento Dodatek je platný ode dne jeho podpisu oběma smluvními stranami</w:t>
      </w:r>
      <w:r w:rsidR="004254BA">
        <w:t xml:space="preserve"> a účinný ode dne uveřejnění Dodatku v Registru smluv</w:t>
      </w:r>
      <w:r w:rsidR="00B109B5">
        <w:t>.</w:t>
      </w:r>
    </w:p>
    <w:p w14:paraId="1F26D367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88D2E3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0F23D9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DF01B3" w14:textId="06B4B495" w:rsidR="007F1F90" w:rsidRDefault="007C3A8F">
      <w:pPr>
        <w:tabs>
          <w:tab w:val="center" w:pos="7234"/>
        </w:tabs>
        <w:spacing w:after="1520"/>
        <w:ind w:left="-15" w:right="0" w:firstLine="0"/>
        <w:jc w:val="left"/>
      </w:pPr>
      <w:r>
        <w:t>V(e) Zlíně dne ....................</w:t>
      </w:r>
      <w:r>
        <w:tab/>
        <w:t>V(e) Zlíně dne ....................</w:t>
      </w:r>
    </w:p>
    <w:p w14:paraId="70512B9E" w14:textId="77777777" w:rsidR="007F1F90" w:rsidRDefault="007C3A8F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75035118" w14:textId="77777777" w:rsidR="007F1F90" w:rsidRDefault="007C3A8F">
      <w:pPr>
        <w:spacing w:after="52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00867C" wp14:editId="11342A60">
                <wp:extent cx="6120003" cy="12700"/>
                <wp:effectExtent l="0" t="0" r="0" b="0"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12700"/>
                          <a:chOff x="0" y="0"/>
                          <a:chExt cx="6120003" cy="1270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244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244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672002" y="0"/>
                            <a:ext cx="244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672002" y="0"/>
                            <a:ext cx="2448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D6067" id="Group 1289" o:spid="_x0000_s1026" style="width:481.9pt;height:1pt;mso-position-horizontal-relative:char;mso-position-vertical-relative:lin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">
                <v:shape id="Shape 80" o:spid="_x0000_s1027" style="position:absolute;width:24480;height:0;visibility:visible;mso-wrap-style:square;v-text-anchor:top" coordsize="244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" path="m,l2448001,e" filled="f" strokeweight="1pt">
                  <v:stroke miterlimit="83231f" joinstyle="miter"/>
                  <v:path arrowok="t" textboxrect="0,0,2448001,0"/>
                </v:shape>
                <v:shape id="Shape 82" o:spid="_x0000_s1028" style="position:absolute;width:24480;height:0;visibility:visible;mso-wrap-style:square;v-text-anchor:top" coordsize="244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" path="m,l2448001,e" filled="f" strokeweight="1pt">
                  <v:stroke miterlimit="83231f" joinstyle="miter"/>
                  <v:path arrowok="t" textboxrect="0,0,2448001,0"/>
                </v:shape>
                <v:shape id="Shape 84" o:spid="_x0000_s1029" style="position:absolute;left:36720;width:24480;height:0;visibility:visible;mso-wrap-style:square;v-text-anchor:top" coordsize="244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" path="m,l2448001,e" filled="f" strokeweight="1pt">
                  <v:stroke miterlimit="83231f" joinstyle="miter"/>
                  <v:path arrowok="t" textboxrect="0,0,2448001,0"/>
                </v:shape>
                <v:shape id="Shape 86" o:spid="_x0000_s1030" style="position:absolute;left:36720;width:24480;height:0;visibility:visible;mso-wrap-style:square;v-text-anchor:top" coordsize="244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" path="m,l2448001,e" filled="f" strokeweight="1pt">
                  <v:stroke miterlimit="83231f" joinstyle="miter"/>
                  <v:path arrowok="t" textboxrect="0,0,2448001,0"/>
                </v:shape>
                <w10:anchorlock/>
              </v:group>
            </w:pict>
          </mc:Fallback>
        </mc:AlternateContent>
      </w:r>
    </w:p>
    <w:p w14:paraId="1B4AF9EF" w14:textId="77777777" w:rsidR="007F1F90" w:rsidRDefault="007C3A8F">
      <w:pPr>
        <w:tabs>
          <w:tab w:val="center" w:pos="1928"/>
          <w:tab w:val="center" w:pos="771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Klient</w:t>
      </w:r>
      <w:r>
        <w:tab/>
        <w:t>TRINITY BANK</w:t>
      </w:r>
    </w:p>
    <w:p w14:paraId="2663152D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302089" w14:textId="77777777" w:rsidR="007F1F90" w:rsidRDefault="007C3A8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5D02A8" w14:textId="603BA7DE" w:rsidR="007F1F90" w:rsidRDefault="007C3A8F">
      <w:pPr>
        <w:spacing w:after="0" w:line="265" w:lineRule="auto"/>
        <w:ind w:left="-5" w:right="0"/>
        <w:jc w:val="left"/>
      </w:pPr>
      <w:r>
        <w:rPr>
          <w:sz w:val="18"/>
        </w:rPr>
        <w:t xml:space="preserve">Oprávněná osoba za TRINITY BANK: </w:t>
      </w:r>
      <w:proofErr w:type="spellStart"/>
      <w:r w:rsidR="00385D2A">
        <w:rPr>
          <w:sz w:val="18"/>
        </w:rPr>
        <w:t>xxxxxxxxxxxxx</w:t>
      </w:r>
      <w:proofErr w:type="spellEnd"/>
    </w:p>
    <w:p w14:paraId="4A3BCD88" w14:textId="1020ABE7" w:rsidR="007F1F90" w:rsidRDefault="007C3A8F">
      <w:pPr>
        <w:spacing w:after="9324" w:line="265" w:lineRule="auto"/>
        <w:ind w:left="-5" w:right="0"/>
        <w:jc w:val="left"/>
      </w:pPr>
      <w:r>
        <w:rPr>
          <w:sz w:val="18"/>
        </w:rPr>
        <w:t xml:space="preserve">Vyhotovil: </w:t>
      </w:r>
      <w:r w:rsidR="00385D2A">
        <w:rPr>
          <w:sz w:val="18"/>
        </w:rPr>
        <w:t>xxxxxxxxxx</w:t>
      </w:r>
      <w:r>
        <w:rPr>
          <w:sz w:val="18"/>
        </w:rPr>
        <w:t xml:space="preserve"> privátní bankéř junior</w:t>
      </w:r>
    </w:p>
    <w:p w14:paraId="7348C6D3" w14:textId="141D2BBC" w:rsidR="007F1F90" w:rsidRDefault="007F1F90">
      <w:pPr>
        <w:tabs>
          <w:tab w:val="right" w:pos="9638"/>
        </w:tabs>
        <w:spacing w:after="504" w:line="259" w:lineRule="auto"/>
        <w:ind w:left="-15" w:right="0" w:firstLine="0"/>
        <w:jc w:val="left"/>
      </w:pPr>
    </w:p>
    <w:sectPr w:rsidR="007F1F90">
      <w:pgSz w:w="11906" w:h="16838"/>
      <w:pgMar w:top="1723" w:right="1134" w:bottom="103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334A"/>
    <w:multiLevelType w:val="hybridMultilevel"/>
    <w:tmpl w:val="D6F03B9C"/>
    <w:lvl w:ilvl="0" w:tplc="50ECC77C">
      <w:start w:val="1"/>
      <w:numFmt w:val="decimal"/>
      <w:lvlText w:val="%1."/>
      <w:lvlJc w:val="left"/>
      <w:pPr>
        <w:ind w:left="503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C944C">
      <w:start w:val="1"/>
      <w:numFmt w:val="lowerLetter"/>
      <w:lvlText w:val="%2"/>
      <w:lvlJc w:val="left"/>
      <w:pPr>
        <w:ind w:left="125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C6DA4">
      <w:start w:val="1"/>
      <w:numFmt w:val="lowerRoman"/>
      <w:lvlText w:val="%3"/>
      <w:lvlJc w:val="left"/>
      <w:pPr>
        <w:ind w:left="197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E9F3A">
      <w:start w:val="1"/>
      <w:numFmt w:val="decimal"/>
      <w:lvlText w:val="%4"/>
      <w:lvlJc w:val="left"/>
      <w:pPr>
        <w:ind w:left="269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C15E6">
      <w:start w:val="1"/>
      <w:numFmt w:val="lowerLetter"/>
      <w:lvlText w:val="%5"/>
      <w:lvlJc w:val="left"/>
      <w:pPr>
        <w:ind w:left="341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4FE82">
      <w:start w:val="1"/>
      <w:numFmt w:val="lowerRoman"/>
      <w:lvlText w:val="%6"/>
      <w:lvlJc w:val="left"/>
      <w:pPr>
        <w:ind w:left="413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8E03A">
      <w:start w:val="1"/>
      <w:numFmt w:val="decimal"/>
      <w:lvlText w:val="%7"/>
      <w:lvlJc w:val="left"/>
      <w:pPr>
        <w:ind w:left="485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0D4C6">
      <w:start w:val="1"/>
      <w:numFmt w:val="lowerLetter"/>
      <w:lvlText w:val="%8"/>
      <w:lvlJc w:val="left"/>
      <w:pPr>
        <w:ind w:left="557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6892E">
      <w:start w:val="1"/>
      <w:numFmt w:val="lowerRoman"/>
      <w:lvlText w:val="%9"/>
      <w:lvlJc w:val="left"/>
      <w:pPr>
        <w:ind w:left="6290"/>
      </w:pPr>
      <w:rPr>
        <w:rFonts w:ascii="Myriad Pro" w:eastAsia="Myriad Pro" w:hAnsi="Myriad Pro" w:cs="Myriad 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739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0"/>
    <w:rsid w:val="0006767D"/>
    <w:rsid w:val="00121F30"/>
    <w:rsid w:val="00385D2A"/>
    <w:rsid w:val="004254BA"/>
    <w:rsid w:val="0064431F"/>
    <w:rsid w:val="007C3A8F"/>
    <w:rsid w:val="007F1F90"/>
    <w:rsid w:val="009D3EF0"/>
    <w:rsid w:val="00B109B5"/>
    <w:rsid w:val="00B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8889"/>
  <w15:docId w15:val="{8ADC1B2F-F4FE-4CC4-A9E1-6118E3CA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" w:right="2023" w:hanging="10"/>
      <w:jc w:val="both"/>
    </w:pPr>
    <w:rPr>
      <w:rFonts w:ascii="Myriad Pro" w:eastAsia="Myriad Pro" w:hAnsi="Myriad Pro" w:cs="Myriad Pro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254BA"/>
    <w:pPr>
      <w:spacing w:after="0" w:line="240" w:lineRule="auto"/>
    </w:pPr>
    <w:rPr>
      <w:rFonts w:ascii="Myriad Pro" w:eastAsia="Myriad Pro" w:hAnsi="Myriad Pro" w:cs="Myriad 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Tomaštíková Lucie</dc:creator>
  <cp:keywords/>
  <cp:lastModifiedBy>Němcová Petra</cp:lastModifiedBy>
  <cp:revision>2</cp:revision>
  <dcterms:created xsi:type="dcterms:W3CDTF">2024-06-10T09:13:00Z</dcterms:created>
  <dcterms:modified xsi:type="dcterms:W3CDTF">2024-06-10T09:13:00Z</dcterms:modified>
</cp:coreProperties>
</file>