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542/2024</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33"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889000</wp:posOffset>
                </wp:positionH>
                <wp:positionV relativeFrom="paragraph">
                  <wp:posOffset>393700</wp:posOffset>
                </wp:positionV>
                <wp:extent cx="1085215" cy="1042670"/>
                <wp:wrapSquare wrapText="bothSides"/>
                <wp:docPr id="1" name="Shape 1"/>
                <a:graphic xmlns:a="http://schemas.openxmlformats.org/drawingml/2006/main">
                  <a:graphicData uri="http://schemas.microsoft.com/office/word/2010/wordprocessingShape">
                    <wps:wsp>
                      <wps:cNvSpPr txBox="1"/>
                      <wps:spPr>
                        <a:xfrm>
                          <a:ext cx="1085215" cy="104267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pt;margin-top:31.pt;width:85.450000000000003pt;height:82.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Mandava v Rumburku - sekání ruderálních porostů 2024</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889000</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70.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Vilémovská 247, 407 78 Velký Šenov</w:t>
      </w:r>
    </w:p>
    <w:p>
      <w:pPr>
        <w:pStyle w:val="Style2"/>
        <w:keepNext w:val="0"/>
        <w:keepLines w:val="0"/>
        <w:widowControl w:val="0"/>
        <w:shd w:val="clear" w:color="auto" w:fill="auto"/>
        <w:bidi w:val="0"/>
        <w:spacing w:before="0" w:after="600" w:line="240" w:lineRule="auto"/>
        <w:ind w:left="2340" w:right="0" w:firstLine="0"/>
        <w:jc w:val="both"/>
      </w:pPr>
      <w:r>
        <w:rPr>
          <w:color w:val="000000"/>
          <w:spacing w:val="0"/>
          <w:w w:val="100"/>
          <w:position w:val="0"/>
          <w:shd w:val="clear" w:color="auto" w:fill="auto"/>
          <w:lang w:val="cs-CZ" w:eastAsia="cs-CZ" w:bidi="cs-CZ"/>
        </w:rPr>
        <w:t>46045902</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Mandava v Rumburku - sekání ruderálních porostů 2024</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 sekání ruderálních porostů v průtočném profilu vodního toku (VT) Mandava (ř. km 11,100-16,600) a Pstružného potoka (ř. km 0,300-0,800) v Rumburku.</w:t>
      </w:r>
      <w:bookmarkEnd w:id="10"/>
      <w:bookmarkEnd w:id="7"/>
      <w:bookmarkEnd w:id="8"/>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800" w:right="0" w:hanging="28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Sekání ruderálních porostů (travní porosty, náletové dřeviny, rákosiny) v upraveném profilu VT na ploše 14000 m2 </w:t>
      </w:r>
      <w:r>
        <w:rPr>
          <w:color w:val="000000"/>
          <w:spacing w:val="0"/>
          <w:w w:val="100"/>
          <w:position w:val="0"/>
          <w:shd w:val="clear" w:color="auto" w:fill="auto"/>
          <w:lang w:val="cs-CZ" w:eastAsia="cs-CZ" w:bidi="cs-CZ"/>
        </w:rPr>
        <w:t>(Mandava – 12000 m2, Pstružný p. – 2000 m2)</w:t>
      </w:r>
    </w:p>
    <w:p>
      <w:pPr>
        <w:pStyle w:val="Style2"/>
        <w:keepNext w:val="0"/>
        <w:keepLines w:val="0"/>
        <w:widowControl w:val="0"/>
        <w:shd w:val="clear" w:color="auto" w:fill="auto"/>
        <w:bidi w:val="0"/>
        <w:spacing w:before="0" w:after="140" w:line="276" w:lineRule="auto"/>
        <w:ind w:left="800" w:right="0" w:hanging="28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w:t>
      </w:r>
    </w:p>
    <w:p>
      <w:pPr>
        <w:pStyle w:val="Style2"/>
        <w:keepNext w:val="0"/>
        <w:keepLines w:val="0"/>
        <w:widowControl w:val="0"/>
        <w:shd w:val="clear" w:color="auto" w:fill="auto"/>
        <w:bidi w:val="0"/>
        <w:spacing w:before="0" w:after="0" w:line="240" w:lineRule="auto"/>
        <w:ind w:left="520" w:right="0" w:firstLine="0"/>
        <w:jc w:val="both"/>
      </w:pPr>
      <w:r>
        <w:rPr>
          <w:b/>
          <w:bCs/>
          <w:color w:val="000000"/>
          <w:spacing w:val="0"/>
          <w:w w:val="100"/>
          <w:position w:val="0"/>
          <w:shd w:val="clear" w:color="auto" w:fill="auto"/>
          <w:lang w:val="cs-CZ" w:eastAsia="cs-CZ" w:bidi="cs-CZ"/>
        </w:rPr>
        <w:t xml:space="preserve">Požadujeme provést jednu seč v kalendářním roce 2024 </w:t>
      </w:r>
      <w:r>
        <w:rPr>
          <w:color w:val="000000"/>
          <w:spacing w:val="0"/>
          <w:w w:val="100"/>
          <w:position w:val="0"/>
          <w:shd w:val="clear" w:color="auto" w:fill="auto"/>
          <w:lang w:val="cs-CZ" w:eastAsia="cs-CZ" w:bidi="cs-CZ"/>
        </w:rPr>
        <w:t>(červenec-srpen). Termín započetí seče bude upřesněn technickým dozorem investora (TDI).</w:t>
      </w:r>
    </w:p>
    <w:p>
      <w:pPr>
        <w:pStyle w:val="Style2"/>
        <w:keepNext w:val="0"/>
        <w:keepLines w:val="0"/>
        <w:widowControl w:val="0"/>
        <w:shd w:val="clear" w:color="auto" w:fill="auto"/>
        <w:bidi w:val="0"/>
        <w:spacing w:before="0" w:after="0" w:line="240" w:lineRule="auto"/>
        <w:ind w:left="520" w:right="0" w:firstLine="0"/>
        <w:jc w:val="both"/>
      </w:pPr>
      <w:r>
        <w:rPr>
          <w:color w:val="000000"/>
          <w:spacing w:val="0"/>
          <w:w w:val="100"/>
          <w:position w:val="0"/>
          <w:shd w:val="clear" w:color="auto" w:fill="auto"/>
          <w:lang w:val="cs-CZ" w:eastAsia="cs-CZ" w:bidi="cs-CZ"/>
        </w:rPr>
        <w:t>Posekané travní porosty budou vyhrabány z průtočného profilu, odvezeny a zlikvidovány</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v souladu s příslušnými právními předpisy.</w:t>
      </w:r>
    </w:p>
    <w:p>
      <w:pPr>
        <w:pStyle w:val="Style2"/>
        <w:keepNext w:val="0"/>
        <w:keepLines w:val="0"/>
        <w:widowControl w:val="0"/>
        <w:shd w:val="clear" w:color="auto" w:fill="auto"/>
        <w:bidi w:val="0"/>
        <w:spacing w:before="0" w:line="240" w:lineRule="auto"/>
        <w:ind w:left="520" w:right="0" w:firstLine="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Místo provádění díla - Koryta níže uvedených vodních toků:</w:t>
      </w:r>
    </w:p>
    <w:p>
      <w:pPr>
        <w:pStyle w:val="Style2"/>
        <w:keepNext w:val="0"/>
        <w:keepLines w:val="0"/>
        <w:widowControl w:val="0"/>
        <w:shd w:val="clear" w:color="auto" w:fill="auto"/>
        <w:bidi w:val="0"/>
        <w:spacing w:before="0" w:after="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Mandava: </w:t>
      </w:r>
      <w:r>
        <w:rPr>
          <w:color w:val="000000"/>
          <w:spacing w:val="0"/>
          <w:w w:val="100"/>
          <w:position w:val="0"/>
          <w:shd w:val="clear" w:color="auto" w:fill="auto"/>
          <w:lang w:val="cs-CZ" w:eastAsia="cs-CZ" w:bidi="cs-CZ"/>
        </w:rPr>
        <w:t>od soutoku s Hornojindřichovským potokem v Rumburku v blízkosti státní hranice (50.9419764N, 14.5802461E), po profil u budovy na adrese ………….. (50.9613169N, 14.5276828E)</w:t>
      </w:r>
    </w:p>
    <w:p>
      <w:pPr>
        <w:pStyle w:val="Style2"/>
        <w:keepNext w:val="0"/>
        <w:keepLines w:val="0"/>
        <w:widowControl w:val="0"/>
        <w:shd w:val="clear" w:color="auto" w:fill="auto"/>
        <w:bidi w:val="0"/>
        <w:spacing w:before="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Pstružný potok: </w:t>
      </w:r>
      <w:r>
        <w:rPr>
          <w:color w:val="000000"/>
          <w:spacing w:val="0"/>
          <w:w w:val="100"/>
          <w:position w:val="0"/>
          <w:shd w:val="clear" w:color="auto" w:fill="auto"/>
          <w:lang w:val="cs-CZ" w:eastAsia="cs-CZ" w:bidi="cs-CZ"/>
        </w:rPr>
        <w:t>od mostu v blízkosti budovy na adrese ……….. (50.9510306N, 14.5461372E), po okraj areálu koupaliště u sportovní haly v Rumburku (50.9479078N, 14.5401747E)</w:t>
      </w:r>
    </w:p>
    <w:p>
      <w:pPr>
        <w:pStyle w:val="Style2"/>
        <w:keepNext w:val="0"/>
        <w:keepLines w:val="0"/>
        <w:widowControl w:val="0"/>
        <w:shd w:val="clear" w:color="auto" w:fill="auto"/>
        <w:bidi w:val="0"/>
        <w:spacing w:before="0" w:line="240" w:lineRule="auto"/>
        <w:ind w:left="0" w:right="0" w:firstLine="360"/>
        <w:jc w:val="both"/>
      </w:pP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 Jedná se o tyto pozemky ve správě objednatele:</w:t>
      </w:r>
    </w:p>
    <w:p>
      <w:pPr>
        <w:pStyle w:val="Style2"/>
        <w:keepNext w:val="0"/>
        <w:keepLines w:val="0"/>
        <w:widowControl w:val="0"/>
        <w:shd w:val="clear" w:color="auto" w:fill="auto"/>
        <w:bidi w:val="0"/>
        <w:spacing w:before="0" w:after="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Horní Jindřichov - p.p.č. 166/1</w:t>
      </w:r>
    </w:p>
    <w:p>
      <w:pPr>
        <w:pStyle w:val="Style2"/>
        <w:keepNext w:val="0"/>
        <w:keepLines w:val="0"/>
        <w:widowControl w:val="0"/>
        <w:shd w:val="clear" w:color="auto" w:fill="auto"/>
        <w:bidi w:val="0"/>
        <w:spacing w:before="0" w:after="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Rumburk – p.p.č. 2931/1, 2930/1, 2929/1, 2092, 2897</w:t>
      </w:r>
    </w:p>
    <w:p>
      <w:pPr>
        <w:pStyle w:val="Style2"/>
        <w:keepNext w:val="0"/>
        <w:keepLines w:val="0"/>
        <w:widowControl w:val="0"/>
        <w:shd w:val="clear" w:color="auto" w:fill="auto"/>
        <w:bidi w:val="0"/>
        <w:spacing w:before="0" w:after="32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Dolní Křečany - p.p.č. 2031/1, 2031/2</w:t>
      </w:r>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 xml:space="preserve">Zhotovitel se zavazuje provést výše uvedené dílo v rozsahu oceněného soupisu prací - </w:t>
      </w:r>
      <w:r>
        <w:rPr>
          <w:b/>
          <w:bCs/>
          <w:color w:val="000000"/>
          <w:spacing w:val="0"/>
          <w:w w:val="100"/>
          <w:position w:val="0"/>
          <w:shd w:val="clear" w:color="auto" w:fill="auto"/>
          <w:lang w:val="cs-CZ" w:eastAsia="cs-CZ" w:bidi="cs-CZ"/>
        </w:rPr>
        <w:t>viz příloha č. 1 této smlouvy.</w:t>
      </w:r>
      <w:bookmarkEnd w:id="11"/>
      <w:bookmarkEnd w:id="12"/>
      <w:bookmarkEnd w:id="14"/>
    </w:p>
    <w:p>
      <w:pPr>
        <w:pStyle w:val="Style12"/>
        <w:keepNext/>
        <w:keepLines/>
        <w:widowControl w:val="0"/>
        <w:numPr>
          <w:ilvl w:val="0"/>
          <w:numId w:val="1"/>
        </w:numPr>
        <w:shd w:val="clear" w:color="auto" w:fill="auto"/>
        <w:tabs>
          <w:tab w:pos="382" w:val="left"/>
        </w:tabs>
        <w:bidi w:val="0"/>
        <w:spacing w:before="0" w:line="240" w:lineRule="auto"/>
        <w:ind w:left="0" w:right="0" w:firstLine="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Za předmět díla se dále považuje:</w:t>
      </w:r>
      <w:bookmarkEnd w:id="15"/>
      <w:bookmarkEnd w:id="16"/>
      <w:bookmarkEnd w:id="18"/>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19"/>
      <w:bookmarkEnd w:id="20"/>
      <w:bookmarkEnd w:id="22"/>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zajištění povolení ke vstupu a vjezdu na pozemky (mimo pozemků ve vlastnictví objednatele),</w:t>
      </w:r>
      <w:bookmarkEnd w:id="23"/>
      <w:bookmarkEnd w:id="24"/>
      <w:bookmarkEnd w:id="26"/>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případné mezideponie shrabaných travních porostů nebo odpadu budou umístěny na vhodném místě, aby nedocházelo k jejich rozplavení v důsledku vyšších průtoků v korytě příslušného vodního toku,</w:t>
      </w:r>
      <w:bookmarkEnd w:id="27"/>
      <w:bookmarkEnd w:id="28"/>
      <w:bookmarkEnd w:id="30"/>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1"/>
      <w:bookmarkEnd w:id="32"/>
      <w:bookmarkEnd w:id="34"/>
    </w:p>
    <w:p>
      <w:pPr>
        <w:pStyle w:val="Style12"/>
        <w:keepNext/>
        <w:keepLines/>
        <w:widowControl w:val="0"/>
        <w:numPr>
          <w:ilvl w:val="0"/>
          <w:numId w:val="3"/>
        </w:numPr>
        <w:shd w:val="clear" w:color="auto" w:fill="auto"/>
        <w:tabs>
          <w:tab w:pos="766" w:val="left"/>
        </w:tabs>
        <w:bidi w:val="0"/>
        <w:spacing w:before="0" w:line="240" w:lineRule="auto"/>
        <w:ind w:left="0" w:right="0" w:firstLine="36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zajištění povolení zvláštního užívání pozemní komunikace, bude-li potřeba,</w:t>
      </w:r>
      <w:bookmarkEnd w:id="35"/>
      <w:bookmarkEnd w:id="36"/>
      <w:bookmarkEnd w:id="38"/>
    </w:p>
    <w:p>
      <w:pPr>
        <w:pStyle w:val="Style12"/>
        <w:keepNext/>
        <w:keepLines/>
        <w:widowControl w:val="0"/>
        <w:numPr>
          <w:ilvl w:val="0"/>
          <w:numId w:val="3"/>
        </w:numPr>
        <w:shd w:val="clear" w:color="auto" w:fill="auto"/>
        <w:tabs>
          <w:tab w:pos="704" w:val="left"/>
        </w:tabs>
        <w:bidi w:val="0"/>
        <w:spacing w:before="0" w:after="0" w:line="240" w:lineRule="auto"/>
        <w:ind w:left="720" w:right="0" w:hanging="36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9"/>
      <w:bookmarkEnd w:id="40"/>
      <w:bookmarkEnd w:id="42"/>
    </w:p>
    <w:p>
      <w:pPr>
        <w:pStyle w:val="Style12"/>
        <w:keepNext/>
        <w:keepLines/>
        <w:widowControl w:val="0"/>
        <w:numPr>
          <w:ilvl w:val="0"/>
          <w:numId w:val="3"/>
        </w:numPr>
        <w:shd w:val="clear" w:color="auto" w:fill="auto"/>
        <w:tabs>
          <w:tab w:pos="706" w:val="left"/>
        </w:tabs>
        <w:bidi w:val="0"/>
        <w:spacing w:before="0" w:after="0" w:line="240" w:lineRule="auto"/>
        <w:ind w:left="0" w:right="0" w:firstLine="30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zhotovitel zodpovídá za místo realizace díla i v době přerušení prací,</w:t>
      </w:r>
      <w:bookmarkEnd w:id="43"/>
      <w:bookmarkEnd w:id="44"/>
      <w:bookmarkEnd w:id="46"/>
    </w:p>
    <w:p>
      <w:pPr>
        <w:pStyle w:val="Style12"/>
        <w:keepNext/>
        <w:keepLines/>
        <w:widowControl w:val="0"/>
        <w:numPr>
          <w:ilvl w:val="0"/>
          <w:numId w:val="3"/>
        </w:numPr>
        <w:shd w:val="clear" w:color="auto" w:fill="auto"/>
        <w:tabs>
          <w:tab w:pos="766" w:val="left"/>
        </w:tabs>
        <w:bidi w:val="0"/>
        <w:spacing w:before="0" w:after="0" w:line="240" w:lineRule="auto"/>
        <w:ind w:left="720" w:right="0" w:hanging="36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7"/>
      <w:bookmarkEnd w:id="48"/>
      <w:bookmarkEnd w:id="50"/>
    </w:p>
    <w:p>
      <w:pPr>
        <w:pStyle w:val="Style12"/>
        <w:keepNext/>
        <w:keepLines/>
        <w:widowControl w:val="0"/>
        <w:numPr>
          <w:ilvl w:val="0"/>
          <w:numId w:val="3"/>
        </w:numPr>
        <w:shd w:val="clear" w:color="auto" w:fill="auto"/>
        <w:tabs>
          <w:tab w:pos="766" w:val="left"/>
        </w:tabs>
        <w:bidi w:val="0"/>
        <w:spacing w:before="0" w:after="0" w:line="240" w:lineRule="auto"/>
        <w:ind w:left="720" w:right="0" w:hanging="36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51"/>
      <w:bookmarkEnd w:id="52"/>
      <w:bookmarkEnd w:id="54"/>
    </w:p>
    <w:p>
      <w:pPr>
        <w:pStyle w:val="Style12"/>
        <w:keepNext/>
        <w:keepLines/>
        <w:widowControl w:val="0"/>
        <w:numPr>
          <w:ilvl w:val="0"/>
          <w:numId w:val="3"/>
        </w:numPr>
        <w:shd w:val="clear" w:color="auto" w:fill="auto"/>
        <w:tabs>
          <w:tab w:pos="766" w:val="left"/>
        </w:tabs>
        <w:bidi w:val="0"/>
        <w:spacing w:before="0" w:line="240" w:lineRule="auto"/>
        <w:ind w:left="720" w:right="0" w:hanging="36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5"/>
      <w:bookmarkEnd w:id="56"/>
      <w:bookmarkEnd w:id="58"/>
    </w:p>
    <w:p>
      <w:pPr>
        <w:pStyle w:val="Style12"/>
        <w:keepNext/>
        <w:keepLines/>
        <w:widowControl w:val="0"/>
        <w:numPr>
          <w:ilvl w:val="0"/>
          <w:numId w:val="1"/>
        </w:numPr>
        <w:shd w:val="clear" w:color="auto" w:fill="auto"/>
        <w:tabs>
          <w:tab w:pos="382" w:val="left"/>
        </w:tabs>
        <w:bidi w:val="0"/>
        <w:spacing w:before="0" w:line="240" w:lineRule="auto"/>
        <w:ind w:left="300" w:right="0" w:hanging="30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9"/>
      <w:bookmarkEnd w:id="60"/>
      <w:bookmarkEnd w:id="62"/>
    </w:p>
    <w:p>
      <w:pPr>
        <w:pStyle w:val="Style12"/>
        <w:keepNext/>
        <w:keepLines/>
        <w:widowControl w:val="0"/>
        <w:numPr>
          <w:ilvl w:val="0"/>
          <w:numId w:val="1"/>
        </w:numPr>
        <w:shd w:val="clear" w:color="auto" w:fill="auto"/>
        <w:tabs>
          <w:tab w:pos="382" w:val="left"/>
        </w:tabs>
        <w:bidi w:val="0"/>
        <w:spacing w:before="0" w:line="240" w:lineRule="auto"/>
        <w:ind w:left="300" w:right="0" w:hanging="30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3"/>
      <w:bookmarkEnd w:id="64"/>
      <w:bookmarkEnd w:id="66"/>
    </w:p>
    <w:p>
      <w:pPr>
        <w:pStyle w:val="Style12"/>
        <w:keepNext/>
        <w:keepLines/>
        <w:widowControl w:val="0"/>
        <w:numPr>
          <w:ilvl w:val="0"/>
          <w:numId w:val="1"/>
        </w:numPr>
        <w:shd w:val="clear" w:color="auto" w:fill="auto"/>
        <w:tabs>
          <w:tab w:pos="382" w:val="left"/>
        </w:tabs>
        <w:bidi w:val="0"/>
        <w:spacing w:before="0" w:after="440" w:line="240" w:lineRule="auto"/>
        <w:ind w:left="300" w:right="0" w:hanging="30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67"/>
      <w:bookmarkEnd w:id="68"/>
      <w:bookmarkEnd w:id="70"/>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5"/>
        </w:numPr>
        <w:shd w:val="clear" w:color="auto" w:fill="auto"/>
        <w:tabs>
          <w:tab w:pos="382" w:val="left"/>
        </w:tabs>
        <w:bidi w:val="0"/>
        <w:spacing w:before="0" w:line="240" w:lineRule="auto"/>
        <w:ind w:left="0" w:right="0" w:firstLine="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Smluvní strany se dohodly na následujících lhůtách a podmínkách pro realizaci díla.</w:t>
      </w:r>
      <w:bookmarkEnd w:id="71"/>
      <w:bookmarkEnd w:id="72"/>
      <w:bookmarkEnd w:id="74"/>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697" w:val="left"/>
        </w:tabs>
        <w:bidi w:val="0"/>
        <w:spacing w:before="0" w:line="240" w:lineRule="auto"/>
        <w:ind w:left="0" w:right="0" w:firstLine="300"/>
        <w:jc w:val="both"/>
      </w:pPr>
      <w:bookmarkStart w:id="75" w:name="bookmark75"/>
      <w:bookmarkEnd w:id="75"/>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si převzít pracoviště nejpozději do 7 kalendářních dnů od písemné výzvy TDI. Výzva bude odeslána na e-mail zhotovitele: …………………………….</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76" w:name="bookmark76"/>
      <w:bookmarkEnd w:id="76"/>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 xml:space="preserve">Bez zbytečného odkladu po převzetí pracoviště, </w:t>
      </w:r>
      <w:r>
        <w:rPr>
          <w:b/>
          <w:bCs/>
          <w:color w:val="000000"/>
          <w:spacing w:val="0"/>
          <w:w w:val="100"/>
          <w:position w:val="0"/>
          <w:shd w:val="clear" w:color="auto" w:fill="auto"/>
          <w:lang w:val="cs-CZ" w:eastAsia="cs-CZ" w:bidi="cs-CZ"/>
        </w:rPr>
        <w:t>nejdříve však od 1.7.2024</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77" w:name="bookmark77"/>
      <w:bookmarkEnd w:id="77"/>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300"/>
        <w:jc w:val="both"/>
      </w:pPr>
      <w:r>
        <w:rPr>
          <w:b/>
          <w:bCs/>
          <w:color w:val="000000"/>
          <w:spacing w:val="0"/>
          <w:w w:val="100"/>
          <w:position w:val="0"/>
          <w:shd w:val="clear" w:color="auto" w:fill="auto"/>
          <w:lang w:val="cs-CZ" w:eastAsia="cs-CZ" w:bidi="cs-CZ"/>
        </w:rPr>
        <w:t>Nejpozději do 30.08.2024</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78"/>
      <w:bookmarkEnd w:id="79"/>
      <w:bookmarkEnd w:id="81"/>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82"/>
      <w:bookmarkEnd w:id="83"/>
      <w:bookmarkEnd w:id="85"/>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86"/>
      <w:bookmarkEnd w:id="87"/>
      <w:bookmarkEnd w:id="8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2900" w:val="left"/>
        </w:tabs>
        <w:bidi w:val="0"/>
        <w:spacing w:before="0" w:line="240" w:lineRule="auto"/>
        <w:ind w:left="380" w:right="0" w:firstLine="0"/>
        <w:jc w:val="both"/>
      </w:pPr>
      <w:r>
        <w:rPr>
          <w:b/>
          <w:bCs/>
          <w:color w:val="000000"/>
          <w:spacing w:val="0"/>
          <w:w w:val="100"/>
          <w:position w:val="0"/>
          <w:shd w:val="clear" w:color="auto" w:fill="auto"/>
          <w:lang w:val="cs-CZ" w:eastAsia="cs-CZ" w:bidi="cs-CZ"/>
        </w:rPr>
        <w:t>Cena díla:</w:t>
        <w:tab/>
        <w:t>97.800,00 Kč bez DPH</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94" w:name="bookmark94"/>
      <w:bookmarkEnd w:id="94"/>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0"/>
        <w:jc w:val="both"/>
      </w:pP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2" w:val="left"/>
        </w:tabs>
        <w:bidi w:val="0"/>
        <w:spacing w:before="0" w:after="32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 xml:space="preserve">Pokud bude zhotovitel v prodlení proti termínu předání a převzetí dokončeného díla sjednaného dle čl. II. odst. 1. písm. c) této smlouvy, je povinen zaplatit objednateli </w:t>
      </w:r>
      <w:r>
        <w:rPr>
          <w:color w:val="000000"/>
          <w:spacing w:val="0"/>
          <w:w w:val="100"/>
          <w:position w:val="0"/>
          <w:shd w:val="clear" w:color="auto" w:fill="auto"/>
          <w:lang w:val="cs-CZ" w:eastAsia="cs-CZ" w:bidi="cs-CZ"/>
        </w:rPr>
        <w:t>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382" w:val="left"/>
        </w:tabs>
        <w:bidi w:val="0"/>
        <w:spacing w:before="0" w:after="44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110" w:name="bookmark110"/>
      <w:bookmarkEnd w:id="110"/>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46" w:val="left"/>
        </w:tabs>
        <w:bidi w:val="0"/>
        <w:spacing w:before="0" w:after="0" w:line="240" w:lineRule="auto"/>
        <w:ind w:left="0" w:right="0" w:firstLine="380"/>
        <w:jc w:val="both"/>
      </w:pPr>
      <w:bookmarkStart w:id="111" w:name="bookmark111"/>
      <w:bookmarkEnd w:id="111"/>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46" w:val="left"/>
        </w:tabs>
        <w:bidi w:val="0"/>
        <w:spacing w:before="0" w:after="0" w:line="240" w:lineRule="auto"/>
        <w:ind w:left="1020" w:right="0" w:hanging="640"/>
        <w:jc w:val="both"/>
      </w:pPr>
      <w:bookmarkStart w:id="112" w:name="bookmark112"/>
      <w:bookmarkEnd w:id="11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46" w:val="left"/>
        </w:tabs>
        <w:bidi w:val="0"/>
        <w:spacing w:before="0" w:line="240" w:lineRule="auto"/>
        <w:ind w:left="1020" w:right="0" w:hanging="640"/>
        <w:jc w:val="both"/>
      </w:pPr>
      <w:bookmarkStart w:id="113" w:name="bookmark113"/>
      <w:bookmarkEnd w:id="11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after="800" w:line="240" w:lineRule="auto"/>
        <w:ind w:left="0" w:right="0" w:firstLine="0"/>
        <w:jc w:val="both"/>
      </w:pPr>
      <w:bookmarkStart w:id="115" w:name="bookmark115"/>
      <w:bookmarkEnd w:id="115"/>
      <w:r>
        <w:rPr>
          <w:color w:val="000000"/>
          <w:spacing w:val="0"/>
          <w:w w:val="100"/>
          <w:position w:val="0"/>
          <w:shd w:val="clear" w:color="auto" w:fill="auto"/>
          <w:lang w:val="cs-CZ" w:eastAsia="cs-CZ" w:bidi="cs-CZ"/>
        </w:rPr>
        <w:t xml:space="preserve">Objednatel je oprávněn požadovat náhradu škody způsobenou mu zhotovitelem </w:t>
      </w:r>
      <w:r>
        <w:rPr>
          <w:color w:val="000000"/>
          <w:spacing w:val="0"/>
          <w:w w:val="100"/>
          <w:position w:val="0"/>
          <w:shd w:val="clear" w:color="auto" w:fill="auto"/>
          <w:lang w:val="cs-CZ" w:eastAsia="cs-CZ" w:bidi="cs-CZ"/>
        </w:rPr>
        <w:t>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1"/>
        </w:numPr>
        <w:shd w:val="clear" w:color="auto" w:fill="auto"/>
        <w:tabs>
          <w:tab w:pos="358" w:val="left"/>
        </w:tabs>
        <w:bidi w:val="0"/>
        <w:spacing w:before="0" w:line="240" w:lineRule="auto"/>
        <w:ind w:left="380" w:right="0" w:hanging="3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které je součástí nabídky zhotovitele podané v rámci Veřejné zakázky a </w:t>
      </w:r>
      <w:r>
        <w:rPr>
          <w:b/>
          <w:bCs/>
          <w:color w:val="000000"/>
          <w:spacing w:val="0"/>
          <w:w w:val="100"/>
          <w:position w:val="0"/>
          <w:shd w:val="clear" w:color="auto" w:fill="auto"/>
          <w:lang w:val="cs-CZ" w:eastAsia="cs-CZ" w:bidi="cs-CZ"/>
        </w:rPr>
        <w:t xml:space="preserve">tvoří přílohu č. 4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9"/>
      <w:bookmarkEnd w:id="120"/>
      <w:bookmarkEnd w:id="122"/>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5"/>
        </w:numPr>
        <w:shd w:val="clear" w:color="auto" w:fill="auto"/>
        <w:tabs>
          <w:tab w:pos="740" w:val="left"/>
        </w:tabs>
        <w:bidi w:val="0"/>
        <w:spacing w:before="0" w:after="0" w:line="240" w:lineRule="auto"/>
        <w:ind w:left="740" w:right="0" w:hanging="360"/>
        <w:jc w:val="both"/>
      </w:pPr>
      <w:bookmarkStart w:id="126" w:name="bookmark126"/>
      <w:bookmarkEnd w:id="126"/>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p>
    <w:p>
      <w:pPr>
        <w:pStyle w:val="Style2"/>
        <w:keepNext w:val="0"/>
        <w:keepLines w:val="0"/>
        <w:widowControl w:val="0"/>
        <w:numPr>
          <w:ilvl w:val="0"/>
          <w:numId w:val="25"/>
        </w:numPr>
        <w:shd w:val="clear" w:color="auto" w:fill="auto"/>
        <w:tabs>
          <w:tab w:pos="740" w:val="left"/>
        </w:tabs>
        <w:bidi w:val="0"/>
        <w:spacing w:before="0" w:line="240" w:lineRule="auto"/>
        <w:ind w:left="0" w:right="0" w:firstLine="380"/>
        <w:jc w:val="both"/>
      </w:pPr>
      <w:bookmarkStart w:id="127" w:name="bookmark127"/>
      <w:bookmarkEnd w:id="127"/>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0" w:name="bookmark130"/>
      <w:bookmarkEnd w:id="130"/>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8" w:val="left"/>
        </w:tabs>
        <w:bidi w:val="0"/>
        <w:spacing w:before="0" w:after="0" w:line="240" w:lineRule="auto"/>
        <w:ind w:left="0" w:right="0" w:firstLine="0"/>
        <w:jc w:val="both"/>
      </w:pPr>
      <w:bookmarkStart w:id="133" w:name="bookmark133"/>
      <w:bookmarkEnd w:id="133"/>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3"/>
        </w:numPr>
        <w:shd w:val="clear" w:color="auto" w:fill="auto"/>
        <w:tabs>
          <w:tab w:pos="442" w:val="left"/>
        </w:tabs>
        <w:bidi w:val="0"/>
        <w:spacing w:before="0" w:line="240" w:lineRule="auto"/>
        <w:ind w:left="0" w:right="0" w:firstLine="0"/>
        <w:jc w:val="left"/>
      </w:pPr>
      <w:bookmarkStart w:id="136" w:name="bookmark136"/>
      <w:bookmarkEnd w:id="136"/>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42" w:val="left"/>
        </w:tabs>
        <w:bidi w:val="0"/>
        <w:spacing w:before="0" w:after="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Priorita 2) Příloha č. 1: Oceněný soupis prací Priorita 3) Příloha č. 2: Situace Priorita 1) Příloha č. 3: Čestné prohlášení k finančním sankcím</w:t>
      </w:r>
    </w:p>
    <w:p>
      <w:pPr>
        <w:pStyle w:val="Style2"/>
        <w:keepNext w:val="0"/>
        <w:keepLines w:val="0"/>
        <w:widowControl w:val="0"/>
        <w:shd w:val="clear" w:color="auto" w:fill="auto"/>
        <w:bidi w:val="0"/>
        <w:spacing w:before="0" w:line="240" w:lineRule="auto"/>
        <w:ind w:left="1460" w:right="0" w:hanging="1080"/>
        <w:jc w:val="both"/>
        <w:sectPr>
          <w:headerReference w:type="default" r:id="rId5"/>
          <w:footerReference w:type="default" r:id="rId6"/>
          <w:footnotePr>
            <w:pos w:val="pageBottom"/>
            <w:numFmt w:val="decimal"/>
            <w:numRestart w:val="continuous"/>
          </w:footnotePr>
          <w:pgSz w:w="11909" w:h="16838"/>
          <w:pgMar w:top="1057" w:left="1393" w:right="1385" w:bottom="1228"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3187" w:left="1754" w:right="2335" w:bottom="3187" w:header="0" w:footer="3" w:gutter="0"/>
          <w:cols w:num="2" w:space="1444"/>
          <w:noEndnote/>
          <w:rtlGutter w:val="0"/>
          <w:docGrid w:linePitch="360"/>
        </w:sectPr>
      </w:pPr>
      <w:r>
        <w:rPr>
          <w:color w:val="000000"/>
          <w:spacing w:val="0"/>
          <w:w w:val="100"/>
          <w:position w:val="0"/>
          <w:shd w:val="clear" w:color="auto" w:fill="auto"/>
          <w:lang w:val="cs-CZ" w:eastAsia="cs-CZ" w:bidi="cs-CZ"/>
        </w:rPr>
        <w:t>zhotovitel</w:t>
      </w:r>
    </w:p>
    <w:sectPr>
      <w:footnotePr>
        <w:pos w:val="pageBottom"/>
        <w:numFmt w:val="decimal"/>
        <w:numRestart w:val="continuous"/>
      </w:footnotePr>
      <w:type w:val="continuous"/>
      <w:pgSz w:w="11909" w:h="16838"/>
      <w:pgMar w:top="3187" w:left="1754" w:right="2335" w:bottom="3187" w:header="0" w:footer="3" w:gutter="0"/>
      <w:cols w:num="2" w:space="1444"/>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5994400</wp:posOffset>
              </wp:positionH>
              <wp:positionV relativeFrom="page">
                <wp:posOffset>9961245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72.pt;margin-top:784.35000000000002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5653405</wp:posOffset>
              </wp:positionH>
              <wp:positionV relativeFrom="page">
                <wp:posOffset>381635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5.15000000000003pt;margin-top:30.0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