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542/2024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Mandava v Rumburku - sekání ruderálních porostů 2024</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70.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Vilémovská 247, 407 78 Velký Šenov</w:t>
      </w:r>
    </w:p>
    <w:p>
      <w:pPr>
        <w:pStyle w:val="Style2"/>
        <w:keepNext w:val="0"/>
        <w:keepLines w:val="0"/>
        <w:widowControl w:val="0"/>
        <w:shd w:val="clear" w:color="auto" w:fill="auto"/>
        <w:bidi w:val="0"/>
        <w:spacing w:before="0" w:after="600" w:line="240" w:lineRule="auto"/>
        <w:ind w:left="2340" w:right="0" w:firstLine="0"/>
        <w:jc w:val="both"/>
      </w:pPr>
      <w:r>
        <w:rPr>
          <w:color w:val="000000"/>
          <w:spacing w:val="0"/>
          <w:w w:val="100"/>
          <w:position w:val="0"/>
          <w:shd w:val="clear" w:color="auto" w:fill="auto"/>
          <w:lang w:val="cs-CZ" w:eastAsia="cs-CZ" w:bidi="cs-CZ"/>
        </w:rPr>
        <w:t>46045902</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Mandava v Rumburku - sekání ruderálních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sekání ruderálních porostů v průtočném profilu vodního toku (VT) Mandava (ř. km 11,100-16,600) a Pstružného potoka (ř. km 0,300-0,800) v Rumburku.</w:t>
      </w:r>
      <w:bookmarkEnd w:id="10"/>
      <w:bookmarkEnd w:id="7"/>
      <w:bookmarkEnd w:id="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800" w:right="0" w:hanging="2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ruderálních porostů (travní porosty, náletové dřeviny, rákosiny) v upraveném profilu VT na ploše 14000 m2 </w:t>
      </w:r>
      <w:r>
        <w:rPr>
          <w:color w:val="000000"/>
          <w:spacing w:val="0"/>
          <w:w w:val="100"/>
          <w:position w:val="0"/>
          <w:shd w:val="clear" w:color="auto" w:fill="auto"/>
          <w:lang w:val="cs-CZ" w:eastAsia="cs-CZ" w:bidi="cs-CZ"/>
        </w:rPr>
        <w:t>(Mandava – 12000 m2, Pstružný p. – 2000 m2)</w:t>
      </w:r>
    </w:p>
    <w:p>
      <w:pPr>
        <w:pStyle w:val="Style2"/>
        <w:keepNext w:val="0"/>
        <w:keepLines w:val="0"/>
        <w:widowControl w:val="0"/>
        <w:shd w:val="clear" w:color="auto" w:fill="auto"/>
        <w:bidi w:val="0"/>
        <w:spacing w:before="0" w:after="140" w:line="276" w:lineRule="auto"/>
        <w:ind w:left="800" w:right="0" w:hanging="2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jednu seč v kalendářním roce 2024 </w:t>
      </w:r>
      <w:r>
        <w:rPr>
          <w:color w:val="000000"/>
          <w:spacing w:val="0"/>
          <w:w w:val="100"/>
          <w:position w:val="0"/>
          <w:shd w:val="clear" w:color="auto" w:fill="auto"/>
          <w:lang w:val="cs-CZ" w:eastAsia="cs-CZ" w:bidi="cs-CZ"/>
        </w:rPr>
        <w:t>(červenec-srpen). Termín započetí seče bude upřesněn technickým dozorem investora (TDI).</w:t>
      </w:r>
    </w:p>
    <w:p>
      <w:pPr>
        <w:pStyle w:val="Style2"/>
        <w:keepNext w:val="0"/>
        <w:keepLines w:val="0"/>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cs-CZ" w:eastAsia="cs-CZ" w:bidi="cs-CZ"/>
        </w:rPr>
        <w:t>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Místo provádění díla - Koryta níže uvedených vodních toků:</w:t>
      </w:r>
    </w:p>
    <w:p>
      <w:pPr>
        <w:pStyle w:val="Style2"/>
        <w:keepNext w:val="0"/>
        <w:keepLines w:val="0"/>
        <w:widowControl w:val="0"/>
        <w:shd w:val="clear" w:color="auto" w:fill="auto"/>
        <w:bidi w:val="0"/>
        <w:spacing w:before="0" w:after="0" w:line="240" w:lineRule="auto"/>
        <w:ind w:left="800" w:right="0" w:hanging="4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Mandava: </w:t>
      </w:r>
      <w:r>
        <w:rPr>
          <w:color w:val="000000"/>
          <w:spacing w:val="0"/>
          <w:w w:val="100"/>
          <w:position w:val="0"/>
          <w:shd w:val="clear" w:color="auto" w:fill="auto"/>
          <w:lang w:val="cs-CZ" w:eastAsia="cs-CZ" w:bidi="cs-CZ"/>
        </w:rPr>
        <w:t>od soutoku s Hornojindřichovským potokem v Rumburku v blízkosti státní hranice (50.9419764N, 14.5802461E), po profil u budovy na adrese ………….. (50.9613169N, 14.5276828E)</w:t>
      </w:r>
    </w:p>
    <w:p>
      <w:pPr>
        <w:pStyle w:val="Style2"/>
        <w:keepNext w:val="0"/>
        <w:keepLines w:val="0"/>
        <w:widowControl w:val="0"/>
        <w:shd w:val="clear" w:color="auto" w:fill="auto"/>
        <w:bidi w:val="0"/>
        <w:spacing w:before="0" w:line="240" w:lineRule="auto"/>
        <w:ind w:left="800" w:right="0" w:hanging="4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Pstružný potok: </w:t>
      </w:r>
      <w:r>
        <w:rPr>
          <w:color w:val="000000"/>
          <w:spacing w:val="0"/>
          <w:w w:val="100"/>
          <w:position w:val="0"/>
          <w:shd w:val="clear" w:color="auto" w:fill="auto"/>
          <w:lang w:val="cs-CZ" w:eastAsia="cs-CZ" w:bidi="cs-CZ"/>
        </w:rPr>
        <w:t>od mostu v blízkosti budovy na adrese ……….. (50.9510306N, 14.5461372E), po okraj areálu koupaliště u sportovní haly v Rumburku (50.9479078N, 14.5401747E)</w:t>
      </w:r>
    </w:p>
    <w:p>
      <w:pPr>
        <w:pStyle w:val="Style2"/>
        <w:keepNext w:val="0"/>
        <w:keepLines w:val="0"/>
        <w:widowControl w:val="0"/>
        <w:shd w:val="clear" w:color="auto" w:fill="auto"/>
        <w:bidi w:val="0"/>
        <w:spacing w:before="0" w:line="240" w:lineRule="auto"/>
        <w:ind w:left="0" w:right="0" w:firstLine="360"/>
        <w:jc w:val="both"/>
      </w:pP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 Jedná se o tyto pozemky ve správě objednatele:</w:t>
      </w:r>
    </w:p>
    <w:p>
      <w:pPr>
        <w:pStyle w:val="Style2"/>
        <w:keepNext w:val="0"/>
        <w:keepLines w:val="0"/>
        <w:widowControl w:val="0"/>
        <w:shd w:val="clear" w:color="auto" w:fill="auto"/>
        <w:bidi w:val="0"/>
        <w:spacing w:before="0" w:after="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Horní Jindřichov - p.p.č. 166/1</w:t>
      </w:r>
    </w:p>
    <w:p>
      <w:pPr>
        <w:pStyle w:val="Style2"/>
        <w:keepNext w:val="0"/>
        <w:keepLines w:val="0"/>
        <w:widowControl w:val="0"/>
        <w:shd w:val="clear" w:color="auto" w:fill="auto"/>
        <w:bidi w:val="0"/>
        <w:spacing w:before="0" w:after="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Rumburk – p.p.č. 2931/1, 2930/1, 2929/1, 2092, 2897</w:t>
      </w:r>
    </w:p>
    <w:p>
      <w:pPr>
        <w:pStyle w:val="Style2"/>
        <w:keepNext w:val="0"/>
        <w:keepLines w:val="0"/>
        <w:widowControl w:val="0"/>
        <w:shd w:val="clear" w:color="auto" w:fill="auto"/>
        <w:bidi w:val="0"/>
        <w:spacing w:before="0" w:after="32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Dolní Křečany - p.p.č. 2031/1, 2031/2</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6" w:val="left"/>
        </w:tabs>
        <w:bidi w:val="0"/>
        <w:spacing w:before="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04" w:val="left"/>
        </w:tabs>
        <w:bidi w:val="0"/>
        <w:spacing w:before="0" w:after="0" w:line="240" w:lineRule="auto"/>
        <w:ind w:left="720" w:right="0" w:hanging="36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06" w:val="left"/>
        </w:tabs>
        <w:bidi w:val="0"/>
        <w:spacing w:before="0" w:after="0" w:line="240" w:lineRule="auto"/>
        <w:ind w:left="0" w:right="0" w:firstLine="30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66" w:val="left"/>
        </w:tabs>
        <w:bidi w:val="0"/>
        <w:spacing w:before="0" w:after="0" w:line="240" w:lineRule="auto"/>
        <w:ind w:left="720" w:right="0" w:hanging="36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12"/>
        <w:keepNext/>
        <w:keepLines/>
        <w:widowControl w:val="0"/>
        <w:numPr>
          <w:ilvl w:val="0"/>
          <w:numId w:val="3"/>
        </w:numPr>
        <w:shd w:val="clear" w:color="auto" w:fill="auto"/>
        <w:tabs>
          <w:tab w:pos="766" w:val="left"/>
        </w:tabs>
        <w:bidi w:val="0"/>
        <w:spacing w:before="0" w:after="0" w:line="240" w:lineRule="auto"/>
        <w:ind w:left="720" w:right="0" w:hanging="36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1"/>
      <w:bookmarkEnd w:id="52"/>
      <w:bookmarkEnd w:id="54"/>
    </w:p>
    <w:p>
      <w:pPr>
        <w:pStyle w:val="Style12"/>
        <w:keepNext/>
        <w:keepLines/>
        <w:widowControl w:val="0"/>
        <w:numPr>
          <w:ilvl w:val="0"/>
          <w:numId w:val="3"/>
        </w:numPr>
        <w:shd w:val="clear" w:color="auto" w:fill="auto"/>
        <w:tabs>
          <w:tab w:pos="766" w:val="left"/>
        </w:tabs>
        <w:bidi w:val="0"/>
        <w:spacing w:before="0" w:line="240" w:lineRule="auto"/>
        <w:ind w:left="720" w:right="0" w:hanging="36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9"/>
      <w:bookmarkEnd w:id="60"/>
      <w:bookmarkEnd w:id="62"/>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7"/>
      <w:bookmarkEnd w:id="68"/>
      <w:bookmarkEnd w:id="7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Smluvní strany se dohodly na následujících lhůtách a podmínkách pro realizaci díla.</w:t>
      </w:r>
      <w:bookmarkEnd w:id="71"/>
      <w:bookmarkEnd w:id="72"/>
      <w:bookmarkEnd w:id="74"/>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5" w:name="bookmark75"/>
      <w:bookmarkEnd w:id="7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1.7.2024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30.08.2024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8"/>
      <w:bookmarkEnd w:id="79"/>
      <w:bookmarkEnd w:id="81"/>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2"/>
      <w:bookmarkEnd w:id="83"/>
      <w:bookmarkEnd w:id="85"/>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6"/>
      <w:bookmarkEnd w:id="87"/>
      <w:bookmarkEnd w:id="8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2900" w:val="left"/>
        </w:tabs>
        <w:bidi w:val="0"/>
        <w:spacing w:before="0" w:line="240" w:lineRule="auto"/>
        <w:ind w:left="380" w:right="0" w:firstLine="0"/>
        <w:jc w:val="both"/>
      </w:pPr>
      <w:r>
        <w:rPr>
          <w:b/>
          <w:bCs/>
          <w:color w:val="000000"/>
          <w:spacing w:val="0"/>
          <w:w w:val="100"/>
          <w:position w:val="0"/>
          <w:shd w:val="clear" w:color="auto" w:fill="auto"/>
          <w:lang w:val="cs-CZ" w:eastAsia="cs-CZ" w:bidi="cs-CZ"/>
        </w:rPr>
        <w:t>Cena díla:</w:t>
        <w:tab/>
        <w:t>97.800,00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c) této smlouvy, je povinen zaplatit objednateli </w:t>
      </w:r>
      <w:r>
        <w:rPr>
          <w:color w:val="000000"/>
          <w:spacing w:val="0"/>
          <w:w w:val="100"/>
          <w:position w:val="0"/>
          <w:shd w:val="clear" w:color="auto" w:fill="auto"/>
          <w:lang w:val="cs-CZ" w:eastAsia="cs-CZ" w:bidi="cs-CZ"/>
        </w:rPr>
        <w:t>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11" w:name="bookmark111"/>
      <w:bookmarkEnd w:id="11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12" w:name="bookmark112"/>
      <w:bookmarkEnd w:id="11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13" w:name="bookmark113"/>
      <w:bookmarkEnd w:id="11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after="800" w:line="240" w:lineRule="auto"/>
        <w:ind w:left="0" w:right="0" w:firstLine="0"/>
        <w:jc w:val="both"/>
      </w:pPr>
      <w:bookmarkStart w:id="115" w:name="bookmark115"/>
      <w:bookmarkEnd w:id="115"/>
      <w:r>
        <w:rPr>
          <w:color w:val="000000"/>
          <w:spacing w:val="0"/>
          <w:w w:val="100"/>
          <w:position w:val="0"/>
          <w:shd w:val="clear" w:color="auto" w:fill="auto"/>
          <w:lang w:val="cs-CZ" w:eastAsia="cs-CZ" w:bidi="cs-CZ"/>
        </w:rPr>
        <w:t xml:space="preserve">Objednatel je oprávněn požadovat náhradu škody způsobenou mu zhotovitelem </w:t>
      </w:r>
      <w:r>
        <w:rPr>
          <w:color w:val="000000"/>
          <w:spacing w:val="0"/>
          <w:w w:val="100"/>
          <w:position w:val="0"/>
          <w:shd w:val="clear" w:color="auto" w:fill="auto"/>
          <w:lang w:val="cs-CZ" w:eastAsia="cs-CZ" w:bidi="cs-CZ"/>
        </w:rPr>
        <w:t>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8" w:val="left"/>
        </w:tabs>
        <w:bidi w:val="0"/>
        <w:spacing w:before="0" w:line="240" w:lineRule="auto"/>
        <w:ind w:left="380"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9"/>
      <w:bookmarkEnd w:id="120"/>
      <w:bookmarkEnd w:id="12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6" w:name="bookmark126"/>
      <w:bookmarkEnd w:id="12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36" w:name="bookmark136"/>
      <w:bookmarkEnd w:id="136"/>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line="240" w:lineRule="auto"/>
        <w:ind w:left="1460" w:right="0" w:hanging="1080"/>
        <w:jc w:val="both"/>
        <w:sectPr>
          <w:headerReference w:type="default" r:id="rId5"/>
          <w:footerReference w:type="default" r:id="rId6"/>
          <w:footnotePr>
            <w:pos w:val="pageBottom"/>
            <w:numFmt w:val="decimal"/>
            <w:numRestart w:val="continuous"/>
          </w:footnotePr>
          <w:pgSz w:w="11909" w:h="16838"/>
          <w:pgMar w:top="1057" w:left="1393" w:right="1385" w:bottom="1228"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3187" w:left="1754" w:right="2335" w:bottom="3187" w:header="0" w:footer="3" w:gutter="0"/>
          <w:cols w:num="2" w:space="1444"/>
          <w:noEndnote/>
          <w:rtlGutter w:val="0"/>
          <w:docGrid w:linePitch="360"/>
        </w:sectPr>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3187" w:left="1754" w:right="2335" w:bottom="3187" w:header="0" w:footer="3" w:gutter="0"/>
      <w:cols w:num="2" w:space="144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9961245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2.pt;margin-top:784.35000000000002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5653405</wp:posOffset>
              </wp:positionH>
              <wp:positionV relativeFrom="page">
                <wp:posOffset>381635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5000000000003pt;margin-top:30.0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